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6D221CD0" w:rsidR="00654E8F" w:rsidRPr="006F3ACA" w:rsidRDefault="00654E8F" w:rsidP="0001436A">
      <w:pPr>
        <w:pStyle w:val="SupplementaryMaterial"/>
        <w:rPr>
          <w:b w:val="0"/>
          <w:i w:val="0"/>
          <w:iCs/>
          <w:color w:val="000000" w:themeColor="text1"/>
        </w:rPr>
      </w:pPr>
      <w:bookmarkStart w:id="0" w:name="OLE_LINK689"/>
      <w:bookmarkStart w:id="1" w:name="OLE_LINK690"/>
      <w:r w:rsidRPr="006F3ACA">
        <w:rPr>
          <w:i w:val="0"/>
          <w:iCs/>
          <w:color w:val="000000" w:themeColor="text1"/>
        </w:rPr>
        <w:t xml:space="preserve">Supplementary </w:t>
      </w:r>
      <w:r w:rsidR="004A3FBC" w:rsidRPr="006F3ACA">
        <w:rPr>
          <w:i w:val="0"/>
          <w:iCs/>
          <w:color w:val="000000" w:themeColor="text1"/>
        </w:rPr>
        <w:t>A</w:t>
      </w:r>
      <w:r w:rsidR="004A3FBC" w:rsidRPr="006F3ACA">
        <w:rPr>
          <w:i w:val="0"/>
          <w:iCs/>
          <w:color w:val="000000" w:themeColor="text1"/>
          <w:lang w:eastAsia="zh-CN"/>
        </w:rPr>
        <w:t>ppendix</w:t>
      </w:r>
    </w:p>
    <w:bookmarkEnd w:id="0"/>
    <w:bookmarkEnd w:id="1"/>
    <w:p w14:paraId="291C4896" w14:textId="6097BD91" w:rsidR="00E16C19" w:rsidRPr="006F3ACA" w:rsidRDefault="004A3FBC" w:rsidP="00E16C19">
      <w:pPr>
        <w:autoSpaceDE w:val="0"/>
        <w:autoSpaceDN w:val="0"/>
        <w:adjustRightInd w:val="0"/>
        <w:spacing w:line="480" w:lineRule="auto"/>
        <w:rPr>
          <w:b/>
          <w:bCs/>
          <w:color w:val="000000" w:themeColor="text1"/>
        </w:rPr>
      </w:pPr>
      <w:r w:rsidRPr="006F3ACA">
        <w:rPr>
          <w:b/>
          <w:bCs/>
          <w:color w:val="000000" w:themeColor="text1"/>
        </w:rPr>
        <w:t xml:space="preserve">E1: </w:t>
      </w:r>
      <w:bookmarkStart w:id="2" w:name="OLE_LINK691"/>
      <w:bookmarkStart w:id="3" w:name="OLE_LINK692"/>
      <w:r w:rsidR="00E16C19" w:rsidRPr="006F3ACA">
        <w:rPr>
          <w:rFonts w:hint="eastAsia"/>
          <w:b/>
          <w:bCs/>
          <w:color w:val="000000" w:themeColor="text1"/>
        </w:rPr>
        <w:t>MRI Protocols</w:t>
      </w:r>
      <w:bookmarkEnd w:id="2"/>
      <w:bookmarkEnd w:id="3"/>
    </w:p>
    <w:p w14:paraId="4168C877" w14:textId="3BE181B2" w:rsidR="004F7F1F" w:rsidRPr="006F3ACA" w:rsidRDefault="004F7F1F" w:rsidP="004F7F1F">
      <w:pPr>
        <w:jc w:val="both"/>
        <w:rPr>
          <w:rFonts w:cs="Times New Roman"/>
          <w:color w:val="000000" w:themeColor="text1"/>
          <w:szCs w:val="24"/>
        </w:rPr>
      </w:pPr>
      <w:r w:rsidRPr="006F3ACA">
        <w:rPr>
          <w:rFonts w:cs="Times New Roman"/>
          <w:color w:val="000000" w:themeColor="text1"/>
          <w:szCs w:val="24"/>
        </w:rPr>
        <w:t xml:space="preserve">The protocols of 1.5T (Siemens, MAGNETOM </w:t>
      </w:r>
      <w:proofErr w:type="spellStart"/>
      <w:r w:rsidRPr="006F3ACA">
        <w:rPr>
          <w:rFonts w:cs="Times New Roman"/>
          <w:color w:val="000000" w:themeColor="text1"/>
          <w:szCs w:val="24"/>
        </w:rPr>
        <w:t>Avanto</w:t>
      </w:r>
      <w:proofErr w:type="spellEnd"/>
      <w:r w:rsidRPr="006F3ACA">
        <w:rPr>
          <w:rFonts w:cs="Times New Roman"/>
          <w:color w:val="000000" w:themeColor="text1"/>
          <w:szCs w:val="24"/>
        </w:rPr>
        <w:t xml:space="preserve">) MR </w:t>
      </w:r>
      <w:r w:rsidR="004E62EA" w:rsidRPr="006F3ACA">
        <w:rPr>
          <w:rFonts w:cs="Times New Roman"/>
          <w:color w:val="000000" w:themeColor="text1"/>
          <w:szCs w:val="24"/>
        </w:rPr>
        <w:t>scanner</w:t>
      </w:r>
      <w:r w:rsidRPr="006F3ACA">
        <w:rPr>
          <w:rFonts w:cs="Times New Roman"/>
          <w:color w:val="000000" w:themeColor="text1"/>
          <w:szCs w:val="24"/>
        </w:rPr>
        <w:t xml:space="preserve"> were as the following: axial T1-weighted spin-echo (T1WI)</w:t>
      </w:r>
      <w:r w:rsidR="004E62EA" w:rsidRPr="006F3ACA">
        <w:rPr>
          <w:rFonts w:cs="Times New Roman"/>
          <w:color w:val="000000" w:themeColor="text1"/>
          <w:szCs w:val="24"/>
        </w:rPr>
        <w:t xml:space="preserve"> </w:t>
      </w:r>
      <w:r w:rsidRPr="006F3ACA">
        <w:rPr>
          <w:rFonts w:cs="Times New Roman"/>
          <w:color w:val="000000" w:themeColor="text1"/>
          <w:szCs w:val="24"/>
        </w:rPr>
        <w:t>(TR/TE, 1990/9</w:t>
      </w:r>
      <w:r w:rsidR="004A3FBC" w:rsidRPr="006F3ACA">
        <w:rPr>
          <w:rFonts w:cs="Times New Roman"/>
          <w:color w:val="000000" w:themeColor="text1"/>
          <w:szCs w:val="24"/>
          <w:lang w:eastAsia="zh-CN"/>
        </w:rPr>
        <w:t xml:space="preserve"> </w:t>
      </w:r>
      <w:proofErr w:type="spellStart"/>
      <w:r w:rsidRPr="006F3ACA">
        <w:rPr>
          <w:rFonts w:cs="Times New Roman" w:hint="eastAsia"/>
          <w:color w:val="000000" w:themeColor="text1"/>
          <w:szCs w:val="24"/>
          <w:lang w:eastAsia="zh-CN"/>
        </w:rPr>
        <w:t>m</w:t>
      </w:r>
      <w:r w:rsidRPr="006F3ACA">
        <w:rPr>
          <w:rFonts w:cs="Times New Roman"/>
          <w:color w:val="000000" w:themeColor="text1"/>
          <w:szCs w:val="24"/>
        </w:rPr>
        <w:t>s</w:t>
      </w:r>
      <w:proofErr w:type="spellEnd"/>
      <w:r w:rsidRPr="006F3ACA">
        <w:rPr>
          <w:rFonts w:cs="Times New Roman"/>
          <w:color w:val="000000" w:themeColor="text1"/>
          <w:szCs w:val="24"/>
        </w:rPr>
        <w:t xml:space="preserve">; FOV, 22 cm; slice thickness/spacing, 5 mm/1.5 mm; matrix, 320 </w:t>
      </w:r>
      <w:r w:rsidR="002B43BB" w:rsidRPr="006F3ACA">
        <w:rPr>
          <w:rFonts w:cs="Times New Roman"/>
          <w:color w:val="000000" w:themeColor="text1"/>
          <w:szCs w:val="24"/>
          <w:lang w:eastAsia="zh-CN"/>
        </w:rPr>
        <w:t>×</w:t>
      </w:r>
      <w:r w:rsidRPr="006F3ACA">
        <w:rPr>
          <w:rFonts w:cs="Times New Roman"/>
          <w:color w:val="000000" w:themeColor="text1"/>
          <w:szCs w:val="24"/>
        </w:rPr>
        <w:t xml:space="preserve"> 228;</w:t>
      </w:r>
      <w:bookmarkStart w:id="4" w:name="OLE_LINK665"/>
      <w:bookmarkStart w:id="5" w:name="OLE_LINK666"/>
      <w:r w:rsidRPr="006F3ACA">
        <w:rPr>
          <w:rFonts w:cs="Times New Roman"/>
          <w:color w:val="000000" w:themeColor="text1"/>
          <w:szCs w:val="24"/>
        </w:rPr>
        <w:t xml:space="preserve"> voxel size, 0.7</w:t>
      </w:r>
      <w:r w:rsidR="004A3FBC" w:rsidRPr="006F3ACA">
        <w:rPr>
          <w:rFonts w:cs="Times New Roman"/>
          <w:color w:val="000000" w:themeColor="text1"/>
          <w:szCs w:val="24"/>
        </w:rPr>
        <w:t xml:space="preserve"> </w:t>
      </w:r>
      <w:bookmarkStart w:id="6" w:name="OLE_LINK246"/>
      <w:bookmarkStart w:id="7" w:name="OLE_LINK247"/>
      <w:r w:rsidR="004A3FBC" w:rsidRPr="006F3ACA">
        <w:rPr>
          <w:rFonts w:cs="Times New Roman"/>
          <w:color w:val="000000" w:themeColor="text1"/>
          <w:szCs w:val="24"/>
          <w:lang w:eastAsia="zh-CN"/>
        </w:rPr>
        <w:t>×</w:t>
      </w:r>
      <w:bookmarkEnd w:id="6"/>
      <w:bookmarkEnd w:id="7"/>
      <w:r w:rsidR="004A3FBC" w:rsidRPr="006F3ACA">
        <w:rPr>
          <w:rFonts w:cs="Times New Roman"/>
          <w:color w:val="000000" w:themeColor="text1"/>
          <w:szCs w:val="24"/>
          <w:lang w:eastAsia="zh-CN"/>
        </w:rPr>
        <w:t xml:space="preserve"> </w:t>
      </w:r>
      <w:r w:rsidRPr="006F3ACA">
        <w:rPr>
          <w:rFonts w:cs="Times New Roman"/>
          <w:color w:val="000000" w:themeColor="text1"/>
          <w:szCs w:val="24"/>
          <w:lang w:eastAsia="zh-CN"/>
        </w:rPr>
        <w:t>0.7</w:t>
      </w:r>
      <w:r w:rsidR="004A3FBC"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bookmarkEnd w:id="4"/>
      <w:bookmarkEnd w:id="5"/>
      <w:r w:rsidR="004E62EA" w:rsidRPr="006F3ACA">
        <w:rPr>
          <w:rFonts w:cs="Times New Roman"/>
          <w:color w:val="000000" w:themeColor="text1"/>
          <w:szCs w:val="24"/>
          <w:lang w:eastAsia="zh-CN"/>
        </w:rPr>
        <w:t>)</w:t>
      </w:r>
      <w:r w:rsidRPr="006F3ACA">
        <w:rPr>
          <w:rFonts w:cs="Times New Roman"/>
          <w:color w:val="000000" w:themeColor="text1"/>
          <w:szCs w:val="24"/>
        </w:rPr>
        <w:t>, T2-weighted imaging (T2WI)</w:t>
      </w:r>
      <w:r w:rsidR="004E62EA" w:rsidRPr="006F3ACA">
        <w:rPr>
          <w:rFonts w:cs="Times New Roman"/>
          <w:color w:val="000000" w:themeColor="text1"/>
          <w:szCs w:val="24"/>
        </w:rPr>
        <w:t xml:space="preserve"> </w:t>
      </w:r>
      <w:r w:rsidRPr="006F3ACA">
        <w:rPr>
          <w:rFonts w:cs="Times New Roman"/>
          <w:color w:val="000000" w:themeColor="text1"/>
          <w:szCs w:val="24"/>
        </w:rPr>
        <w:t>(fast spin-echo)</w:t>
      </w:r>
      <w:r w:rsidR="004E62EA" w:rsidRPr="006F3ACA">
        <w:rPr>
          <w:rFonts w:cs="Times New Roman"/>
          <w:color w:val="000000" w:themeColor="text1"/>
          <w:szCs w:val="24"/>
        </w:rPr>
        <w:t xml:space="preserve"> </w:t>
      </w:r>
      <w:r w:rsidRPr="006F3ACA">
        <w:rPr>
          <w:rFonts w:cs="Times New Roman"/>
          <w:color w:val="000000" w:themeColor="text1"/>
          <w:szCs w:val="24"/>
        </w:rPr>
        <w:t xml:space="preserve">(5360/109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22 cm; slice thickness/spacing, 5 mm/1.5 mm; matrix, 320 </w:t>
      </w:r>
      <w:r w:rsidR="004A3FBC" w:rsidRPr="006F3ACA">
        <w:rPr>
          <w:rFonts w:cs="Times New Roman"/>
          <w:color w:val="000000" w:themeColor="text1"/>
          <w:szCs w:val="24"/>
          <w:lang w:eastAsia="zh-CN"/>
        </w:rPr>
        <w:t>×</w:t>
      </w:r>
      <w:r w:rsidRPr="006F3ACA">
        <w:rPr>
          <w:rFonts w:cs="Times New Roman"/>
          <w:color w:val="000000" w:themeColor="text1"/>
          <w:szCs w:val="24"/>
        </w:rPr>
        <w:t xml:space="preserve"> 228; voxel size, 0.6</w:t>
      </w:r>
      <w:r w:rsidR="004A3FBC" w:rsidRPr="006F3ACA">
        <w:rPr>
          <w:rFonts w:cs="Times New Roman"/>
          <w:color w:val="000000" w:themeColor="text1"/>
          <w:szCs w:val="24"/>
        </w:rPr>
        <w:t xml:space="preserve"> </w:t>
      </w:r>
      <w:r w:rsidR="004A3FBC" w:rsidRPr="006F3ACA">
        <w:rPr>
          <w:rFonts w:cs="Times New Roman"/>
          <w:color w:val="000000" w:themeColor="text1"/>
          <w:szCs w:val="24"/>
          <w:lang w:eastAsia="zh-CN"/>
        </w:rPr>
        <w:t>×</w:t>
      </w:r>
      <w:r w:rsidR="004A3FBC" w:rsidRPr="006F3ACA">
        <w:rPr>
          <w:rFonts w:cs="Times New Roman" w:hint="eastAsia"/>
          <w:color w:val="000000" w:themeColor="text1"/>
          <w:szCs w:val="24"/>
          <w:lang w:eastAsia="zh-CN"/>
        </w:rPr>
        <w:t xml:space="preserve"> </w:t>
      </w:r>
      <w:r w:rsidRPr="006F3ACA">
        <w:rPr>
          <w:rFonts w:cs="Times New Roman"/>
          <w:color w:val="000000" w:themeColor="text1"/>
          <w:szCs w:val="24"/>
          <w:lang w:eastAsia="zh-CN"/>
        </w:rPr>
        <w:t>0.6</w:t>
      </w:r>
      <w:r w:rsidR="004A3FBC" w:rsidRPr="006F3ACA">
        <w:rPr>
          <w:rFonts w:cs="Times New Roman"/>
          <w:color w:val="000000" w:themeColor="text1"/>
          <w:szCs w:val="24"/>
          <w:lang w:eastAsia="zh-CN"/>
        </w:rPr>
        <w:t xml:space="preserve"> ×</w:t>
      </w:r>
      <w:r w:rsidR="004A3FBC" w:rsidRPr="006F3ACA">
        <w:rPr>
          <w:rFonts w:cs="Times New Roman" w:hint="eastAsia"/>
          <w:color w:val="000000" w:themeColor="text1"/>
          <w:szCs w:val="24"/>
          <w:lang w:eastAsia="zh-CN"/>
        </w:rPr>
        <w:t xml:space="preserve">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fluid attenuated inversion recovery (FLAIR) (</w:t>
      </w:r>
      <w:r w:rsidR="00C571CC" w:rsidRPr="006F3ACA">
        <w:rPr>
          <w:rFonts w:cs="Times New Roman"/>
          <w:color w:val="000000" w:themeColor="text1"/>
          <w:szCs w:val="24"/>
        </w:rPr>
        <w:t xml:space="preserve">TR/TE, </w:t>
      </w:r>
      <w:r w:rsidRPr="006F3ACA">
        <w:rPr>
          <w:rFonts w:cs="Times New Roman"/>
          <w:color w:val="000000" w:themeColor="text1"/>
          <w:szCs w:val="24"/>
        </w:rPr>
        <w:t xml:space="preserve">9000/95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22 cm; slice thickness/spacing, 5 mm/1.5 mm; matrix, 256 </w:t>
      </w:r>
      <w:r w:rsidR="004A3FBC" w:rsidRPr="006F3ACA">
        <w:rPr>
          <w:rFonts w:cs="Times New Roman"/>
          <w:color w:val="000000" w:themeColor="text1"/>
          <w:szCs w:val="24"/>
          <w:lang w:eastAsia="zh-CN"/>
        </w:rPr>
        <w:t>×</w:t>
      </w:r>
      <w:r w:rsidRPr="006F3ACA">
        <w:rPr>
          <w:rFonts w:cs="Times New Roman"/>
          <w:color w:val="000000" w:themeColor="text1"/>
          <w:szCs w:val="24"/>
        </w:rPr>
        <w:t xml:space="preserve"> 186; voxel size, 0.9</w:t>
      </w:r>
      <w:r w:rsidR="004A3FBC" w:rsidRPr="006F3ACA">
        <w:rPr>
          <w:rFonts w:cs="Times New Roman"/>
          <w:color w:val="000000" w:themeColor="text1"/>
          <w:szCs w:val="24"/>
        </w:rPr>
        <w:t xml:space="preserve"> </w:t>
      </w:r>
      <w:r w:rsidR="004A3FBC" w:rsidRPr="006F3ACA">
        <w:rPr>
          <w:rFonts w:cs="Times New Roman"/>
          <w:color w:val="000000" w:themeColor="text1"/>
          <w:szCs w:val="24"/>
          <w:lang w:eastAsia="zh-CN"/>
        </w:rPr>
        <w:t>×</w:t>
      </w:r>
      <w:r w:rsidR="004A3FBC" w:rsidRPr="006F3ACA">
        <w:rPr>
          <w:rFonts w:cs="Times New Roman" w:hint="eastAsia"/>
          <w:color w:val="000000" w:themeColor="text1"/>
          <w:szCs w:val="24"/>
          <w:lang w:eastAsia="zh-CN"/>
        </w:rPr>
        <w:t xml:space="preserve"> </w:t>
      </w:r>
      <w:r w:rsidRPr="006F3ACA">
        <w:rPr>
          <w:rFonts w:cs="Times New Roman"/>
          <w:color w:val="000000" w:themeColor="text1"/>
          <w:szCs w:val="24"/>
          <w:lang w:eastAsia="zh-CN"/>
        </w:rPr>
        <w:t>0.9</w:t>
      </w:r>
      <w:r w:rsidR="004A3FBC" w:rsidRPr="006F3ACA">
        <w:rPr>
          <w:rFonts w:cs="Times New Roman"/>
          <w:color w:val="000000" w:themeColor="text1"/>
          <w:szCs w:val="24"/>
          <w:lang w:eastAsia="zh-CN"/>
        </w:rPr>
        <w:t xml:space="preserve"> ×</w:t>
      </w:r>
      <w:r w:rsidR="004A3FBC" w:rsidRPr="006F3ACA">
        <w:rPr>
          <w:rFonts w:cs="Times New Roman" w:hint="eastAsia"/>
          <w:color w:val="000000" w:themeColor="text1"/>
          <w:szCs w:val="24"/>
          <w:lang w:eastAsia="zh-CN"/>
        </w:rPr>
        <w:t xml:space="preserve">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 and T2-weighted gradient-recalled echo (GRE) (</w:t>
      </w:r>
      <w:r w:rsidR="00C571CC" w:rsidRPr="006F3ACA">
        <w:rPr>
          <w:rFonts w:cs="Times New Roman"/>
          <w:color w:val="000000" w:themeColor="text1"/>
          <w:szCs w:val="24"/>
        </w:rPr>
        <w:t xml:space="preserve">TR/TE, </w:t>
      </w:r>
      <w:r w:rsidRPr="006F3ACA">
        <w:rPr>
          <w:rFonts w:cs="Times New Roman"/>
          <w:color w:val="000000" w:themeColor="text1"/>
          <w:szCs w:val="24"/>
        </w:rPr>
        <w:t xml:space="preserve">830/25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22 cm; slice thickness/spacing, 5 mm/1.5 mm; matrix, 256 </w:t>
      </w:r>
      <w:r w:rsidR="004A3FBC" w:rsidRPr="006F3ACA">
        <w:rPr>
          <w:rFonts w:cs="Times New Roman"/>
          <w:color w:val="000000" w:themeColor="text1"/>
          <w:szCs w:val="24"/>
          <w:lang w:eastAsia="zh-CN"/>
        </w:rPr>
        <w:t>×</w:t>
      </w:r>
      <w:r w:rsidRPr="006F3ACA">
        <w:rPr>
          <w:rFonts w:cs="Times New Roman" w:hint="eastAsia"/>
          <w:color w:val="000000" w:themeColor="text1"/>
          <w:szCs w:val="24"/>
          <w:lang w:eastAsia="zh-CN"/>
        </w:rPr>
        <w:t xml:space="preserve"> </w:t>
      </w:r>
      <w:r w:rsidRPr="006F3ACA">
        <w:rPr>
          <w:rFonts w:cs="Times New Roman"/>
          <w:color w:val="000000" w:themeColor="text1"/>
          <w:szCs w:val="24"/>
        </w:rPr>
        <w:t>186</w:t>
      </w:r>
      <w:r w:rsidRPr="006F3ACA">
        <w:rPr>
          <w:rFonts w:cs="Times New Roman"/>
          <w:color w:val="000000" w:themeColor="text1"/>
          <w:szCs w:val="24"/>
          <w:lang w:eastAsia="zh-CN"/>
        </w:rPr>
        <w:t xml:space="preserve">; </w:t>
      </w:r>
      <w:r w:rsidRPr="006F3ACA">
        <w:rPr>
          <w:rFonts w:cs="Times New Roman"/>
          <w:color w:val="000000" w:themeColor="text1"/>
          <w:szCs w:val="24"/>
        </w:rPr>
        <w:t>voxel size, 0.8</w:t>
      </w:r>
      <w:r w:rsidR="004A3FBC" w:rsidRPr="006F3ACA">
        <w:rPr>
          <w:rFonts w:cs="Times New Roman"/>
          <w:color w:val="000000" w:themeColor="text1"/>
          <w:szCs w:val="24"/>
        </w:rPr>
        <w:t xml:space="preserve"> </w:t>
      </w:r>
      <w:r w:rsidR="004A3FBC" w:rsidRPr="006F3ACA">
        <w:rPr>
          <w:rFonts w:cs="Times New Roman"/>
          <w:color w:val="000000" w:themeColor="text1"/>
          <w:szCs w:val="24"/>
          <w:lang w:eastAsia="zh-CN"/>
        </w:rPr>
        <w:t xml:space="preserve">× </w:t>
      </w:r>
      <w:r w:rsidRPr="006F3ACA">
        <w:rPr>
          <w:rFonts w:cs="Times New Roman"/>
          <w:color w:val="000000" w:themeColor="text1"/>
          <w:szCs w:val="24"/>
          <w:lang w:eastAsia="zh-CN"/>
        </w:rPr>
        <w:t>1.0</w:t>
      </w:r>
      <w:r w:rsidR="004A3FBC"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Contrast-enhanced images obtained in axial and coronal and sagittal T1WI </w:t>
      </w:r>
      <w:r w:rsidRPr="006F3ACA">
        <w:rPr>
          <w:rFonts w:cs="Times New Roman"/>
          <w:color w:val="000000" w:themeColor="text1"/>
          <w:szCs w:val="24"/>
          <w:lang w:eastAsia="zh-CN"/>
        </w:rPr>
        <w:t>with fat satu</w:t>
      </w:r>
      <w:r w:rsidR="004A3FBC" w:rsidRPr="006F3ACA">
        <w:rPr>
          <w:rFonts w:cs="Times New Roman" w:hint="eastAsia"/>
          <w:color w:val="000000" w:themeColor="text1"/>
          <w:szCs w:val="24"/>
          <w:lang w:eastAsia="zh-CN"/>
        </w:rPr>
        <w:t>r</w:t>
      </w:r>
      <w:r w:rsidRPr="006F3ACA">
        <w:rPr>
          <w:rFonts w:cs="Times New Roman"/>
          <w:color w:val="000000" w:themeColor="text1"/>
          <w:szCs w:val="24"/>
          <w:lang w:eastAsia="zh-CN"/>
        </w:rPr>
        <w:t xml:space="preserve">ation </w:t>
      </w:r>
      <w:r w:rsidRPr="006F3ACA">
        <w:rPr>
          <w:rFonts w:cs="Times New Roman"/>
          <w:color w:val="000000" w:themeColor="text1"/>
          <w:szCs w:val="24"/>
        </w:rPr>
        <w:t xml:space="preserve">(1950/10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23 cm; slice thickness/spacing, 5 mm/1.5 mm; matrix, </w:t>
      </w:r>
      <w:bookmarkStart w:id="8" w:name="OLE_LINK667"/>
      <w:bookmarkStart w:id="9" w:name="OLE_LINK668"/>
      <w:r w:rsidRPr="006F3ACA">
        <w:rPr>
          <w:rFonts w:cs="Times New Roman"/>
          <w:color w:val="000000" w:themeColor="text1"/>
          <w:szCs w:val="24"/>
        </w:rPr>
        <w:t>256</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256</w:t>
      </w:r>
      <w:bookmarkEnd w:id="8"/>
      <w:bookmarkEnd w:id="9"/>
      <w:r w:rsidR="00E816FA" w:rsidRPr="006F3ACA">
        <w:rPr>
          <w:rFonts w:cs="Times New Roman"/>
          <w:color w:val="000000" w:themeColor="text1"/>
          <w:szCs w:val="24"/>
        </w:rPr>
        <w:t xml:space="preserve">, </w:t>
      </w:r>
      <w:r w:rsidR="00E06CDD" w:rsidRPr="006F3ACA">
        <w:rPr>
          <w:rFonts w:cs="Times New Roman"/>
          <w:color w:val="000000" w:themeColor="text1"/>
          <w:szCs w:val="24"/>
        </w:rPr>
        <w:t xml:space="preserve">voxel size, </w:t>
      </w:r>
      <w:r w:rsidRPr="006F3ACA">
        <w:rPr>
          <w:rFonts w:cs="Times New Roman"/>
          <w:color w:val="000000" w:themeColor="text1"/>
          <w:szCs w:val="24"/>
        </w:rPr>
        <w:t>0.9</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0.9</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were performed after intravenous administration of 0.1 mmol/kg of body weight of </w:t>
      </w:r>
      <w:proofErr w:type="spellStart"/>
      <w:r w:rsidR="00E816FA" w:rsidRPr="006F3ACA">
        <w:rPr>
          <w:rFonts w:cs="Times New Roman"/>
          <w:color w:val="000000" w:themeColor="text1"/>
          <w:szCs w:val="24"/>
        </w:rPr>
        <w:t>gadobutrol</w:t>
      </w:r>
      <w:proofErr w:type="spellEnd"/>
      <w:r w:rsidR="00E816FA" w:rsidRPr="006F3ACA">
        <w:rPr>
          <w:rFonts w:cs="Times New Roman"/>
          <w:color w:val="000000" w:themeColor="text1"/>
          <w:szCs w:val="24"/>
        </w:rPr>
        <w:t xml:space="preserve"> (</w:t>
      </w:r>
      <w:proofErr w:type="spellStart"/>
      <w:r w:rsidR="00E816FA" w:rsidRPr="006F3ACA">
        <w:rPr>
          <w:rFonts w:cs="Times New Roman"/>
          <w:color w:val="000000" w:themeColor="text1"/>
          <w:szCs w:val="24"/>
        </w:rPr>
        <w:t>Gadovist</w:t>
      </w:r>
      <w:proofErr w:type="spellEnd"/>
      <w:r w:rsidR="00E816FA" w:rsidRPr="006F3ACA">
        <w:rPr>
          <w:rFonts w:cs="Times New Roman"/>
          <w:color w:val="000000" w:themeColor="text1"/>
          <w:szCs w:val="24"/>
        </w:rPr>
        <w:t>, Bayer Healthcare, Germany)</w:t>
      </w:r>
      <w:r w:rsidRPr="006F3ACA">
        <w:rPr>
          <w:rFonts w:cs="Times New Roman"/>
          <w:color w:val="000000" w:themeColor="text1"/>
          <w:szCs w:val="24"/>
        </w:rPr>
        <w:t xml:space="preserve">. The DWI was performed by applying sequentially in the x, y, and z directions with the following parameters: TR/TE, 3800/100 </w:t>
      </w:r>
      <w:proofErr w:type="spellStart"/>
      <w:r w:rsidRPr="006F3ACA">
        <w:rPr>
          <w:rFonts w:cs="Times New Roman"/>
          <w:color w:val="000000" w:themeColor="text1"/>
          <w:szCs w:val="24"/>
        </w:rPr>
        <w:t>ms</w:t>
      </w:r>
      <w:proofErr w:type="spellEnd"/>
      <w:r w:rsidR="00330ECD" w:rsidRPr="006F3ACA">
        <w:rPr>
          <w:rFonts w:cs="Times New Roman"/>
          <w:color w:val="000000" w:themeColor="text1"/>
          <w:szCs w:val="24"/>
        </w:rPr>
        <w:t>;</w:t>
      </w:r>
      <w:r w:rsidRPr="006F3ACA">
        <w:rPr>
          <w:rFonts w:cs="Times New Roman"/>
          <w:color w:val="000000" w:themeColor="text1"/>
          <w:szCs w:val="24"/>
        </w:rPr>
        <w:t xml:space="preserve"> FOV</w:t>
      </w:r>
      <w:r w:rsidRPr="006F3ACA">
        <w:rPr>
          <w:rFonts w:cs="Times New Roman"/>
          <w:color w:val="000000" w:themeColor="text1"/>
          <w:szCs w:val="24"/>
          <w:lang w:eastAsia="zh-CN"/>
        </w:rPr>
        <w:t xml:space="preserve">, </w:t>
      </w:r>
      <w:r w:rsidRPr="006F3ACA">
        <w:rPr>
          <w:rFonts w:cs="Times New Roman"/>
          <w:color w:val="000000" w:themeColor="text1"/>
          <w:szCs w:val="24"/>
        </w:rPr>
        <w:t>23 cm; flip angle, 90 degrees</w:t>
      </w:r>
      <w:r w:rsidR="00330ECD" w:rsidRPr="006F3ACA">
        <w:rPr>
          <w:rFonts w:cs="Times New Roman"/>
          <w:color w:val="000000" w:themeColor="text1"/>
          <w:szCs w:val="24"/>
        </w:rPr>
        <w:t>;</w:t>
      </w:r>
      <w:r w:rsidRPr="006F3ACA">
        <w:rPr>
          <w:rFonts w:cs="Times New Roman"/>
          <w:color w:val="000000" w:themeColor="text1"/>
          <w:szCs w:val="24"/>
        </w:rPr>
        <w:t xml:space="preserve"> slice thickness/spacing, 5 mm/1.5 mm</w:t>
      </w:r>
      <w:bookmarkStart w:id="10" w:name="OLE_LINK659"/>
      <w:bookmarkStart w:id="11" w:name="OLE_LINK660"/>
      <w:r w:rsidRPr="006F3ACA">
        <w:rPr>
          <w:rFonts w:cs="Times New Roman"/>
          <w:color w:val="000000" w:themeColor="text1"/>
          <w:szCs w:val="24"/>
        </w:rPr>
        <w:t xml:space="preserve">; matrix 150 </w:t>
      </w:r>
      <w:r w:rsidR="004E62EA" w:rsidRPr="006F3ACA">
        <w:rPr>
          <w:rFonts w:cs="Times New Roman"/>
          <w:color w:val="000000" w:themeColor="text1"/>
          <w:szCs w:val="24"/>
          <w:lang w:eastAsia="zh-CN"/>
        </w:rPr>
        <w:t>×</w:t>
      </w:r>
      <w:r w:rsidRPr="006F3ACA">
        <w:rPr>
          <w:rFonts w:cs="Times New Roman"/>
          <w:color w:val="000000" w:themeColor="text1"/>
          <w:szCs w:val="24"/>
          <w:lang w:eastAsia="zh-CN"/>
        </w:rPr>
        <w:t xml:space="preserve"> 150</w:t>
      </w:r>
      <w:r w:rsidRPr="006F3ACA">
        <w:rPr>
          <w:rFonts w:cs="Times New Roman" w:hint="eastAsia"/>
          <w:color w:val="000000" w:themeColor="text1"/>
          <w:szCs w:val="24"/>
          <w:lang w:eastAsia="zh-CN"/>
        </w:rPr>
        <w:t>;</w:t>
      </w:r>
      <w:r w:rsidRPr="006F3ACA">
        <w:rPr>
          <w:rFonts w:cs="Times New Roman"/>
          <w:color w:val="000000" w:themeColor="text1"/>
          <w:szCs w:val="24"/>
          <w:lang w:eastAsia="zh-CN"/>
        </w:rPr>
        <w:t xml:space="preserve"> voxel size, 1.6</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1.6</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bookmarkEnd w:id="10"/>
      <w:bookmarkEnd w:id="11"/>
      <w:r w:rsidRPr="006F3ACA">
        <w:rPr>
          <w:rFonts w:cs="Times New Roman"/>
          <w:color w:val="000000" w:themeColor="text1"/>
          <w:szCs w:val="24"/>
        </w:rPr>
        <w:t>; b = 0, 500, and 1000 sec/mm</w:t>
      </w:r>
      <w:r w:rsidRPr="006F3ACA">
        <w:rPr>
          <w:rFonts w:cs="Times New Roman"/>
          <w:color w:val="000000" w:themeColor="text1"/>
          <w:szCs w:val="24"/>
          <w:vertAlign w:val="superscript"/>
        </w:rPr>
        <w:t>2</w:t>
      </w:r>
      <w:r w:rsidRPr="006F3ACA">
        <w:rPr>
          <w:rFonts w:cs="Times New Roman"/>
          <w:color w:val="000000" w:themeColor="text1"/>
          <w:szCs w:val="24"/>
        </w:rPr>
        <w:t>. ADC maps were obtained from these imaging data.</w:t>
      </w:r>
    </w:p>
    <w:p w14:paraId="726C9B96" w14:textId="050B9C69" w:rsidR="004F7F1F" w:rsidRPr="006F3ACA" w:rsidRDefault="004F7F1F" w:rsidP="004F7F1F">
      <w:pPr>
        <w:jc w:val="both"/>
        <w:rPr>
          <w:rFonts w:cs="Times New Roman"/>
          <w:color w:val="000000" w:themeColor="text1"/>
          <w:szCs w:val="24"/>
        </w:rPr>
      </w:pPr>
      <w:r w:rsidRPr="006F3ACA">
        <w:rPr>
          <w:rFonts w:cs="Times New Roman"/>
          <w:color w:val="000000" w:themeColor="text1"/>
          <w:szCs w:val="24"/>
        </w:rPr>
        <w:t>The protocols of 3.0T (</w:t>
      </w:r>
      <w:r w:rsidRPr="006F3ACA">
        <w:rPr>
          <w:rFonts w:cs="Times New Roman"/>
          <w:color w:val="000000" w:themeColor="text1"/>
          <w:szCs w:val="24"/>
          <w:lang w:eastAsia="zh-CN"/>
        </w:rPr>
        <w:t>S</w:t>
      </w:r>
      <w:r w:rsidRPr="006F3ACA">
        <w:rPr>
          <w:rFonts w:cs="Times New Roman" w:hint="eastAsia"/>
          <w:color w:val="000000" w:themeColor="text1"/>
          <w:szCs w:val="24"/>
          <w:lang w:eastAsia="zh-CN"/>
        </w:rPr>
        <w:t>iemens</w:t>
      </w:r>
      <w:r w:rsidRPr="006F3ACA">
        <w:rPr>
          <w:rFonts w:cs="Times New Roman"/>
          <w:color w:val="000000" w:themeColor="text1"/>
          <w:szCs w:val="24"/>
          <w:lang w:eastAsia="zh-CN"/>
        </w:rPr>
        <w:t>, MAGNETOM</w:t>
      </w:r>
      <w:r w:rsidRPr="006F3ACA">
        <w:rPr>
          <w:rFonts w:cs="Times New Roman"/>
          <w:color w:val="000000" w:themeColor="text1"/>
          <w:szCs w:val="24"/>
        </w:rPr>
        <w:t xml:space="preserve"> </w:t>
      </w:r>
      <w:r w:rsidRPr="006F3ACA">
        <w:rPr>
          <w:rFonts w:cs="Times New Roman"/>
          <w:color w:val="000000" w:themeColor="text1"/>
          <w:szCs w:val="24"/>
          <w:lang w:eastAsia="zh-CN"/>
        </w:rPr>
        <w:t>T</w:t>
      </w:r>
      <w:r w:rsidRPr="006F3ACA">
        <w:rPr>
          <w:rFonts w:cs="Times New Roman" w:hint="eastAsia"/>
          <w:color w:val="000000" w:themeColor="text1"/>
          <w:szCs w:val="24"/>
          <w:lang w:eastAsia="zh-CN"/>
        </w:rPr>
        <w:t>rio</w:t>
      </w:r>
      <w:r w:rsidRPr="006F3ACA">
        <w:rPr>
          <w:rFonts w:cs="Times New Roman"/>
          <w:color w:val="000000" w:themeColor="text1"/>
          <w:szCs w:val="24"/>
        </w:rPr>
        <w:t xml:space="preserve">) MR </w:t>
      </w:r>
      <w:r w:rsidR="004E62EA" w:rsidRPr="006F3ACA">
        <w:rPr>
          <w:rFonts w:cs="Times New Roman"/>
          <w:color w:val="000000" w:themeColor="text1"/>
          <w:szCs w:val="24"/>
        </w:rPr>
        <w:t>scanner</w:t>
      </w:r>
      <w:r w:rsidRPr="006F3ACA">
        <w:rPr>
          <w:rFonts w:cs="Times New Roman"/>
          <w:color w:val="000000" w:themeColor="text1"/>
          <w:szCs w:val="24"/>
        </w:rPr>
        <w:t xml:space="preserve"> were as following: axial T1WI (TR/TE, 2000/25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20 cm; slice thickness/spacing, 5 mm/1.5 mm; matrix, 320 </w:t>
      </w:r>
      <w:r w:rsidR="004E62EA" w:rsidRPr="006F3ACA">
        <w:rPr>
          <w:rFonts w:cs="Times New Roman"/>
          <w:color w:val="000000" w:themeColor="text1"/>
          <w:szCs w:val="24"/>
          <w:lang w:eastAsia="zh-CN"/>
        </w:rPr>
        <w:t xml:space="preserve">× </w:t>
      </w:r>
      <w:r w:rsidRPr="006F3ACA">
        <w:rPr>
          <w:rFonts w:cs="Times New Roman"/>
          <w:color w:val="000000" w:themeColor="text1"/>
          <w:szCs w:val="24"/>
        </w:rPr>
        <w:t>240</w:t>
      </w:r>
      <w:r w:rsidRPr="006F3ACA">
        <w:rPr>
          <w:rFonts w:cs="Times New Roman"/>
          <w:color w:val="000000" w:themeColor="text1"/>
          <w:szCs w:val="24"/>
          <w:lang w:eastAsia="zh-CN"/>
        </w:rPr>
        <w:t xml:space="preserve">; </w:t>
      </w:r>
      <w:r w:rsidRPr="006F3ACA">
        <w:rPr>
          <w:rFonts w:cs="Times New Roman"/>
          <w:color w:val="000000" w:themeColor="text1"/>
          <w:szCs w:val="24"/>
        </w:rPr>
        <w:t>voxel size, 0.7</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0.9</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T2WI (</w:t>
      </w:r>
      <w:r w:rsidR="004E2F06" w:rsidRPr="006F3ACA">
        <w:rPr>
          <w:rFonts w:cs="Times New Roman"/>
          <w:color w:val="000000" w:themeColor="text1"/>
          <w:szCs w:val="24"/>
        </w:rPr>
        <w:t xml:space="preserve">TR/TE, </w:t>
      </w:r>
      <w:r w:rsidRPr="006F3ACA">
        <w:rPr>
          <w:rFonts w:cs="Times New Roman"/>
          <w:color w:val="000000" w:themeColor="text1"/>
          <w:szCs w:val="24"/>
        </w:rPr>
        <w:t xml:space="preserve">6000/91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20 cm; slice thickness/spacing, 5 mm/1.5 mm; matrix, 320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240</w:t>
      </w:r>
      <w:r w:rsidRPr="006F3ACA">
        <w:rPr>
          <w:rFonts w:cs="Times New Roman"/>
          <w:color w:val="000000" w:themeColor="text1"/>
          <w:szCs w:val="24"/>
          <w:lang w:eastAsia="zh-CN"/>
        </w:rPr>
        <w:t xml:space="preserve">; </w:t>
      </w:r>
      <w:r w:rsidRPr="006F3ACA">
        <w:rPr>
          <w:rFonts w:cs="Times New Roman"/>
          <w:color w:val="000000" w:themeColor="text1"/>
          <w:szCs w:val="24"/>
        </w:rPr>
        <w:t>voxel size, 0.7</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0.7</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FLAIR (9000/94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20 cm; slice thickness/spacing, 5 mm/1.5 mm; matrix, 256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186</w:t>
      </w:r>
      <w:r w:rsidRPr="006F3ACA">
        <w:rPr>
          <w:rFonts w:cs="Times New Roman"/>
          <w:color w:val="000000" w:themeColor="text1"/>
          <w:szCs w:val="24"/>
          <w:lang w:eastAsia="zh-CN"/>
        </w:rPr>
        <w:t xml:space="preserve">; </w:t>
      </w:r>
      <w:r w:rsidRPr="006F3ACA">
        <w:rPr>
          <w:rFonts w:cs="Times New Roman"/>
          <w:color w:val="000000" w:themeColor="text1"/>
          <w:szCs w:val="24"/>
        </w:rPr>
        <w:t>voxel size, 0.9</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0.9</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and T2-weighted GRE (</w:t>
      </w:r>
      <w:r w:rsidR="004E2F06" w:rsidRPr="006F3ACA">
        <w:rPr>
          <w:rFonts w:cs="Times New Roman"/>
          <w:color w:val="000000" w:themeColor="text1"/>
          <w:szCs w:val="24"/>
        </w:rPr>
        <w:t xml:space="preserve">TR/TE, </w:t>
      </w:r>
      <w:r w:rsidRPr="006F3ACA">
        <w:rPr>
          <w:rFonts w:cs="Times New Roman"/>
          <w:color w:val="000000" w:themeColor="text1"/>
          <w:szCs w:val="24"/>
        </w:rPr>
        <w:t xml:space="preserve">830/25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20 cm; slice thickness/spacing, 5 mm/1.5 mm; matrix, 288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186</w:t>
      </w:r>
      <w:r w:rsidRPr="006F3ACA">
        <w:rPr>
          <w:rFonts w:cs="Times New Roman"/>
          <w:color w:val="000000" w:themeColor="text1"/>
          <w:szCs w:val="24"/>
          <w:lang w:eastAsia="zh-CN"/>
        </w:rPr>
        <w:t xml:space="preserve">; </w:t>
      </w:r>
      <w:r w:rsidRPr="006F3ACA">
        <w:rPr>
          <w:rFonts w:cs="Times New Roman"/>
          <w:color w:val="000000" w:themeColor="text1"/>
          <w:szCs w:val="24"/>
        </w:rPr>
        <w:t>voxel size, 0.8</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1.0</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Contrast-enhanced axial and coronal and sagittal T1WI </w:t>
      </w:r>
      <w:r w:rsidR="004E62EA" w:rsidRPr="006F3ACA">
        <w:rPr>
          <w:rFonts w:cs="Times New Roman"/>
          <w:color w:val="000000" w:themeColor="text1"/>
          <w:szCs w:val="24"/>
        </w:rPr>
        <w:t xml:space="preserve">with fat saturation </w:t>
      </w:r>
      <w:r w:rsidRPr="006F3ACA">
        <w:rPr>
          <w:rFonts w:cs="Times New Roman"/>
          <w:color w:val="000000" w:themeColor="text1"/>
          <w:szCs w:val="24"/>
        </w:rPr>
        <w:t>(</w:t>
      </w:r>
      <w:r w:rsidR="004E2F06" w:rsidRPr="006F3ACA">
        <w:rPr>
          <w:rFonts w:cs="Times New Roman"/>
          <w:color w:val="000000" w:themeColor="text1"/>
          <w:szCs w:val="24"/>
        </w:rPr>
        <w:t xml:space="preserve">TR/TE, </w:t>
      </w:r>
      <w:r w:rsidRPr="006F3ACA">
        <w:rPr>
          <w:rFonts w:cs="Times New Roman"/>
          <w:color w:val="000000" w:themeColor="text1"/>
          <w:szCs w:val="24"/>
        </w:rPr>
        <w:t xml:space="preserve">2500/25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20 cm; slice thickness/spacing, 5 mm/1.5 mm; matrix, 256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256</w:t>
      </w:r>
      <w:r w:rsidRPr="006F3ACA">
        <w:rPr>
          <w:rFonts w:cs="Times New Roman"/>
          <w:color w:val="000000" w:themeColor="text1"/>
          <w:szCs w:val="24"/>
          <w:lang w:eastAsia="zh-CN"/>
        </w:rPr>
        <w:t xml:space="preserve">; </w:t>
      </w:r>
      <w:r w:rsidRPr="006F3ACA">
        <w:rPr>
          <w:rFonts w:cs="Times New Roman"/>
          <w:color w:val="000000" w:themeColor="text1"/>
          <w:szCs w:val="24"/>
        </w:rPr>
        <w:t>voxel size, 0.9</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0.9</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with intravenous administration of 0.1 mmol/kg of </w:t>
      </w:r>
      <w:proofErr w:type="spellStart"/>
      <w:r w:rsidR="00E816FA" w:rsidRPr="006F3ACA">
        <w:rPr>
          <w:rFonts w:cs="Times New Roman"/>
          <w:color w:val="000000" w:themeColor="text1"/>
          <w:szCs w:val="24"/>
        </w:rPr>
        <w:t>gadobutrol</w:t>
      </w:r>
      <w:proofErr w:type="spellEnd"/>
      <w:r w:rsidR="00E816FA" w:rsidRPr="006F3ACA">
        <w:rPr>
          <w:rFonts w:cs="Times New Roman"/>
          <w:color w:val="000000" w:themeColor="text1"/>
          <w:szCs w:val="24"/>
        </w:rPr>
        <w:t xml:space="preserve"> (</w:t>
      </w:r>
      <w:proofErr w:type="spellStart"/>
      <w:r w:rsidR="00E816FA" w:rsidRPr="006F3ACA">
        <w:rPr>
          <w:rFonts w:cs="Times New Roman"/>
          <w:color w:val="000000" w:themeColor="text1"/>
          <w:szCs w:val="24"/>
        </w:rPr>
        <w:t>Gadovist</w:t>
      </w:r>
      <w:proofErr w:type="spellEnd"/>
      <w:r w:rsidR="00E816FA" w:rsidRPr="006F3ACA">
        <w:rPr>
          <w:rFonts w:cs="Times New Roman"/>
          <w:color w:val="000000" w:themeColor="text1"/>
          <w:szCs w:val="24"/>
        </w:rPr>
        <w:t>, Bayer Healthcare, Germany)</w:t>
      </w:r>
      <w:r w:rsidRPr="006F3ACA">
        <w:rPr>
          <w:rFonts w:cs="Times New Roman"/>
          <w:color w:val="000000" w:themeColor="text1"/>
          <w:szCs w:val="24"/>
        </w:rPr>
        <w:t xml:space="preserve">. The DWI was performed by applying sequentially in the x, y, and z directions with the following parameters: TR/TE, 3100/91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FOV</w:t>
      </w:r>
      <w:r w:rsidRPr="006F3ACA">
        <w:rPr>
          <w:rFonts w:cs="Times New Roman"/>
          <w:color w:val="000000" w:themeColor="text1"/>
          <w:szCs w:val="24"/>
          <w:lang w:eastAsia="zh-CN"/>
        </w:rPr>
        <w:t xml:space="preserve">, </w:t>
      </w:r>
      <w:r w:rsidRPr="006F3ACA">
        <w:rPr>
          <w:rFonts w:cs="Times New Roman"/>
          <w:color w:val="000000" w:themeColor="text1"/>
          <w:szCs w:val="24"/>
        </w:rPr>
        <w:t>20 cm; flip angle, 90 degrees</w:t>
      </w:r>
      <w:r w:rsidR="006A346B" w:rsidRPr="006F3ACA">
        <w:rPr>
          <w:rFonts w:cs="Times New Roman" w:hint="eastAsia"/>
          <w:color w:val="000000" w:themeColor="text1"/>
          <w:szCs w:val="24"/>
          <w:lang w:eastAsia="zh-CN"/>
        </w:rPr>
        <w:t>;</w:t>
      </w:r>
      <w:r w:rsidRPr="006F3ACA">
        <w:rPr>
          <w:rFonts w:cs="Times New Roman"/>
          <w:color w:val="000000" w:themeColor="text1"/>
          <w:szCs w:val="24"/>
        </w:rPr>
        <w:t xml:space="preserve"> slice thickness/spacing, 5 mm/1.5 mm</w:t>
      </w:r>
      <w:r w:rsidR="007F3702" w:rsidRPr="006F3ACA">
        <w:rPr>
          <w:rFonts w:cs="Times New Roman"/>
          <w:color w:val="000000" w:themeColor="text1"/>
          <w:szCs w:val="24"/>
        </w:rPr>
        <w:t>;</w:t>
      </w:r>
      <w:r w:rsidRPr="006F3ACA">
        <w:rPr>
          <w:rFonts w:cs="Times New Roman"/>
          <w:color w:val="000000" w:themeColor="text1"/>
          <w:szCs w:val="24"/>
        </w:rPr>
        <w:t xml:space="preserve"> matrix 192 </w:t>
      </w:r>
      <w:r w:rsidR="004E62EA" w:rsidRPr="006F3ACA">
        <w:rPr>
          <w:rFonts w:cs="Times New Roman"/>
          <w:color w:val="000000" w:themeColor="text1"/>
          <w:szCs w:val="24"/>
          <w:lang w:eastAsia="zh-CN"/>
        </w:rPr>
        <w:t>×</w:t>
      </w:r>
      <w:r w:rsidRPr="006F3ACA">
        <w:rPr>
          <w:rFonts w:cs="Times New Roman"/>
          <w:color w:val="000000" w:themeColor="text1"/>
          <w:szCs w:val="24"/>
          <w:lang w:eastAsia="zh-CN"/>
        </w:rPr>
        <w:t xml:space="preserve"> 192</w:t>
      </w:r>
      <w:r w:rsidRPr="006F3ACA">
        <w:rPr>
          <w:rFonts w:cs="Times New Roman" w:hint="eastAsia"/>
          <w:color w:val="000000" w:themeColor="text1"/>
          <w:szCs w:val="24"/>
          <w:lang w:eastAsia="zh-CN"/>
        </w:rPr>
        <w:t>;</w:t>
      </w:r>
      <w:r w:rsidRPr="006F3ACA">
        <w:rPr>
          <w:rFonts w:cs="Times New Roman"/>
          <w:color w:val="000000" w:themeColor="text1"/>
          <w:szCs w:val="24"/>
          <w:lang w:eastAsia="zh-CN"/>
        </w:rPr>
        <w:t xml:space="preserve"> voxel size, 1.2</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1.2</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b = 0, 500, and 1000 sec/mm2. ADC maps were obtained from these imaging data.</w:t>
      </w:r>
    </w:p>
    <w:p w14:paraId="6B93AC3B" w14:textId="24A255A4" w:rsidR="004E62EA" w:rsidRPr="006F3ACA" w:rsidRDefault="004F7F1F" w:rsidP="004F7F1F">
      <w:pPr>
        <w:jc w:val="both"/>
        <w:rPr>
          <w:rFonts w:cs="Times New Roman"/>
          <w:color w:val="000000" w:themeColor="text1"/>
          <w:szCs w:val="24"/>
          <w:lang w:eastAsia="zh-CN"/>
        </w:rPr>
      </w:pPr>
      <w:r w:rsidRPr="006F3ACA">
        <w:rPr>
          <w:rFonts w:cs="Times New Roman"/>
          <w:color w:val="000000" w:themeColor="text1"/>
          <w:szCs w:val="24"/>
        </w:rPr>
        <w:t>The protocols of 3</w:t>
      </w:r>
      <w:r w:rsidR="00CA19A4" w:rsidRPr="006F3ACA">
        <w:rPr>
          <w:rFonts w:cs="Times New Roman"/>
          <w:color w:val="000000" w:themeColor="text1"/>
          <w:szCs w:val="24"/>
        </w:rPr>
        <w:t>.0</w:t>
      </w:r>
      <w:r w:rsidRPr="006F3ACA">
        <w:rPr>
          <w:rFonts w:cs="Times New Roman"/>
          <w:color w:val="000000" w:themeColor="text1"/>
          <w:szCs w:val="24"/>
        </w:rPr>
        <w:t xml:space="preserve">T (GE Healthcare, Discovery MR750) MR </w:t>
      </w:r>
      <w:r w:rsidR="004E62EA" w:rsidRPr="006F3ACA">
        <w:rPr>
          <w:rFonts w:cs="Times New Roman"/>
          <w:color w:val="000000" w:themeColor="text1"/>
          <w:szCs w:val="24"/>
        </w:rPr>
        <w:t>scanner</w:t>
      </w:r>
      <w:r w:rsidRPr="006F3ACA">
        <w:rPr>
          <w:rFonts w:cs="Times New Roman"/>
          <w:color w:val="000000" w:themeColor="text1"/>
          <w:szCs w:val="24"/>
        </w:rPr>
        <w:t xml:space="preserve"> were as following: axial T1WI (TR/TE, 3400/24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22 cm; slice thickness/spacing, 5 mm/1.5 mm; matrix, 320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256</w:t>
      </w:r>
      <w:r w:rsidRPr="006F3ACA">
        <w:rPr>
          <w:rFonts w:cs="Times New Roman" w:hint="eastAsia"/>
          <w:color w:val="000000" w:themeColor="text1"/>
          <w:szCs w:val="24"/>
          <w:lang w:eastAsia="zh-CN"/>
        </w:rPr>
        <w:t>;</w:t>
      </w:r>
      <w:r w:rsidRPr="006F3ACA">
        <w:rPr>
          <w:rFonts w:cs="Times New Roman"/>
          <w:color w:val="000000" w:themeColor="text1"/>
          <w:szCs w:val="24"/>
          <w:lang w:eastAsia="zh-CN"/>
        </w:rPr>
        <w:t xml:space="preserve"> </w:t>
      </w:r>
      <w:r w:rsidRPr="006F3ACA">
        <w:rPr>
          <w:rFonts w:cs="Times New Roman"/>
          <w:color w:val="000000" w:themeColor="text1"/>
          <w:szCs w:val="24"/>
        </w:rPr>
        <w:t>voxel size, 0.7</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0.9</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T2WI (</w:t>
      </w:r>
      <w:r w:rsidR="001B2351" w:rsidRPr="006F3ACA">
        <w:rPr>
          <w:rFonts w:cs="Times New Roman"/>
          <w:color w:val="000000" w:themeColor="text1"/>
          <w:szCs w:val="24"/>
        </w:rPr>
        <w:t xml:space="preserve">TR/TE, </w:t>
      </w:r>
      <w:r w:rsidRPr="006F3ACA">
        <w:rPr>
          <w:rFonts w:cs="Times New Roman"/>
          <w:color w:val="000000" w:themeColor="text1"/>
          <w:szCs w:val="24"/>
        </w:rPr>
        <w:t xml:space="preserve">6400/140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FOV,</w:t>
      </w:r>
      <w:r w:rsidRPr="006F3ACA" w:rsidDel="00685601">
        <w:rPr>
          <w:rFonts w:cs="Times New Roman"/>
          <w:color w:val="000000" w:themeColor="text1"/>
          <w:szCs w:val="24"/>
        </w:rPr>
        <w:t xml:space="preserve"> </w:t>
      </w:r>
      <w:r w:rsidRPr="006F3ACA">
        <w:rPr>
          <w:rFonts w:cs="Times New Roman"/>
          <w:color w:val="000000" w:themeColor="text1"/>
          <w:szCs w:val="24"/>
        </w:rPr>
        <w:t xml:space="preserve">22 cm; slice thickness/spacing, 5 mm/1.5 mm; matrix, 384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320</w:t>
      </w:r>
      <w:r w:rsidRPr="006F3ACA">
        <w:rPr>
          <w:rFonts w:cs="Times New Roman"/>
          <w:color w:val="000000" w:themeColor="text1"/>
          <w:szCs w:val="24"/>
          <w:lang w:eastAsia="zh-CN"/>
        </w:rPr>
        <w:t xml:space="preserve">; </w:t>
      </w:r>
      <w:r w:rsidRPr="006F3ACA">
        <w:rPr>
          <w:rFonts w:cs="Times New Roman"/>
          <w:color w:val="000000" w:themeColor="text1"/>
          <w:szCs w:val="24"/>
        </w:rPr>
        <w:t>voxel size, 0.6</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0.6</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FLAIR (</w:t>
      </w:r>
      <w:r w:rsidR="001B2351" w:rsidRPr="006F3ACA">
        <w:rPr>
          <w:rFonts w:cs="Times New Roman"/>
          <w:color w:val="000000" w:themeColor="text1"/>
          <w:szCs w:val="24"/>
        </w:rPr>
        <w:t xml:space="preserve">TR/TE, </w:t>
      </w:r>
      <w:r w:rsidRPr="006F3ACA">
        <w:rPr>
          <w:rFonts w:cs="Times New Roman"/>
          <w:color w:val="000000" w:themeColor="text1"/>
          <w:szCs w:val="24"/>
        </w:rPr>
        <w:t xml:space="preserve">9000/95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22 cm; slice thickness/spacing, 5 mm/1.5 mm; matrix, 288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224; voxel size, 0.8</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1.0</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and T2-weighted GRE (</w:t>
      </w:r>
      <w:r w:rsidR="001B2351" w:rsidRPr="006F3ACA">
        <w:rPr>
          <w:rFonts w:cs="Times New Roman"/>
          <w:color w:val="000000" w:themeColor="text1"/>
          <w:szCs w:val="24"/>
        </w:rPr>
        <w:t xml:space="preserve">TR/TE, </w:t>
      </w:r>
      <w:r w:rsidRPr="006F3ACA">
        <w:rPr>
          <w:rFonts w:cs="Times New Roman"/>
          <w:color w:val="000000" w:themeColor="text1"/>
          <w:szCs w:val="24"/>
        </w:rPr>
        <w:t xml:space="preserve">550/15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FOV, 22 cm; slice thickness/ spacing, 5 mm/1.5 mm; matrix,</w:t>
      </w:r>
      <w:r w:rsidR="00DC78FA" w:rsidRPr="006F3ACA">
        <w:rPr>
          <w:rFonts w:cs="Times New Roman"/>
          <w:color w:val="000000" w:themeColor="text1"/>
          <w:szCs w:val="24"/>
        </w:rPr>
        <w:t xml:space="preserve"> </w:t>
      </w:r>
      <w:r w:rsidRPr="006F3ACA">
        <w:rPr>
          <w:rFonts w:cs="Times New Roman"/>
          <w:color w:val="000000" w:themeColor="text1"/>
          <w:szCs w:val="24"/>
        </w:rPr>
        <w:t xml:space="preserve">320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224</w:t>
      </w:r>
      <w:r w:rsidRPr="006F3ACA">
        <w:rPr>
          <w:rFonts w:cs="Times New Roman" w:hint="eastAsia"/>
          <w:color w:val="000000" w:themeColor="text1"/>
          <w:szCs w:val="24"/>
          <w:lang w:eastAsia="zh-CN"/>
        </w:rPr>
        <w:t>;</w:t>
      </w:r>
      <w:r w:rsidRPr="006F3ACA">
        <w:rPr>
          <w:rFonts w:cs="Times New Roman"/>
          <w:color w:val="000000" w:themeColor="text1"/>
          <w:szCs w:val="24"/>
          <w:lang w:eastAsia="zh-CN"/>
        </w:rPr>
        <w:t xml:space="preserve"> </w:t>
      </w:r>
      <w:bookmarkStart w:id="12" w:name="OLE_LINK657"/>
      <w:bookmarkStart w:id="13" w:name="OLE_LINK658"/>
      <w:r w:rsidRPr="006F3ACA">
        <w:rPr>
          <w:rFonts w:cs="Times New Roman"/>
          <w:color w:val="000000" w:themeColor="text1"/>
          <w:szCs w:val="24"/>
        </w:rPr>
        <w:t xml:space="preserve">voxel size, </w:t>
      </w:r>
      <w:bookmarkEnd w:id="12"/>
      <w:bookmarkEnd w:id="13"/>
      <w:r w:rsidRPr="006F3ACA">
        <w:rPr>
          <w:rFonts w:cs="Times New Roman"/>
          <w:color w:val="000000" w:themeColor="text1"/>
          <w:szCs w:val="24"/>
        </w:rPr>
        <w:t>0.8</w:t>
      </w:r>
      <w:r w:rsidR="004E62EA" w:rsidRPr="006F3ACA">
        <w:rPr>
          <w:rFonts w:cs="Times New Roman"/>
          <w:color w:val="000000" w:themeColor="text1"/>
          <w:szCs w:val="24"/>
        </w:rPr>
        <w:t xml:space="preserve"> </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1.1</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Contrast-enhanced axial and coronal and sagittal T1WI with fat saturation (</w:t>
      </w:r>
      <w:r w:rsidR="001B2351" w:rsidRPr="006F3ACA">
        <w:rPr>
          <w:rFonts w:cs="Times New Roman"/>
          <w:color w:val="000000" w:themeColor="text1"/>
          <w:szCs w:val="24"/>
        </w:rPr>
        <w:t xml:space="preserve">TR/TE, </w:t>
      </w:r>
      <w:r w:rsidRPr="006F3ACA">
        <w:rPr>
          <w:rFonts w:cs="Times New Roman"/>
          <w:color w:val="000000" w:themeColor="text1"/>
          <w:szCs w:val="24"/>
        </w:rPr>
        <w:t xml:space="preserve">1800/22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xml:space="preserve">; FOV, 22 cm; slice thickness/spacing, 5 mm/1.5 mm; matrix, 320 </w:t>
      </w:r>
      <w:r w:rsidR="004E62EA" w:rsidRPr="006F3ACA">
        <w:rPr>
          <w:rFonts w:cs="Times New Roman"/>
          <w:color w:val="000000" w:themeColor="text1"/>
          <w:szCs w:val="24"/>
          <w:lang w:eastAsia="zh-CN"/>
        </w:rPr>
        <w:t>×</w:t>
      </w:r>
      <w:r w:rsidRPr="006F3ACA">
        <w:rPr>
          <w:rFonts w:cs="Times New Roman"/>
          <w:color w:val="000000" w:themeColor="text1"/>
          <w:szCs w:val="24"/>
        </w:rPr>
        <w:t xml:space="preserve"> 256</w:t>
      </w:r>
      <w:r w:rsidRPr="006F3ACA">
        <w:rPr>
          <w:rFonts w:cs="Times New Roman"/>
          <w:color w:val="000000" w:themeColor="text1"/>
          <w:szCs w:val="24"/>
          <w:lang w:eastAsia="zh-CN"/>
        </w:rPr>
        <w:t>;</w:t>
      </w:r>
      <w:r w:rsidRPr="006F3ACA">
        <w:rPr>
          <w:rFonts w:cs="Times New Roman"/>
          <w:color w:val="000000" w:themeColor="text1"/>
          <w:szCs w:val="24"/>
        </w:rPr>
        <w:t xml:space="preserve"> voxel size, 0.7</w:t>
      </w:r>
      <w:r w:rsidR="004E62EA" w:rsidRPr="006F3ACA">
        <w:rPr>
          <w:rFonts w:cs="Times New Roman"/>
          <w:color w:val="000000" w:themeColor="text1"/>
          <w:szCs w:val="24"/>
        </w:rPr>
        <w:t xml:space="preserve"> </w:t>
      </w:r>
      <w:r w:rsidRPr="006F3ACA">
        <w:rPr>
          <w:rFonts w:cs="Times New Roman"/>
          <w:color w:val="000000" w:themeColor="text1"/>
          <w:szCs w:val="24"/>
          <w:lang w:eastAsia="zh-CN"/>
        </w:rPr>
        <w:t>×</w:t>
      </w:r>
      <w:r w:rsidR="004E62EA" w:rsidRPr="006F3ACA">
        <w:rPr>
          <w:rFonts w:cs="Times New Roman"/>
          <w:color w:val="000000" w:themeColor="text1"/>
          <w:szCs w:val="24"/>
          <w:lang w:eastAsia="zh-CN"/>
        </w:rPr>
        <w:t xml:space="preserve"> </w:t>
      </w:r>
      <w:r w:rsidRPr="006F3ACA">
        <w:rPr>
          <w:rFonts w:cs="Times New Roman"/>
          <w:color w:val="000000" w:themeColor="text1"/>
          <w:szCs w:val="24"/>
          <w:lang w:eastAsia="zh-CN"/>
        </w:rPr>
        <w:t>0.9</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rPr>
        <w:t xml:space="preserve">) after intravenous administration of 0.1 mmol/kg of </w:t>
      </w:r>
      <w:proofErr w:type="spellStart"/>
      <w:r w:rsidR="00E816FA" w:rsidRPr="006F3ACA">
        <w:rPr>
          <w:rFonts w:cs="Times New Roman"/>
          <w:color w:val="000000" w:themeColor="text1"/>
          <w:szCs w:val="24"/>
        </w:rPr>
        <w:t>gadobenate</w:t>
      </w:r>
      <w:proofErr w:type="spellEnd"/>
      <w:r w:rsidR="00E816FA" w:rsidRPr="006F3ACA">
        <w:rPr>
          <w:rFonts w:cs="Times New Roman"/>
          <w:color w:val="000000" w:themeColor="text1"/>
          <w:szCs w:val="24"/>
        </w:rPr>
        <w:t xml:space="preserve"> </w:t>
      </w:r>
      <w:proofErr w:type="spellStart"/>
      <w:r w:rsidR="00E816FA" w:rsidRPr="006F3ACA">
        <w:rPr>
          <w:rFonts w:cs="Times New Roman"/>
          <w:color w:val="000000" w:themeColor="text1"/>
          <w:szCs w:val="24"/>
        </w:rPr>
        <w:t>Dimeglumine</w:t>
      </w:r>
      <w:proofErr w:type="spellEnd"/>
      <w:r w:rsidR="00E816FA" w:rsidRPr="006F3ACA">
        <w:rPr>
          <w:rFonts w:cs="Times New Roman"/>
          <w:color w:val="000000" w:themeColor="text1"/>
          <w:szCs w:val="24"/>
        </w:rPr>
        <w:t xml:space="preserve"> (</w:t>
      </w:r>
      <w:proofErr w:type="spellStart"/>
      <w:r w:rsidR="00E816FA" w:rsidRPr="006F3ACA">
        <w:rPr>
          <w:rFonts w:cs="Times New Roman"/>
          <w:color w:val="000000" w:themeColor="text1"/>
          <w:szCs w:val="24"/>
        </w:rPr>
        <w:t>Multihance</w:t>
      </w:r>
      <w:proofErr w:type="spellEnd"/>
      <w:r w:rsidR="00E816FA" w:rsidRPr="006F3ACA">
        <w:rPr>
          <w:rFonts w:cs="Times New Roman"/>
          <w:color w:val="000000" w:themeColor="text1"/>
          <w:szCs w:val="24"/>
        </w:rPr>
        <w:t>, Bracco, Italy)</w:t>
      </w:r>
      <w:r w:rsidRPr="006F3ACA">
        <w:rPr>
          <w:rFonts w:cs="Times New Roman"/>
          <w:color w:val="000000" w:themeColor="text1"/>
          <w:szCs w:val="24"/>
        </w:rPr>
        <w:t xml:space="preserve">. The DWI was performed by applying sequentially in the x, y, and z directions with the following parameters: TR/TE, 8000/64 </w:t>
      </w:r>
      <w:proofErr w:type="spellStart"/>
      <w:r w:rsidRPr="006F3ACA">
        <w:rPr>
          <w:rFonts w:cs="Times New Roman"/>
          <w:color w:val="000000" w:themeColor="text1"/>
          <w:szCs w:val="24"/>
        </w:rPr>
        <w:t>ms</w:t>
      </w:r>
      <w:proofErr w:type="spellEnd"/>
      <w:r w:rsidRPr="006F3ACA">
        <w:rPr>
          <w:rFonts w:cs="Times New Roman"/>
          <w:color w:val="000000" w:themeColor="text1"/>
          <w:szCs w:val="24"/>
        </w:rPr>
        <w:t>; FOV</w:t>
      </w:r>
      <w:r w:rsidRPr="006F3ACA">
        <w:rPr>
          <w:rFonts w:cs="Times New Roman"/>
          <w:color w:val="000000" w:themeColor="text1"/>
          <w:szCs w:val="24"/>
          <w:lang w:eastAsia="zh-CN"/>
        </w:rPr>
        <w:t xml:space="preserve">, </w:t>
      </w:r>
      <w:r w:rsidRPr="006F3ACA">
        <w:rPr>
          <w:rFonts w:cs="Times New Roman"/>
          <w:color w:val="000000" w:themeColor="text1"/>
          <w:szCs w:val="24"/>
        </w:rPr>
        <w:t xml:space="preserve">22 cm; flip angle, 90 degrees, slice thickness/spacing, 5 mm/1.5 mm; matrix 192 </w:t>
      </w:r>
      <w:r w:rsidR="004E62EA" w:rsidRPr="006F3ACA">
        <w:rPr>
          <w:rFonts w:cs="Times New Roman"/>
          <w:color w:val="000000" w:themeColor="text1"/>
          <w:szCs w:val="24"/>
          <w:lang w:eastAsia="zh-CN"/>
        </w:rPr>
        <w:t>×</w:t>
      </w:r>
      <w:r w:rsidRPr="006F3ACA">
        <w:rPr>
          <w:rFonts w:cs="Times New Roman"/>
          <w:color w:val="000000" w:themeColor="text1"/>
          <w:szCs w:val="24"/>
          <w:lang w:eastAsia="zh-CN"/>
        </w:rPr>
        <w:t xml:space="preserve"> 192</w:t>
      </w:r>
      <w:r w:rsidRPr="006F3ACA">
        <w:rPr>
          <w:rFonts w:cs="Times New Roman" w:hint="eastAsia"/>
          <w:color w:val="000000" w:themeColor="text1"/>
          <w:szCs w:val="24"/>
          <w:lang w:eastAsia="zh-CN"/>
        </w:rPr>
        <w:t>;</w:t>
      </w:r>
      <w:r w:rsidRPr="006F3ACA">
        <w:rPr>
          <w:rFonts w:cs="Times New Roman"/>
          <w:color w:val="000000" w:themeColor="text1"/>
          <w:szCs w:val="24"/>
          <w:lang w:eastAsia="zh-CN"/>
        </w:rPr>
        <w:t xml:space="preserve"> voxel size, 1.8</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1.8</w:t>
      </w:r>
      <w:r w:rsidR="004E62EA" w:rsidRPr="006F3ACA">
        <w:rPr>
          <w:rFonts w:cs="Times New Roman"/>
          <w:color w:val="000000" w:themeColor="text1"/>
          <w:szCs w:val="24"/>
          <w:lang w:eastAsia="zh-CN"/>
        </w:rPr>
        <w:t xml:space="preserve"> × </w:t>
      </w:r>
      <w:r w:rsidRPr="006F3ACA">
        <w:rPr>
          <w:rFonts w:cs="Times New Roman"/>
          <w:color w:val="000000" w:themeColor="text1"/>
          <w:szCs w:val="24"/>
          <w:lang w:eastAsia="zh-CN"/>
        </w:rPr>
        <w:t>5</w:t>
      </w:r>
      <w:r w:rsidR="00301AF6" w:rsidRPr="006F3ACA">
        <w:rPr>
          <w:rFonts w:cs="Times New Roman"/>
          <w:color w:val="000000" w:themeColor="text1"/>
          <w:szCs w:val="24"/>
          <w:lang w:eastAsia="zh-CN"/>
        </w:rPr>
        <w:t xml:space="preserve"> </w:t>
      </w:r>
      <w:r w:rsidRPr="006F3ACA">
        <w:rPr>
          <w:rFonts w:cs="Times New Roman"/>
          <w:color w:val="000000" w:themeColor="text1"/>
          <w:szCs w:val="24"/>
          <w:lang w:eastAsia="zh-CN"/>
        </w:rPr>
        <w:t>mm</w:t>
      </w:r>
      <w:r w:rsidRPr="006F3ACA">
        <w:rPr>
          <w:rFonts w:cs="Times New Roman"/>
          <w:color w:val="000000" w:themeColor="text1"/>
          <w:szCs w:val="24"/>
          <w:vertAlign w:val="superscript"/>
          <w:lang w:eastAsia="zh-CN"/>
        </w:rPr>
        <w:t>3</w:t>
      </w:r>
      <w:r w:rsidRPr="006F3ACA">
        <w:rPr>
          <w:rFonts w:cs="Times New Roman"/>
          <w:color w:val="000000" w:themeColor="text1"/>
          <w:szCs w:val="24"/>
          <w:lang w:eastAsia="zh-CN"/>
        </w:rPr>
        <w:t xml:space="preserve">; </w:t>
      </w:r>
      <w:r w:rsidRPr="006F3ACA">
        <w:rPr>
          <w:rFonts w:cs="Times New Roman" w:hint="eastAsia"/>
          <w:color w:val="000000" w:themeColor="text1"/>
          <w:szCs w:val="24"/>
          <w:lang w:eastAsia="zh-CN"/>
        </w:rPr>
        <w:t>b</w:t>
      </w:r>
      <w:r w:rsidRPr="006F3ACA">
        <w:rPr>
          <w:rFonts w:cs="Times New Roman"/>
          <w:color w:val="000000" w:themeColor="text1"/>
          <w:szCs w:val="24"/>
        </w:rPr>
        <w:t xml:space="preserve"> = 0, 500, and 1000 sec/mm2. ADC maps were obtained from these imaging data</w:t>
      </w:r>
      <w:r w:rsidR="00B46458" w:rsidRPr="006F3ACA">
        <w:rPr>
          <w:rFonts w:cs="Times New Roman"/>
          <w:color w:val="000000" w:themeColor="text1"/>
          <w:szCs w:val="24"/>
          <w:lang w:eastAsia="zh-CN"/>
        </w:rPr>
        <w:t>.</w:t>
      </w:r>
    </w:p>
    <w:p w14:paraId="0F40CCB8" w14:textId="77777777" w:rsidR="007653A4" w:rsidRPr="006F3ACA" w:rsidRDefault="007653A4" w:rsidP="007653A4">
      <w:pPr>
        <w:pStyle w:val="Heading1"/>
        <w:numPr>
          <w:ilvl w:val="0"/>
          <w:numId w:val="0"/>
        </w:numPr>
        <w:rPr>
          <w:color w:val="000000" w:themeColor="text1"/>
        </w:rPr>
        <w:sectPr w:rsidR="007653A4" w:rsidRPr="006F3ACA" w:rsidSect="00090C02">
          <w:pgSz w:w="17035" w:h="15840"/>
          <w:pgMar w:top="1138" w:right="5976" w:bottom="1138" w:left="1282" w:header="720" w:footer="720" w:gutter="0"/>
          <w:cols w:space="720"/>
          <w:titlePg/>
          <w:docGrid w:linePitch="360"/>
        </w:sectPr>
      </w:pPr>
    </w:p>
    <w:p w14:paraId="43FA56EE" w14:textId="057B5824" w:rsidR="007653A4" w:rsidRPr="006F3ACA" w:rsidRDefault="007653A4" w:rsidP="007653A4">
      <w:pPr>
        <w:pStyle w:val="Heading1"/>
        <w:numPr>
          <w:ilvl w:val="0"/>
          <w:numId w:val="0"/>
        </w:numPr>
        <w:ind w:left="567" w:hanging="567"/>
        <w:rPr>
          <w:color w:val="000000" w:themeColor="text1"/>
        </w:rPr>
      </w:pPr>
      <w:r w:rsidRPr="006F3ACA">
        <w:rPr>
          <w:rFonts w:hint="eastAsia"/>
          <w:color w:val="000000" w:themeColor="text1"/>
          <w:lang w:eastAsia="zh-CN"/>
        </w:rPr>
        <w:lastRenderedPageBreak/>
        <w:t>E</w:t>
      </w:r>
      <w:r w:rsidRPr="006F3ACA">
        <w:rPr>
          <w:color w:val="000000" w:themeColor="text1"/>
          <w:lang w:eastAsia="zh-CN"/>
        </w:rPr>
        <w:t>2: The formula for Lasso</w:t>
      </w:r>
      <w:r w:rsidR="00C87FC9" w:rsidRPr="006F3ACA">
        <w:rPr>
          <w:color w:val="000000" w:themeColor="text1"/>
          <w:lang w:eastAsia="zh-CN"/>
        </w:rPr>
        <w:t xml:space="preserve"> </w:t>
      </w:r>
      <w:r w:rsidR="00C87FC9" w:rsidRPr="006F3ACA">
        <w:rPr>
          <w:color w:val="000000" w:themeColor="text1"/>
        </w:rPr>
        <w:t>regression</w:t>
      </w:r>
    </w:p>
    <w:p w14:paraId="75E5C91E" w14:textId="77777777" w:rsidR="007653A4" w:rsidRPr="006F3ACA" w:rsidRDefault="007653A4" w:rsidP="007653A4">
      <w:pPr>
        <w:jc w:val="both"/>
        <w:rPr>
          <w:color w:val="000000" w:themeColor="text1"/>
          <w:szCs w:val="24"/>
        </w:rPr>
      </w:pPr>
      <w:r w:rsidRPr="006F3ACA">
        <w:rPr>
          <w:color w:val="000000" w:themeColor="text1"/>
          <w:szCs w:val="24"/>
        </w:rPr>
        <w:t xml:space="preserve">The lasso estimate is defined by </w:t>
      </w:r>
    </w:p>
    <w:p w14:paraId="0B6169E1" w14:textId="77777777" w:rsidR="007653A4" w:rsidRPr="006F3ACA" w:rsidRDefault="00C75540" w:rsidP="007653A4">
      <w:pPr>
        <w:jc w:val="both"/>
        <w:rPr>
          <w:color w:val="000000" w:themeColor="text1"/>
          <w:szCs w:val="24"/>
        </w:rPr>
      </w:pPr>
      <m:oMath>
        <m:m>
          <m:mPr>
            <m:cGpRule m:val="2"/>
            <m:cGp m:val="14"/>
            <m:mcs>
              <m:mc>
                <m:mcPr>
                  <m:count m:val="2"/>
                  <m:mcJc m:val="center"/>
                </m:mcPr>
              </m:mc>
            </m:mcs>
            <m:ctrlPr>
              <w:rPr>
                <w:rFonts w:ascii="Cambria Math" w:hAnsi="Cambria Math"/>
                <w:iCs/>
                <w:color w:val="000000" w:themeColor="text1"/>
              </w:rPr>
            </m:ctrlPr>
          </m:mPr>
          <m:mr>
            <m:e>
              <m:d>
                <m:dPr>
                  <m:ctrlPr>
                    <w:rPr>
                      <w:rFonts w:ascii="Cambria Math" w:hAnsi="Cambria Math"/>
                      <w:i/>
                      <w:color w:val="000000" w:themeColor="text1"/>
                    </w:rPr>
                  </m:ctrlPr>
                </m:dPr>
                <m:e>
                  <m:acc>
                    <m:accPr>
                      <m:ctrlPr>
                        <w:rPr>
                          <w:rFonts w:ascii="Cambria Math" w:hAnsi="Cambria Math"/>
                          <w:i/>
                          <w:color w:val="000000" w:themeColor="text1"/>
                        </w:rPr>
                      </m:ctrlPr>
                    </m:accPr>
                    <m:e>
                      <m:r>
                        <w:rPr>
                          <w:rFonts w:ascii="Cambria Math" w:hAnsi="Cambria Math"/>
                          <w:color w:val="000000" w:themeColor="text1"/>
                        </w:rPr>
                        <m:t>α</m:t>
                      </m:r>
                    </m:e>
                  </m:acc>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β</m:t>
                      </m:r>
                    </m:e>
                  </m:acc>
                </m:e>
              </m:d>
              <m:r>
                <m:rPr>
                  <m:sty m:val="p"/>
                </m:rPr>
                <w:rPr>
                  <w:rFonts w:ascii="Cambria Math" w:hAnsi="Cambria Math"/>
                  <w:color w:val="000000" w:themeColor="text1"/>
                </w:rPr>
                <m:t>=</m:t>
              </m:r>
              <m:func>
                <m:funcPr>
                  <m:ctrlPr>
                    <w:rPr>
                      <w:rFonts w:ascii="Cambria Math" w:hAnsi="Cambria Math"/>
                      <w:iCs/>
                      <w:color w:val="000000" w:themeColor="text1"/>
                    </w:rPr>
                  </m:ctrlPr>
                </m:funcPr>
                <m:fName>
                  <m:r>
                    <m:rPr>
                      <m:sty m:val="p"/>
                    </m:rPr>
                    <w:rPr>
                      <w:rFonts w:ascii="Cambria Math" w:hAnsi="Cambria Math"/>
                      <w:color w:val="000000" w:themeColor="text1"/>
                    </w:rPr>
                    <m:t>arg</m:t>
                  </m:r>
                </m:fName>
                <m:e>
                  <m:func>
                    <m:funcPr>
                      <m:ctrlPr>
                        <w:rPr>
                          <w:rFonts w:ascii="Cambria Math" w:hAnsi="Cambria Math"/>
                          <w:iCs/>
                          <w:color w:val="000000" w:themeColor="text1"/>
                        </w:rPr>
                      </m:ctrlPr>
                    </m:funcPr>
                    <m:fName>
                      <m:r>
                        <m:rPr>
                          <m:sty m:val="p"/>
                        </m:rPr>
                        <w:rPr>
                          <w:rFonts w:ascii="Cambria Math" w:hAnsi="Cambria Math"/>
                          <w:color w:val="000000" w:themeColor="text1"/>
                        </w:rPr>
                        <m:t>min</m:t>
                      </m:r>
                    </m:fName>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-α-</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ij</m:t>
                                              </m:r>
                                            </m:sub>
                                          </m:sSub>
                                        </m:e>
                                      </m:nary>
                                    </m:e>
                                  </m:d>
                                </m:e>
                              </m:nary>
                            </m:e>
                            <m:sup>
                              <m:r>
                                <w:rPr>
                                  <w:rFonts w:ascii="Cambria Math" w:hAnsi="Cambria Math"/>
                                  <w:color w:val="000000" w:themeColor="text1"/>
                                </w:rPr>
                                <m:t>2</m:t>
                              </m:r>
                            </m:sup>
                          </m:sSup>
                        </m:e>
                      </m:d>
                    </m:e>
                  </m:func>
                </m:e>
              </m:func>
            </m:e>
            <m:e>
              <m:r>
                <m:rPr>
                  <m:sty m:val="p"/>
                </m:rPr>
                <w:rPr>
                  <w:rFonts w:ascii="Cambria Math" w:hAnsi="Cambria Math" w:hint="eastAsia"/>
                  <w:color w:val="000000" w:themeColor="text1"/>
                </w:rPr>
                <m:t>s</m:t>
              </m:r>
              <m:r>
                <m:rPr>
                  <m:sty m:val="p"/>
                </m:rPr>
                <w:rPr>
                  <w:rFonts w:ascii="Cambria Math" w:hAnsi="Cambria Math"/>
                  <w:color w:val="000000" w:themeColor="text1"/>
                </w:rPr>
                <m:t>ubject to</m:t>
              </m:r>
              <m:r>
                <m:rPr>
                  <m:sty m:val="p"/>
                </m:rPr>
                <w:rPr>
                  <w:rFonts w:ascii="Cambria Math"/>
                  <w:color w:val="000000" w:themeColor="text1"/>
                </w:rPr>
                <m:t xml:space="preserve"> </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e>
                  </m:d>
                </m:e>
              </m:nary>
              <m:r>
                <w:rPr>
                  <w:rFonts w:ascii="Cambria Math" w:hAnsi="Cambria Math"/>
                  <w:color w:val="000000" w:themeColor="text1"/>
                </w:rPr>
                <m:t>≤t</m:t>
              </m:r>
              <m:r>
                <m:rPr>
                  <m:sty m:val="p"/>
                </m:rPr>
                <w:rPr>
                  <w:rFonts w:ascii="Cambria Math" w:hAnsi="Cambria Math"/>
                  <w:color w:val="000000" w:themeColor="text1"/>
                </w:rPr>
                <m:t>.</m:t>
              </m:r>
            </m:e>
          </m:mr>
        </m:m>
      </m:oMath>
      <w:r w:rsidR="007653A4" w:rsidRPr="006F3ACA">
        <w:rPr>
          <w:color w:val="000000" w:themeColor="text1"/>
          <w:szCs w:val="24"/>
        </w:rPr>
        <w:t xml:space="preserve"> </w:t>
      </w:r>
    </w:p>
    <w:p w14:paraId="33279875" w14:textId="77777777" w:rsidR="007653A4" w:rsidRPr="006F3ACA" w:rsidRDefault="007653A4" w:rsidP="007653A4">
      <w:pPr>
        <w:jc w:val="both"/>
        <w:rPr>
          <w:color w:val="000000" w:themeColor="text1"/>
          <w:szCs w:val="24"/>
        </w:rPr>
      </w:pPr>
      <w:r w:rsidRPr="006F3ACA">
        <w:rPr>
          <w:color w:val="000000" w:themeColor="text1"/>
          <w:szCs w:val="24"/>
        </w:rPr>
        <w:t xml:space="preserve">Least Absolute Shrinkage and Selection Operator is a new variable selection method proposed by Robert </w:t>
      </w:r>
      <w:proofErr w:type="spellStart"/>
      <w:r w:rsidRPr="006F3ACA">
        <w:rPr>
          <w:color w:val="000000" w:themeColor="text1"/>
          <w:szCs w:val="24"/>
        </w:rPr>
        <w:t>Tibshirani</w:t>
      </w:r>
      <w:proofErr w:type="spellEnd"/>
      <w:r w:rsidRPr="006F3ACA">
        <w:rPr>
          <w:color w:val="000000" w:themeColor="text1"/>
          <w:szCs w:val="24"/>
        </w:rPr>
        <w:t xml:space="preserve"> (1996) inspired by ridge regression and "Nonnegative Garrote" method</w:t>
      </w:r>
      <w:r w:rsidRPr="006F3ACA">
        <w:rPr>
          <w:rFonts w:hint="eastAsia"/>
          <w:color w:val="000000" w:themeColor="text1"/>
          <w:szCs w:val="24"/>
        </w:rPr>
        <w:t>.</w:t>
      </w:r>
      <w:r w:rsidRPr="006F3ACA">
        <w:rPr>
          <w:color w:val="000000" w:themeColor="text1"/>
          <w:szCs w:val="24"/>
        </w:rPr>
        <w:t xml:space="preserve"> The Lasso method uses the absolute value function of the model coefficients as a penalty to compress the model coefficients, making some regression coefficients smaller, and even making the coefficients with smaller absolute values automatically compress to 0. In the selection of variables, it also realizes the estimation of parameters. Variable selection of the main goals include forecasting accuracy and interpretability of the model and stability as well as the complexity of the model, the traditional model selection methods such as partial least squares method, stepwise regression, ridge regression, principal component analysis method can only achieve the purpose of the part, the effect of the Lasso method in terms of variable selection, superior to the above several ways, This method can overcome the shortcomings of traditional methods in model selection. </w:t>
      </w:r>
    </w:p>
    <w:p w14:paraId="013E22A6" w14:textId="0E7A37D1" w:rsidR="007653A4" w:rsidRPr="006F3ACA" w:rsidRDefault="007653A4" w:rsidP="004F7F1F">
      <w:pPr>
        <w:jc w:val="both"/>
        <w:rPr>
          <w:rFonts w:cs="Times New Roman"/>
          <w:color w:val="000000" w:themeColor="text1"/>
          <w:szCs w:val="24"/>
          <w:lang w:eastAsia="zh-CN"/>
        </w:rPr>
        <w:sectPr w:rsidR="007653A4" w:rsidRPr="006F3ACA" w:rsidSect="00090C02">
          <w:headerReference w:type="even" r:id="rId8"/>
          <w:footerReference w:type="even" r:id="rId9"/>
          <w:footerReference w:type="default" r:id="rId10"/>
          <w:headerReference w:type="first" r:id="rId11"/>
          <w:pgSz w:w="17035" w:h="15840"/>
          <w:pgMar w:top="1138" w:right="5976" w:bottom="1138" w:left="1282" w:header="720" w:footer="720" w:gutter="0"/>
          <w:cols w:space="720"/>
          <w:titlePg/>
          <w:docGrid w:linePitch="360"/>
        </w:sectPr>
      </w:pPr>
    </w:p>
    <w:p w14:paraId="0831F860" w14:textId="77777777" w:rsidR="00B46458" w:rsidRPr="006F3ACA" w:rsidRDefault="00B46458" w:rsidP="004F7F1F">
      <w:pPr>
        <w:jc w:val="both"/>
        <w:rPr>
          <w:rFonts w:cs="Times New Roman"/>
          <w:color w:val="000000" w:themeColor="text1"/>
          <w:szCs w:val="24"/>
        </w:rPr>
        <w:sectPr w:rsidR="00B46458" w:rsidRPr="006F3ACA" w:rsidSect="00090C02">
          <w:pgSz w:w="17035" w:h="15840"/>
          <w:pgMar w:top="1138" w:right="5976" w:bottom="1138" w:left="1282" w:header="720" w:footer="720" w:gutter="0"/>
          <w:cols w:space="720"/>
          <w:titlePg/>
          <w:docGrid w:linePitch="360"/>
        </w:sectPr>
      </w:pPr>
    </w:p>
    <w:p w14:paraId="5A61E411" w14:textId="4CE60701" w:rsidR="00432BBE" w:rsidRPr="006F3ACA" w:rsidRDefault="004E62EA" w:rsidP="006F3ACA">
      <w:pPr>
        <w:pStyle w:val="Heading1"/>
        <w:numPr>
          <w:ilvl w:val="0"/>
          <w:numId w:val="0"/>
        </w:numPr>
        <w:rPr>
          <w:color w:val="000000" w:themeColor="text1"/>
        </w:rPr>
      </w:pPr>
      <w:r w:rsidRPr="006F3ACA">
        <w:rPr>
          <w:color w:val="000000" w:themeColor="text1"/>
        </w:rPr>
        <w:t>Supplementary Table</w:t>
      </w:r>
    </w:p>
    <w:tbl>
      <w:tblPr>
        <w:tblW w:w="0" w:type="auto"/>
        <w:tblBorders>
          <w:top w:val="single" w:sz="4" w:space="0" w:color="auto"/>
          <w:bottom w:val="single" w:sz="4" w:space="0" w:color="auto"/>
        </w:tblBorders>
        <w:tblLook w:val="04A0" w:firstRow="1" w:lastRow="0" w:firstColumn="1" w:lastColumn="0" w:noHBand="0" w:noVBand="1"/>
      </w:tblPr>
      <w:tblGrid>
        <w:gridCol w:w="8296"/>
      </w:tblGrid>
      <w:tr w:rsidR="006F3ACA" w:rsidRPr="006F3ACA" w14:paraId="32E738A4" w14:textId="77777777" w:rsidTr="006F3ACA">
        <w:tc>
          <w:tcPr>
            <w:tcW w:w="8296" w:type="dxa"/>
            <w:tcBorders>
              <w:bottom w:val="single" w:sz="4" w:space="0" w:color="auto"/>
            </w:tcBorders>
            <w:shd w:val="clear" w:color="auto" w:fill="auto"/>
          </w:tcPr>
          <w:p w14:paraId="6BABA509" w14:textId="718D3564" w:rsidR="002A28EA" w:rsidRPr="006F3ACA" w:rsidRDefault="002A28EA" w:rsidP="00297E4C">
            <w:pPr>
              <w:rPr>
                <w:rFonts w:eastAsia="Times New Roman" w:cs="Times New Roman"/>
                <w:b/>
                <w:color w:val="000000" w:themeColor="text1"/>
                <w:kern w:val="2"/>
                <w:szCs w:val="24"/>
              </w:rPr>
            </w:pPr>
            <w:r w:rsidRPr="006F3ACA">
              <w:rPr>
                <w:rFonts w:cs="Times New Roman"/>
                <w:b/>
                <w:bCs/>
                <w:color w:val="000000" w:themeColor="text1"/>
                <w:szCs w:val="24"/>
              </w:rPr>
              <w:t>The 2016 WHO classification of meningiomas</w:t>
            </w:r>
          </w:p>
        </w:tc>
      </w:tr>
      <w:tr w:rsidR="006F3ACA" w:rsidRPr="006F3ACA" w14:paraId="13D0BC69" w14:textId="77777777" w:rsidTr="006F3ACA">
        <w:tc>
          <w:tcPr>
            <w:tcW w:w="8296" w:type="dxa"/>
            <w:tcBorders>
              <w:top w:val="single" w:sz="4" w:space="0" w:color="auto"/>
              <w:bottom w:val="nil"/>
            </w:tcBorders>
            <w:shd w:val="clear" w:color="auto" w:fill="auto"/>
          </w:tcPr>
          <w:p w14:paraId="78774CF8" w14:textId="2366C5D0" w:rsidR="00432BBE" w:rsidRPr="006F3ACA" w:rsidRDefault="00432BBE" w:rsidP="00297E4C">
            <w:pPr>
              <w:rPr>
                <w:rFonts w:eastAsia="Times New Roman" w:cs="Times New Roman"/>
                <w:color w:val="000000" w:themeColor="text1"/>
                <w:kern w:val="2"/>
              </w:rPr>
            </w:pPr>
            <w:r w:rsidRPr="006F3ACA">
              <w:rPr>
                <w:rFonts w:eastAsia="Times New Roman" w:cs="Times New Roman"/>
                <w:b/>
                <w:color w:val="000000" w:themeColor="text1"/>
                <w:kern w:val="2"/>
              </w:rPr>
              <w:t>WHO Grade</w:t>
            </w:r>
            <w:r w:rsidR="00A23ECC" w:rsidRPr="006F3ACA">
              <w:rPr>
                <w:rFonts w:eastAsia="Times New Roman" w:cs="Times New Roman"/>
                <w:b/>
                <w:color w:val="000000" w:themeColor="text1"/>
                <w:kern w:val="2"/>
              </w:rPr>
              <w:t xml:space="preserve"> I</w:t>
            </w:r>
            <w:r w:rsidRPr="006F3ACA">
              <w:rPr>
                <w:rFonts w:eastAsia="Times New Roman" w:cs="Times New Roman"/>
                <w:color w:val="000000" w:themeColor="text1"/>
                <w:kern w:val="2"/>
              </w:rPr>
              <w:t>:</w:t>
            </w:r>
            <w:r w:rsidR="009C5910" w:rsidRPr="006F3ACA">
              <w:rPr>
                <w:color w:val="000000" w:themeColor="text1"/>
                <w:szCs w:val="24"/>
              </w:rPr>
              <w:t xml:space="preserve"> &lt; </w:t>
            </w:r>
            <w:r w:rsidRPr="006F3ACA">
              <w:rPr>
                <w:rFonts w:eastAsia="Times New Roman" w:cs="Times New Roman"/>
                <w:color w:val="000000" w:themeColor="text1"/>
                <w:kern w:val="2"/>
              </w:rPr>
              <w:t>4 mitoses/10 HPF</w:t>
            </w:r>
          </w:p>
        </w:tc>
      </w:tr>
      <w:tr w:rsidR="006F3ACA" w:rsidRPr="006F3ACA" w14:paraId="198EA0DA" w14:textId="77777777" w:rsidTr="006F3ACA">
        <w:tc>
          <w:tcPr>
            <w:tcW w:w="8296" w:type="dxa"/>
            <w:tcBorders>
              <w:top w:val="nil"/>
              <w:bottom w:val="nil"/>
            </w:tcBorders>
            <w:shd w:val="clear" w:color="auto" w:fill="auto"/>
          </w:tcPr>
          <w:p w14:paraId="49D8B46D"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Meningothelial meningioma</w:t>
            </w:r>
          </w:p>
        </w:tc>
      </w:tr>
      <w:tr w:rsidR="006F3ACA" w:rsidRPr="006F3ACA" w14:paraId="756C0A3D" w14:textId="77777777" w:rsidTr="006F3ACA">
        <w:tc>
          <w:tcPr>
            <w:tcW w:w="8296" w:type="dxa"/>
            <w:tcBorders>
              <w:top w:val="nil"/>
              <w:bottom w:val="nil"/>
            </w:tcBorders>
            <w:shd w:val="clear" w:color="auto" w:fill="auto"/>
          </w:tcPr>
          <w:p w14:paraId="0FBD8A37"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Fibrous (fibroblastic) meningioma</w:t>
            </w:r>
          </w:p>
        </w:tc>
      </w:tr>
      <w:tr w:rsidR="006F3ACA" w:rsidRPr="006F3ACA" w14:paraId="23835443" w14:textId="77777777" w:rsidTr="006F3ACA">
        <w:tc>
          <w:tcPr>
            <w:tcW w:w="8296" w:type="dxa"/>
            <w:tcBorders>
              <w:top w:val="nil"/>
              <w:bottom w:val="nil"/>
            </w:tcBorders>
            <w:shd w:val="clear" w:color="auto" w:fill="auto"/>
          </w:tcPr>
          <w:p w14:paraId="4CD1B115"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Transitional (mixed) meningioma</w:t>
            </w:r>
          </w:p>
        </w:tc>
      </w:tr>
      <w:tr w:rsidR="006F3ACA" w:rsidRPr="006F3ACA" w14:paraId="598333B8" w14:textId="77777777" w:rsidTr="006F3ACA">
        <w:tc>
          <w:tcPr>
            <w:tcW w:w="8296" w:type="dxa"/>
            <w:tcBorders>
              <w:top w:val="nil"/>
              <w:bottom w:val="nil"/>
            </w:tcBorders>
            <w:shd w:val="clear" w:color="auto" w:fill="auto"/>
          </w:tcPr>
          <w:p w14:paraId="00445BD2" w14:textId="77777777" w:rsidR="00432BBE" w:rsidRPr="006F3ACA" w:rsidRDefault="00432BBE" w:rsidP="00297E4C">
            <w:pPr>
              <w:ind w:firstLineChars="100" w:firstLine="240"/>
              <w:rPr>
                <w:rFonts w:eastAsia="Times New Roman" w:cs="Times New Roman"/>
                <w:color w:val="000000" w:themeColor="text1"/>
                <w:kern w:val="2"/>
              </w:rPr>
            </w:pPr>
            <w:proofErr w:type="spellStart"/>
            <w:r w:rsidRPr="006F3ACA">
              <w:rPr>
                <w:rFonts w:eastAsia="Times New Roman" w:cs="Times New Roman"/>
                <w:color w:val="000000" w:themeColor="text1"/>
                <w:kern w:val="2"/>
              </w:rPr>
              <w:t>Psammomatous</w:t>
            </w:r>
            <w:proofErr w:type="spellEnd"/>
            <w:r w:rsidRPr="006F3ACA">
              <w:rPr>
                <w:rFonts w:eastAsia="Times New Roman" w:cs="Times New Roman"/>
                <w:color w:val="000000" w:themeColor="text1"/>
                <w:kern w:val="2"/>
              </w:rPr>
              <w:t xml:space="preserve"> meningioma</w:t>
            </w:r>
          </w:p>
        </w:tc>
      </w:tr>
      <w:tr w:rsidR="006F3ACA" w:rsidRPr="006F3ACA" w14:paraId="2EA1916E" w14:textId="77777777" w:rsidTr="006F3ACA">
        <w:tc>
          <w:tcPr>
            <w:tcW w:w="8296" w:type="dxa"/>
            <w:tcBorders>
              <w:top w:val="nil"/>
              <w:bottom w:val="nil"/>
            </w:tcBorders>
            <w:shd w:val="clear" w:color="auto" w:fill="auto"/>
          </w:tcPr>
          <w:p w14:paraId="19640F09"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Angiomatous meningioma</w:t>
            </w:r>
          </w:p>
        </w:tc>
      </w:tr>
      <w:tr w:rsidR="006F3ACA" w:rsidRPr="006F3ACA" w14:paraId="615C7B09" w14:textId="77777777" w:rsidTr="006F3ACA">
        <w:tc>
          <w:tcPr>
            <w:tcW w:w="8296" w:type="dxa"/>
            <w:tcBorders>
              <w:top w:val="nil"/>
              <w:bottom w:val="nil"/>
            </w:tcBorders>
            <w:shd w:val="clear" w:color="auto" w:fill="auto"/>
          </w:tcPr>
          <w:p w14:paraId="0754F58B"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Microcystic meningioma</w:t>
            </w:r>
          </w:p>
        </w:tc>
      </w:tr>
      <w:tr w:rsidR="006F3ACA" w:rsidRPr="006F3ACA" w14:paraId="0839FDB8" w14:textId="77777777" w:rsidTr="006F3ACA">
        <w:tc>
          <w:tcPr>
            <w:tcW w:w="8296" w:type="dxa"/>
            <w:tcBorders>
              <w:top w:val="nil"/>
              <w:bottom w:val="nil"/>
            </w:tcBorders>
            <w:shd w:val="clear" w:color="auto" w:fill="auto"/>
          </w:tcPr>
          <w:p w14:paraId="33E8E22F"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Secretory meningioma</w:t>
            </w:r>
          </w:p>
        </w:tc>
      </w:tr>
      <w:tr w:rsidR="006F3ACA" w:rsidRPr="006F3ACA" w14:paraId="7ABFD659" w14:textId="77777777" w:rsidTr="006F3ACA">
        <w:tc>
          <w:tcPr>
            <w:tcW w:w="8296" w:type="dxa"/>
            <w:tcBorders>
              <w:top w:val="nil"/>
              <w:bottom w:val="nil"/>
            </w:tcBorders>
            <w:shd w:val="clear" w:color="auto" w:fill="auto"/>
          </w:tcPr>
          <w:p w14:paraId="33C72AC0" w14:textId="77777777" w:rsidR="00432BBE" w:rsidRPr="006F3ACA" w:rsidRDefault="00432BBE" w:rsidP="00297E4C">
            <w:pPr>
              <w:ind w:firstLineChars="100" w:firstLine="240"/>
              <w:rPr>
                <w:rFonts w:eastAsia="Times New Roman" w:cs="Times New Roman"/>
                <w:color w:val="000000" w:themeColor="text1"/>
                <w:kern w:val="2"/>
              </w:rPr>
            </w:pPr>
            <w:proofErr w:type="spellStart"/>
            <w:r w:rsidRPr="006F3ACA">
              <w:rPr>
                <w:rFonts w:eastAsia="Times New Roman" w:cs="Times New Roman"/>
                <w:color w:val="000000" w:themeColor="text1"/>
                <w:kern w:val="2"/>
              </w:rPr>
              <w:t>Lymphoplasmacyte</w:t>
            </w:r>
            <w:proofErr w:type="spellEnd"/>
            <w:r w:rsidRPr="006F3ACA">
              <w:rPr>
                <w:rFonts w:eastAsia="Times New Roman" w:cs="Times New Roman"/>
                <w:color w:val="000000" w:themeColor="text1"/>
                <w:kern w:val="2"/>
              </w:rPr>
              <w:t>-rich meningioma</w:t>
            </w:r>
          </w:p>
        </w:tc>
      </w:tr>
      <w:tr w:rsidR="006F3ACA" w:rsidRPr="006F3ACA" w14:paraId="05701BD6" w14:textId="77777777" w:rsidTr="006F3ACA">
        <w:tc>
          <w:tcPr>
            <w:tcW w:w="8296" w:type="dxa"/>
            <w:tcBorders>
              <w:top w:val="nil"/>
              <w:bottom w:val="nil"/>
            </w:tcBorders>
            <w:shd w:val="clear" w:color="auto" w:fill="auto"/>
          </w:tcPr>
          <w:p w14:paraId="2C8F02ED"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Metaplastic meningioma</w:t>
            </w:r>
          </w:p>
        </w:tc>
      </w:tr>
      <w:tr w:rsidR="006F3ACA" w:rsidRPr="006F3ACA" w14:paraId="4EE10AA0" w14:textId="77777777" w:rsidTr="006F3ACA">
        <w:tc>
          <w:tcPr>
            <w:tcW w:w="8296" w:type="dxa"/>
            <w:tcBorders>
              <w:top w:val="nil"/>
              <w:bottom w:val="nil"/>
            </w:tcBorders>
            <w:shd w:val="clear" w:color="auto" w:fill="auto"/>
          </w:tcPr>
          <w:p w14:paraId="38E89D23" w14:textId="77777777" w:rsidR="00432BBE" w:rsidRPr="006F3ACA" w:rsidRDefault="00432BBE" w:rsidP="00297E4C">
            <w:pPr>
              <w:rPr>
                <w:rFonts w:eastAsia="Times New Roman" w:cs="Times New Roman"/>
                <w:color w:val="000000" w:themeColor="text1"/>
                <w:kern w:val="2"/>
              </w:rPr>
            </w:pPr>
            <w:r w:rsidRPr="006F3ACA">
              <w:rPr>
                <w:rFonts w:eastAsia="Times New Roman" w:cs="Times New Roman"/>
                <w:b/>
                <w:color w:val="000000" w:themeColor="text1"/>
                <w:kern w:val="2"/>
              </w:rPr>
              <w:t xml:space="preserve">WHO Grade </w:t>
            </w:r>
            <w:proofErr w:type="gramStart"/>
            <w:r w:rsidRPr="006F3ACA">
              <w:rPr>
                <w:rFonts w:eastAsia="Times New Roman" w:cs="Times New Roman"/>
                <w:b/>
                <w:color w:val="000000" w:themeColor="text1"/>
                <w:kern w:val="2"/>
              </w:rPr>
              <w:t>II:</w:t>
            </w:r>
            <w:proofErr w:type="gramEnd"/>
            <w:r w:rsidRPr="006F3ACA">
              <w:rPr>
                <w:rFonts w:eastAsia="Times New Roman" w:cs="Times New Roman"/>
                <w:b/>
                <w:color w:val="000000" w:themeColor="text1"/>
                <w:kern w:val="2"/>
              </w:rPr>
              <w:t xml:space="preserve"> </w:t>
            </w:r>
          </w:p>
        </w:tc>
      </w:tr>
      <w:tr w:rsidR="006F3ACA" w:rsidRPr="006F3ACA" w14:paraId="792528D2" w14:textId="77777777" w:rsidTr="006F3ACA">
        <w:tc>
          <w:tcPr>
            <w:tcW w:w="8296" w:type="dxa"/>
            <w:tcBorders>
              <w:top w:val="nil"/>
              <w:bottom w:val="nil"/>
            </w:tcBorders>
            <w:shd w:val="clear" w:color="auto" w:fill="auto"/>
          </w:tcPr>
          <w:p w14:paraId="2A617DD5"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Atypical meningioma (4–19 mitoses/10 HPF or brain Invasion)</w:t>
            </w:r>
          </w:p>
        </w:tc>
      </w:tr>
      <w:tr w:rsidR="006F3ACA" w:rsidRPr="006F3ACA" w14:paraId="771F66DD" w14:textId="77777777" w:rsidTr="006F3ACA">
        <w:tc>
          <w:tcPr>
            <w:tcW w:w="8296" w:type="dxa"/>
            <w:tcBorders>
              <w:top w:val="nil"/>
              <w:bottom w:val="nil"/>
            </w:tcBorders>
            <w:shd w:val="clear" w:color="auto" w:fill="auto"/>
          </w:tcPr>
          <w:p w14:paraId="219BF554"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Clear cell meningioma</w:t>
            </w:r>
          </w:p>
        </w:tc>
      </w:tr>
      <w:tr w:rsidR="006F3ACA" w:rsidRPr="006F3ACA" w14:paraId="1F97D3C8" w14:textId="77777777" w:rsidTr="006F3ACA">
        <w:tc>
          <w:tcPr>
            <w:tcW w:w="8296" w:type="dxa"/>
            <w:tcBorders>
              <w:top w:val="nil"/>
              <w:bottom w:val="nil"/>
            </w:tcBorders>
            <w:shd w:val="clear" w:color="auto" w:fill="auto"/>
          </w:tcPr>
          <w:p w14:paraId="0ABA13D7"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Chordoid meningioma</w:t>
            </w:r>
          </w:p>
        </w:tc>
      </w:tr>
      <w:tr w:rsidR="006F3ACA" w:rsidRPr="006F3ACA" w14:paraId="2512831D" w14:textId="77777777" w:rsidTr="006F3ACA">
        <w:tc>
          <w:tcPr>
            <w:tcW w:w="8296" w:type="dxa"/>
            <w:tcBorders>
              <w:top w:val="nil"/>
              <w:bottom w:val="nil"/>
            </w:tcBorders>
            <w:shd w:val="clear" w:color="auto" w:fill="auto"/>
          </w:tcPr>
          <w:p w14:paraId="1EA46DBC" w14:textId="77777777" w:rsidR="00432BBE" w:rsidRPr="006F3ACA" w:rsidRDefault="00432BBE" w:rsidP="00297E4C">
            <w:pPr>
              <w:rPr>
                <w:rFonts w:eastAsia="Times New Roman" w:cs="Times New Roman"/>
                <w:color w:val="000000" w:themeColor="text1"/>
                <w:kern w:val="2"/>
              </w:rPr>
            </w:pPr>
            <w:r w:rsidRPr="006F3ACA">
              <w:rPr>
                <w:rFonts w:eastAsia="Times New Roman" w:cs="Times New Roman"/>
                <w:b/>
                <w:color w:val="000000" w:themeColor="text1"/>
                <w:kern w:val="2"/>
              </w:rPr>
              <w:t xml:space="preserve">WHO Grade </w:t>
            </w:r>
            <w:proofErr w:type="gramStart"/>
            <w:r w:rsidRPr="006F3ACA">
              <w:rPr>
                <w:rFonts w:eastAsia="Times New Roman" w:cs="Times New Roman"/>
                <w:b/>
                <w:color w:val="000000" w:themeColor="text1"/>
                <w:kern w:val="2"/>
              </w:rPr>
              <w:t>III:</w:t>
            </w:r>
            <w:proofErr w:type="gramEnd"/>
            <w:r w:rsidRPr="006F3ACA">
              <w:rPr>
                <w:rFonts w:eastAsia="Times New Roman" w:cs="Times New Roman"/>
                <w:b/>
                <w:color w:val="000000" w:themeColor="text1"/>
                <w:kern w:val="2"/>
              </w:rPr>
              <w:t xml:space="preserve"> </w:t>
            </w:r>
          </w:p>
        </w:tc>
      </w:tr>
      <w:tr w:rsidR="006F3ACA" w:rsidRPr="006F3ACA" w14:paraId="002EA340" w14:textId="77777777" w:rsidTr="006F3ACA">
        <w:tc>
          <w:tcPr>
            <w:tcW w:w="8296" w:type="dxa"/>
            <w:tcBorders>
              <w:top w:val="nil"/>
              <w:bottom w:val="nil"/>
            </w:tcBorders>
            <w:shd w:val="clear" w:color="auto" w:fill="auto"/>
          </w:tcPr>
          <w:p w14:paraId="523CC3C1" w14:textId="75E1879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Anaplastic (malignant) meningioma ≥</w:t>
            </w:r>
            <w:r w:rsidR="009C5910" w:rsidRPr="006F3ACA">
              <w:rPr>
                <w:rFonts w:eastAsia="Times New Roman" w:cs="Times New Roman"/>
                <w:color w:val="000000" w:themeColor="text1"/>
                <w:kern w:val="2"/>
              </w:rPr>
              <w:t xml:space="preserve"> </w:t>
            </w:r>
            <w:r w:rsidRPr="006F3ACA">
              <w:rPr>
                <w:rFonts w:eastAsia="Times New Roman" w:cs="Times New Roman"/>
                <w:color w:val="000000" w:themeColor="text1"/>
                <w:kern w:val="2"/>
              </w:rPr>
              <w:t>20 mitoses/10 HPF</w:t>
            </w:r>
          </w:p>
        </w:tc>
      </w:tr>
      <w:tr w:rsidR="006F3ACA" w:rsidRPr="006F3ACA" w14:paraId="7174AB44" w14:textId="77777777" w:rsidTr="006F3ACA">
        <w:tc>
          <w:tcPr>
            <w:tcW w:w="8296" w:type="dxa"/>
            <w:tcBorders>
              <w:top w:val="nil"/>
              <w:bottom w:val="nil"/>
            </w:tcBorders>
            <w:shd w:val="clear" w:color="auto" w:fill="auto"/>
          </w:tcPr>
          <w:p w14:paraId="18398374"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t>Rhabdoid meningioma</w:t>
            </w:r>
          </w:p>
        </w:tc>
      </w:tr>
      <w:tr w:rsidR="006F3ACA" w:rsidRPr="006F3ACA" w14:paraId="2EF67832" w14:textId="77777777" w:rsidTr="006F3ACA">
        <w:tc>
          <w:tcPr>
            <w:tcW w:w="8296" w:type="dxa"/>
            <w:tcBorders>
              <w:top w:val="nil"/>
              <w:bottom w:val="single" w:sz="4" w:space="0" w:color="auto"/>
            </w:tcBorders>
            <w:shd w:val="clear" w:color="auto" w:fill="auto"/>
          </w:tcPr>
          <w:p w14:paraId="23DB4BC5" w14:textId="77777777" w:rsidR="00432BBE" w:rsidRPr="006F3ACA" w:rsidRDefault="00432BBE" w:rsidP="00297E4C">
            <w:pPr>
              <w:ind w:firstLineChars="100" w:firstLine="240"/>
              <w:rPr>
                <w:rFonts w:eastAsia="Times New Roman" w:cs="Times New Roman"/>
                <w:color w:val="000000" w:themeColor="text1"/>
                <w:kern w:val="2"/>
              </w:rPr>
            </w:pPr>
            <w:r w:rsidRPr="006F3ACA">
              <w:rPr>
                <w:rFonts w:eastAsia="Times New Roman" w:cs="Times New Roman"/>
                <w:color w:val="000000" w:themeColor="text1"/>
                <w:kern w:val="2"/>
              </w:rPr>
              <w:lastRenderedPageBreak/>
              <w:t>Papillary meningioma</w:t>
            </w:r>
          </w:p>
        </w:tc>
      </w:tr>
    </w:tbl>
    <w:p w14:paraId="7FE5C323" w14:textId="7CDD276C" w:rsidR="00721500" w:rsidRPr="006F3ACA" w:rsidRDefault="00432BBE" w:rsidP="00297E4C">
      <w:pPr>
        <w:rPr>
          <w:color w:val="000000" w:themeColor="text1"/>
        </w:rPr>
      </w:pPr>
      <w:r w:rsidRPr="006F3ACA">
        <w:rPr>
          <w:rFonts w:cs="Times New Roman"/>
          <w:color w:val="000000" w:themeColor="text1"/>
        </w:rPr>
        <w:t>Note: HPF indicate high power field</w:t>
      </w:r>
    </w:p>
    <w:p w14:paraId="0B039F2F" w14:textId="77777777" w:rsidR="00B46458" w:rsidRPr="006F3ACA" w:rsidRDefault="00B46458" w:rsidP="006F3ACA">
      <w:pPr>
        <w:pStyle w:val="Heading1"/>
        <w:numPr>
          <w:ilvl w:val="0"/>
          <w:numId w:val="0"/>
        </w:numPr>
        <w:ind w:left="567" w:hanging="567"/>
        <w:rPr>
          <w:color w:val="000000" w:themeColor="text1"/>
        </w:rPr>
        <w:sectPr w:rsidR="00B46458" w:rsidRPr="006F3ACA" w:rsidSect="00090C02">
          <w:type w:val="continuous"/>
          <w:pgSz w:w="17035" w:h="15840"/>
          <w:pgMar w:top="1138" w:right="5976" w:bottom="1138" w:left="1282" w:header="720" w:footer="720" w:gutter="0"/>
          <w:cols w:space="720"/>
          <w:titlePg/>
          <w:docGrid w:linePitch="360"/>
        </w:sectPr>
      </w:pPr>
      <w:bookmarkStart w:id="14" w:name="OLE_LINK907"/>
      <w:bookmarkStart w:id="15" w:name="OLE_LINK908"/>
    </w:p>
    <w:p w14:paraId="0E10CC11" w14:textId="43C46B9C" w:rsidR="00721500" w:rsidRPr="006F3ACA" w:rsidRDefault="00B46458" w:rsidP="006F3ACA">
      <w:pPr>
        <w:pStyle w:val="Heading1"/>
        <w:numPr>
          <w:ilvl w:val="0"/>
          <w:numId w:val="0"/>
        </w:numPr>
        <w:ind w:left="567" w:hanging="567"/>
        <w:rPr>
          <w:color w:val="000000" w:themeColor="text1"/>
        </w:rPr>
      </w:pPr>
      <w:r w:rsidRPr="006F3ACA">
        <w:rPr>
          <w:color w:val="000000" w:themeColor="text1"/>
        </w:rPr>
        <w:lastRenderedPageBreak/>
        <w:t>Supplementary Figure</w:t>
      </w:r>
    </w:p>
    <w:bookmarkEnd w:id="14"/>
    <w:bookmarkEnd w:id="15"/>
    <w:p w14:paraId="7A37C59F" w14:textId="464ED181" w:rsidR="00432BBE" w:rsidRPr="006F3ACA" w:rsidRDefault="007D0D4F" w:rsidP="00432BBE">
      <w:pPr>
        <w:rPr>
          <w:color w:val="000000" w:themeColor="text1"/>
        </w:rPr>
      </w:pPr>
      <w:r w:rsidRPr="006F3ACA">
        <w:rPr>
          <w:noProof/>
          <w:color w:val="000000" w:themeColor="text1"/>
          <w:lang w:eastAsia="zh-CN"/>
        </w:rPr>
        <w:drawing>
          <wp:inline distT="0" distB="0" distL="0" distR="0" wp14:anchorId="65510B1D" wp14:editId="28113423">
            <wp:extent cx="6208395" cy="230505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lementary Figure.tif"/>
                    <pic:cNvPicPr/>
                  </pic:nvPicPr>
                  <pic:blipFill>
                    <a:blip r:embed="rId12">
                      <a:extLst>
                        <a:ext uri="{28A0092B-C50C-407E-A947-70E740481C1C}">
                          <a14:useLocalDpi xmlns:a14="http://schemas.microsoft.com/office/drawing/2010/main" val="0"/>
                        </a:ext>
                      </a:extLst>
                    </a:blip>
                    <a:stretch>
                      <a:fillRect/>
                    </a:stretch>
                  </pic:blipFill>
                  <pic:spPr>
                    <a:xfrm>
                      <a:off x="0" y="0"/>
                      <a:ext cx="6208395" cy="2305050"/>
                    </a:xfrm>
                    <a:prstGeom prst="rect">
                      <a:avLst/>
                    </a:prstGeom>
                  </pic:spPr>
                </pic:pic>
              </a:graphicData>
            </a:graphic>
          </wp:inline>
        </w:drawing>
      </w:r>
    </w:p>
    <w:p w14:paraId="1BA29D43" w14:textId="5C04217D" w:rsidR="00DE2CF3" w:rsidRPr="006F3ACA" w:rsidRDefault="00432BBE" w:rsidP="007653A4">
      <w:pPr>
        <w:jc w:val="both"/>
        <w:rPr>
          <w:color w:val="000000" w:themeColor="text1"/>
          <w:szCs w:val="24"/>
        </w:rPr>
      </w:pPr>
      <w:bookmarkStart w:id="16" w:name="OLE_LINK1222"/>
      <w:bookmarkStart w:id="17" w:name="OLE_LINK1223"/>
      <w:r w:rsidRPr="006F3ACA">
        <w:rPr>
          <w:rFonts w:cs="Times New Roman"/>
          <w:b/>
          <w:bCs/>
          <w:color w:val="000000" w:themeColor="text1"/>
          <w:szCs w:val="24"/>
        </w:rPr>
        <w:t>A WHO I grade meningioma was pathologically confirmed as postoperative recurrence.</w:t>
      </w:r>
      <w:r w:rsidRPr="006F3ACA">
        <w:rPr>
          <w:rFonts w:cs="Times New Roman"/>
          <w:color w:val="000000" w:themeColor="text1"/>
          <w:szCs w:val="24"/>
        </w:rPr>
        <w:t xml:space="preserve"> (A) Preoperative MR enhanced </w:t>
      </w:r>
      <w:r w:rsidRPr="006F3ACA">
        <w:rPr>
          <w:rFonts w:cs="Times New Roman" w:hint="eastAsia"/>
          <w:color w:val="000000" w:themeColor="text1"/>
          <w:szCs w:val="24"/>
          <w:lang w:eastAsia="zh-CN"/>
        </w:rPr>
        <w:t>T</w:t>
      </w:r>
      <w:r w:rsidRPr="006F3ACA">
        <w:rPr>
          <w:rFonts w:cs="Times New Roman"/>
          <w:color w:val="000000" w:themeColor="text1"/>
          <w:szCs w:val="24"/>
        </w:rPr>
        <w:t>1</w:t>
      </w:r>
      <w:r w:rsidRPr="006F3ACA">
        <w:rPr>
          <w:rFonts w:cs="Times New Roman" w:hint="eastAsia"/>
          <w:color w:val="000000" w:themeColor="text1"/>
          <w:szCs w:val="24"/>
          <w:lang w:eastAsia="zh-CN"/>
        </w:rPr>
        <w:t>-weighted</w:t>
      </w:r>
      <w:r w:rsidRPr="006F3ACA">
        <w:rPr>
          <w:rFonts w:cs="Times New Roman"/>
          <w:color w:val="000000" w:themeColor="text1"/>
          <w:szCs w:val="24"/>
          <w:lang w:eastAsia="zh-CN"/>
        </w:rPr>
        <w:t xml:space="preserve"> </w:t>
      </w:r>
      <w:r w:rsidRPr="006F3ACA">
        <w:rPr>
          <w:rFonts w:cs="Times New Roman"/>
          <w:color w:val="000000" w:themeColor="text1"/>
          <w:szCs w:val="24"/>
        </w:rPr>
        <w:t xml:space="preserve">image showing a mass in left cerebral convexity. (B) Postoperative MR enhanced </w:t>
      </w:r>
      <w:r w:rsidRPr="006F3ACA">
        <w:rPr>
          <w:rFonts w:cs="Times New Roman" w:hint="eastAsia"/>
          <w:color w:val="000000" w:themeColor="text1"/>
          <w:szCs w:val="24"/>
          <w:lang w:eastAsia="zh-CN"/>
        </w:rPr>
        <w:t>T</w:t>
      </w:r>
      <w:r w:rsidRPr="006F3ACA">
        <w:rPr>
          <w:rFonts w:cs="Times New Roman"/>
          <w:color w:val="000000" w:themeColor="text1"/>
          <w:szCs w:val="24"/>
        </w:rPr>
        <w:t>1</w:t>
      </w:r>
      <w:r w:rsidRPr="006F3ACA">
        <w:rPr>
          <w:rFonts w:cs="Times New Roman" w:hint="eastAsia"/>
          <w:color w:val="000000" w:themeColor="text1"/>
          <w:szCs w:val="24"/>
          <w:lang w:eastAsia="zh-CN"/>
        </w:rPr>
        <w:t>-weighted</w:t>
      </w:r>
      <w:r w:rsidRPr="006F3ACA">
        <w:rPr>
          <w:rFonts w:cs="Times New Roman"/>
          <w:color w:val="000000" w:themeColor="text1"/>
          <w:szCs w:val="24"/>
        </w:rPr>
        <w:t xml:space="preserve"> image confirmed Simpson grade I resection. (C) Follow-up MR enhanced </w:t>
      </w:r>
      <w:r w:rsidRPr="006F3ACA">
        <w:rPr>
          <w:rFonts w:cs="Times New Roman" w:hint="eastAsia"/>
          <w:color w:val="000000" w:themeColor="text1"/>
          <w:szCs w:val="24"/>
          <w:lang w:eastAsia="zh-CN"/>
        </w:rPr>
        <w:t>T</w:t>
      </w:r>
      <w:r w:rsidRPr="006F3ACA">
        <w:rPr>
          <w:rFonts w:cs="Times New Roman"/>
          <w:color w:val="000000" w:themeColor="text1"/>
          <w:szCs w:val="24"/>
        </w:rPr>
        <w:t>1</w:t>
      </w:r>
      <w:r w:rsidRPr="006F3ACA">
        <w:rPr>
          <w:rFonts w:cs="Times New Roman" w:hint="eastAsia"/>
          <w:color w:val="000000" w:themeColor="text1"/>
          <w:szCs w:val="24"/>
          <w:lang w:eastAsia="zh-CN"/>
        </w:rPr>
        <w:t>-weighted</w:t>
      </w:r>
      <w:r w:rsidRPr="006F3ACA">
        <w:rPr>
          <w:rFonts w:cs="Times New Roman"/>
          <w:color w:val="000000" w:themeColor="text1"/>
          <w:szCs w:val="24"/>
        </w:rPr>
        <w:t xml:space="preserve"> images </w:t>
      </w:r>
      <w:r w:rsidRPr="006F3ACA">
        <w:rPr>
          <w:rFonts w:cs="Times New Roman" w:hint="eastAsia"/>
          <w:color w:val="000000" w:themeColor="text1"/>
          <w:szCs w:val="24"/>
          <w:lang w:eastAsia="zh-CN"/>
        </w:rPr>
        <w:t>showing</w:t>
      </w:r>
      <w:r w:rsidRPr="006F3ACA">
        <w:rPr>
          <w:rFonts w:cs="Times New Roman"/>
          <w:color w:val="000000" w:themeColor="text1"/>
          <w:szCs w:val="24"/>
        </w:rPr>
        <w:t xml:space="preserve"> a new contrast-enhanced </w:t>
      </w:r>
      <w:r w:rsidRPr="006F3ACA">
        <w:rPr>
          <w:rFonts w:cs="Times New Roman" w:hint="eastAsia"/>
          <w:color w:val="000000" w:themeColor="text1"/>
          <w:szCs w:val="24"/>
          <w:lang w:eastAsia="zh-CN"/>
        </w:rPr>
        <w:t>mass</w:t>
      </w:r>
      <w:r w:rsidRPr="006F3ACA">
        <w:rPr>
          <w:rFonts w:cs="Times New Roman"/>
          <w:color w:val="000000" w:themeColor="text1"/>
          <w:szCs w:val="24"/>
        </w:rPr>
        <w:t xml:space="preserve"> in the </w:t>
      </w:r>
      <w:bookmarkEnd w:id="16"/>
      <w:bookmarkEnd w:id="17"/>
      <w:r w:rsidR="007653A4" w:rsidRPr="006F3ACA">
        <w:rPr>
          <w:rFonts w:cs="Times New Roman"/>
          <w:color w:val="000000" w:themeColor="text1"/>
          <w:szCs w:val="24"/>
        </w:rPr>
        <w:t>previous resection cavity (arrow).</w:t>
      </w:r>
      <w:bookmarkStart w:id="18" w:name="OLE_LINK248"/>
      <w:bookmarkStart w:id="19" w:name="OLE_LINK249"/>
    </w:p>
    <w:bookmarkEnd w:id="18"/>
    <w:bookmarkEnd w:id="19"/>
    <w:p w14:paraId="7B65BC41" w14:textId="22C06D62" w:rsidR="00DE23E8" w:rsidRPr="006F3ACA" w:rsidRDefault="00DE23E8" w:rsidP="00654E8F">
      <w:pPr>
        <w:spacing w:before="240"/>
        <w:rPr>
          <w:color w:val="000000" w:themeColor="text1"/>
          <w:lang w:eastAsia="zh-CN"/>
        </w:rPr>
      </w:pPr>
    </w:p>
    <w:sectPr w:rsidR="00DE23E8" w:rsidRPr="006F3ACA" w:rsidSect="00090C02">
      <w:pgSz w:w="17035" w:h="15840"/>
      <w:pgMar w:top="1138" w:right="5976"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67EA" w14:textId="77777777" w:rsidR="00C75540" w:rsidRDefault="00C75540" w:rsidP="00117666">
      <w:pPr>
        <w:spacing w:after="0"/>
      </w:pPr>
      <w:r>
        <w:separator/>
      </w:r>
    </w:p>
  </w:endnote>
  <w:endnote w:type="continuationSeparator" w:id="0">
    <w:p w14:paraId="01665151" w14:textId="77777777" w:rsidR="00C75540" w:rsidRDefault="00C7554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BA7F3B"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559AA02" w:rsidR="00BA7F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F3ACA">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559AA02" w:rsidR="00BA7F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F3ACA">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BA7F3B"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BA7F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BA7F3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6718" w14:textId="77777777" w:rsidR="00C75540" w:rsidRDefault="00C75540" w:rsidP="00117666">
      <w:pPr>
        <w:spacing w:after="0"/>
      </w:pPr>
      <w:r>
        <w:separator/>
      </w:r>
    </w:p>
  </w:footnote>
  <w:footnote w:type="continuationSeparator" w:id="0">
    <w:p w14:paraId="775273ED" w14:textId="77777777" w:rsidR="00C75540" w:rsidRDefault="00C7554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BA7F3B"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BA7F3B" w:rsidRDefault="0093429D"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5"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05381"/>
    <w:rsid w:val="0000685C"/>
    <w:rsid w:val="0001436A"/>
    <w:rsid w:val="000217EA"/>
    <w:rsid w:val="00034304"/>
    <w:rsid w:val="00035434"/>
    <w:rsid w:val="00042716"/>
    <w:rsid w:val="00052A14"/>
    <w:rsid w:val="0005561D"/>
    <w:rsid w:val="00061565"/>
    <w:rsid w:val="00077D53"/>
    <w:rsid w:val="00090C02"/>
    <w:rsid w:val="000F0349"/>
    <w:rsid w:val="00105FD9"/>
    <w:rsid w:val="00117666"/>
    <w:rsid w:val="001549D3"/>
    <w:rsid w:val="00160065"/>
    <w:rsid w:val="00177D84"/>
    <w:rsid w:val="001B2351"/>
    <w:rsid w:val="00237CF5"/>
    <w:rsid w:val="00267D18"/>
    <w:rsid w:val="00274347"/>
    <w:rsid w:val="002868E2"/>
    <w:rsid w:val="002869C3"/>
    <w:rsid w:val="002936E4"/>
    <w:rsid w:val="00294190"/>
    <w:rsid w:val="00297E4C"/>
    <w:rsid w:val="002A28EA"/>
    <w:rsid w:val="002B43BB"/>
    <w:rsid w:val="002B4A57"/>
    <w:rsid w:val="002C74CA"/>
    <w:rsid w:val="002D1A1A"/>
    <w:rsid w:val="00301AF6"/>
    <w:rsid w:val="0030524E"/>
    <w:rsid w:val="003123F4"/>
    <w:rsid w:val="00330ECD"/>
    <w:rsid w:val="00346436"/>
    <w:rsid w:val="003544FB"/>
    <w:rsid w:val="003D2F2D"/>
    <w:rsid w:val="003E0C25"/>
    <w:rsid w:val="00401590"/>
    <w:rsid w:val="00432BBE"/>
    <w:rsid w:val="00437085"/>
    <w:rsid w:val="00447801"/>
    <w:rsid w:val="00452E9C"/>
    <w:rsid w:val="004735C8"/>
    <w:rsid w:val="00481ADA"/>
    <w:rsid w:val="004947A6"/>
    <w:rsid w:val="004961FF"/>
    <w:rsid w:val="004A3FBC"/>
    <w:rsid w:val="004E2F06"/>
    <w:rsid w:val="004E62EA"/>
    <w:rsid w:val="004F7F1F"/>
    <w:rsid w:val="00517A89"/>
    <w:rsid w:val="005250F2"/>
    <w:rsid w:val="00550FC9"/>
    <w:rsid w:val="00584B5C"/>
    <w:rsid w:val="00593EEA"/>
    <w:rsid w:val="005A4CE1"/>
    <w:rsid w:val="005A5EEE"/>
    <w:rsid w:val="005B5D1D"/>
    <w:rsid w:val="005B7F02"/>
    <w:rsid w:val="006270FA"/>
    <w:rsid w:val="006345D0"/>
    <w:rsid w:val="006375C7"/>
    <w:rsid w:val="00654E8F"/>
    <w:rsid w:val="00655D5D"/>
    <w:rsid w:val="0066034E"/>
    <w:rsid w:val="00660D05"/>
    <w:rsid w:val="006820B1"/>
    <w:rsid w:val="006940F7"/>
    <w:rsid w:val="006A346B"/>
    <w:rsid w:val="006B7D14"/>
    <w:rsid w:val="006F3ACA"/>
    <w:rsid w:val="006F5E53"/>
    <w:rsid w:val="00701727"/>
    <w:rsid w:val="0070566C"/>
    <w:rsid w:val="007118A2"/>
    <w:rsid w:val="00714C50"/>
    <w:rsid w:val="00721500"/>
    <w:rsid w:val="00725A7D"/>
    <w:rsid w:val="007501BE"/>
    <w:rsid w:val="007653A4"/>
    <w:rsid w:val="00790BB3"/>
    <w:rsid w:val="007C206C"/>
    <w:rsid w:val="007D0D4F"/>
    <w:rsid w:val="007F3702"/>
    <w:rsid w:val="00817DD6"/>
    <w:rsid w:val="0083759F"/>
    <w:rsid w:val="00885156"/>
    <w:rsid w:val="009151AA"/>
    <w:rsid w:val="0093429D"/>
    <w:rsid w:val="00942F08"/>
    <w:rsid w:val="00943573"/>
    <w:rsid w:val="00956395"/>
    <w:rsid w:val="00964134"/>
    <w:rsid w:val="00970F7D"/>
    <w:rsid w:val="00994A3D"/>
    <w:rsid w:val="0099756A"/>
    <w:rsid w:val="009A03E7"/>
    <w:rsid w:val="009A069A"/>
    <w:rsid w:val="009B6CB5"/>
    <w:rsid w:val="009C2B12"/>
    <w:rsid w:val="009C5910"/>
    <w:rsid w:val="00A174D9"/>
    <w:rsid w:val="00A23ECC"/>
    <w:rsid w:val="00A44148"/>
    <w:rsid w:val="00AA4D24"/>
    <w:rsid w:val="00AB6715"/>
    <w:rsid w:val="00AF760E"/>
    <w:rsid w:val="00B1671E"/>
    <w:rsid w:val="00B25EB8"/>
    <w:rsid w:val="00B31BF4"/>
    <w:rsid w:val="00B37F4D"/>
    <w:rsid w:val="00B46458"/>
    <w:rsid w:val="00B80E80"/>
    <w:rsid w:val="00BA7F3B"/>
    <w:rsid w:val="00BC44FF"/>
    <w:rsid w:val="00C01CFF"/>
    <w:rsid w:val="00C52A7B"/>
    <w:rsid w:val="00C55A32"/>
    <w:rsid w:val="00C56348"/>
    <w:rsid w:val="00C56ABE"/>
    <w:rsid w:val="00C56BAF"/>
    <w:rsid w:val="00C571CC"/>
    <w:rsid w:val="00C679AA"/>
    <w:rsid w:val="00C75540"/>
    <w:rsid w:val="00C75972"/>
    <w:rsid w:val="00C87FC9"/>
    <w:rsid w:val="00CA19A4"/>
    <w:rsid w:val="00CD066B"/>
    <w:rsid w:val="00CE4FEE"/>
    <w:rsid w:val="00D060CF"/>
    <w:rsid w:val="00D14944"/>
    <w:rsid w:val="00D5591E"/>
    <w:rsid w:val="00DB59C3"/>
    <w:rsid w:val="00DC259A"/>
    <w:rsid w:val="00DC78FA"/>
    <w:rsid w:val="00DD073B"/>
    <w:rsid w:val="00DE23E8"/>
    <w:rsid w:val="00DE2CF3"/>
    <w:rsid w:val="00E06CDD"/>
    <w:rsid w:val="00E16C19"/>
    <w:rsid w:val="00E42B61"/>
    <w:rsid w:val="00E52377"/>
    <w:rsid w:val="00E537AD"/>
    <w:rsid w:val="00E64E17"/>
    <w:rsid w:val="00E716D4"/>
    <w:rsid w:val="00E816FA"/>
    <w:rsid w:val="00E866C9"/>
    <w:rsid w:val="00EA3D3C"/>
    <w:rsid w:val="00EC090A"/>
    <w:rsid w:val="00ED20B5"/>
    <w:rsid w:val="00F01D0E"/>
    <w:rsid w:val="00F46900"/>
    <w:rsid w:val="00F55EEC"/>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BCBA45D0-41DE-4678-9DE2-74CA6AD4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7D0AF6-FBEE-41F3-908C-5CE7A2C8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108</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Naimeng Liu</cp:lastModifiedBy>
  <cp:revision>45</cp:revision>
  <cp:lastPrinted>2013-10-03T12:51:00Z</cp:lastPrinted>
  <dcterms:created xsi:type="dcterms:W3CDTF">2018-11-23T08:58:00Z</dcterms:created>
  <dcterms:modified xsi:type="dcterms:W3CDTF">2021-10-04T10:30:00Z</dcterms:modified>
</cp:coreProperties>
</file>