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18" w:rsidRDefault="008F2F18" w:rsidP="008F2F18">
      <w:pPr>
        <w:spacing w:after="0" w:line="360" w:lineRule="auto"/>
        <w:rPr>
          <w:b/>
          <w:sz w:val="24"/>
          <w:szCs w:val="24"/>
        </w:rPr>
      </w:pPr>
      <w:r w:rsidRPr="0003046B">
        <w:rPr>
          <w:b/>
          <w:sz w:val="24"/>
          <w:szCs w:val="24"/>
        </w:rPr>
        <w:t>Supplementary Material</w:t>
      </w:r>
    </w:p>
    <w:p w:rsidR="00CF18D9" w:rsidRDefault="00CF18D9" w:rsidP="008F2F18">
      <w:pPr>
        <w:spacing w:after="0" w:line="360" w:lineRule="auto"/>
        <w:rPr>
          <w:b/>
          <w:sz w:val="24"/>
          <w:szCs w:val="24"/>
        </w:rPr>
      </w:pPr>
    </w:p>
    <w:p w:rsidR="00CF18D9" w:rsidRPr="0003046B" w:rsidRDefault="00A719A8" w:rsidP="008F2F18">
      <w:pPr>
        <w:spacing w:after="0"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A6DFCEE" wp14:editId="588D02D0">
            <wp:extent cx="5731510" cy="41052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indi and Virunga group data nov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F18" w:rsidRPr="0003046B" w:rsidRDefault="008F2F18" w:rsidP="008F2F18">
      <w:pPr>
        <w:spacing w:after="0" w:line="360" w:lineRule="auto"/>
        <w:rPr>
          <w:sz w:val="24"/>
          <w:szCs w:val="24"/>
        </w:rPr>
      </w:pPr>
      <w:r w:rsidRPr="0003046B">
        <w:rPr>
          <w:sz w:val="24"/>
          <w:szCs w:val="24"/>
        </w:rPr>
        <w:t xml:space="preserve">Figure S1. Data availability for the 21 study groups in the two mountain gorilla populations between 2010 and 2020. Bwindi and Virunga groups are demarcated with a “B” and “V”, respectively. Each vertical line corresponds to a 9-day data point, consisting of between 1 and 9 group observation days. The study incorporated </w:t>
      </w:r>
      <w:r w:rsidR="00A733C8" w:rsidRPr="0003046B">
        <w:rPr>
          <w:sz w:val="24"/>
          <w:szCs w:val="24"/>
        </w:rPr>
        <w:t>2</w:t>
      </w:r>
      <w:r w:rsidR="00A733C8">
        <w:rPr>
          <w:sz w:val="24"/>
          <w:szCs w:val="24"/>
        </w:rPr>
        <w:t>5</w:t>
      </w:r>
      <w:r w:rsidRPr="0003046B">
        <w:rPr>
          <w:sz w:val="24"/>
          <w:szCs w:val="24"/>
        </w:rPr>
        <w:t xml:space="preserve">, </w:t>
      </w:r>
      <w:r w:rsidR="00A733C8">
        <w:rPr>
          <w:sz w:val="24"/>
          <w:szCs w:val="24"/>
        </w:rPr>
        <w:t>813</w:t>
      </w:r>
      <w:r w:rsidR="00A733C8" w:rsidRPr="0003046B">
        <w:rPr>
          <w:sz w:val="24"/>
          <w:szCs w:val="24"/>
        </w:rPr>
        <w:t xml:space="preserve"> </w:t>
      </w:r>
      <w:r w:rsidRPr="0003046B">
        <w:rPr>
          <w:sz w:val="24"/>
          <w:szCs w:val="24"/>
        </w:rPr>
        <w:t xml:space="preserve">group observation days and </w:t>
      </w:r>
      <w:r w:rsidR="00A733C8" w:rsidRPr="0003046B">
        <w:rPr>
          <w:sz w:val="24"/>
          <w:szCs w:val="24"/>
        </w:rPr>
        <w:t>7</w:t>
      </w:r>
      <w:r w:rsidR="00A733C8">
        <w:rPr>
          <w:sz w:val="24"/>
          <w:szCs w:val="24"/>
        </w:rPr>
        <w:t>7</w:t>
      </w:r>
      <w:r w:rsidRPr="0003046B">
        <w:rPr>
          <w:sz w:val="24"/>
          <w:szCs w:val="24"/>
        </w:rPr>
        <w:t xml:space="preserve">, </w:t>
      </w:r>
      <w:r w:rsidR="00A733C8" w:rsidRPr="0003046B">
        <w:rPr>
          <w:sz w:val="24"/>
          <w:szCs w:val="24"/>
        </w:rPr>
        <w:t>6</w:t>
      </w:r>
      <w:r w:rsidR="00A733C8">
        <w:rPr>
          <w:sz w:val="24"/>
          <w:szCs w:val="24"/>
        </w:rPr>
        <w:t>74</w:t>
      </w:r>
      <w:r w:rsidR="00A733C8" w:rsidRPr="0003046B">
        <w:rPr>
          <w:sz w:val="24"/>
          <w:szCs w:val="24"/>
        </w:rPr>
        <w:t xml:space="preserve"> </w:t>
      </w:r>
      <w:r w:rsidRPr="0003046B">
        <w:rPr>
          <w:sz w:val="24"/>
          <w:szCs w:val="24"/>
        </w:rPr>
        <w:t>group observation hours.</w:t>
      </w:r>
    </w:p>
    <w:p w:rsidR="008F2F18" w:rsidRDefault="008F2F18" w:rsidP="008F2F18">
      <w:pPr>
        <w:spacing w:after="0" w:line="360" w:lineRule="auto"/>
        <w:rPr>
          <w:sz w:val="24"/>
          <w:szCs w:val="24"/>
        </w:rPr>
      </w:pPr>
    </w:p>
    <w:p w:rsidR="00BB545B" w:rsidRDefault="0059542C" w:rsidP="008F2F18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406CDBBD" wp14:editId="2B36BEDF">
            <wp:extent cx="5731510" cy="35642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itional SUP plots bwind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42C" w:rsidRDefault="0059542C" w:rsidP="008F2F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Figure S2. Maximum temperature (A), rainfall (B) and the rate of water drinking per 100 observation hours (C) plotted over time</w:t>
      </w:r>
      <w:r w:rsidR="006D6218">
        <w:rPr>
          <w:sz w:val="24"/>
          <w:szCs w:val="24"/>
        </w:rPr>
        <w:t xml:space="preserve"> in the Bwindi population</w:t>
      </w:r>
      <w:r>
        <w:rPr>
          <w:sz w:val="24"/>
          <w:szCs w:val="24"/>
        </w:rPr>
        <w:t>. In figures A and B, each circle represents a day (</w:t>
      </w:r>
      <w:r w:rsidRPr="003311F6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= 2034) whilst in figure C it represents a data point in the model (9 day periods; </w:t>
      </w:r>
      <w:r w:rsidRPr="003311F6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= 586).</w:t>
      </w:r>
    </w:p>
    <w:p w:rsidR="0059542C" w:rsidRDefault="0059542C" w:rsidP="008F2F18">
      <w:pPr>
        <w:spacing w:after="0" w:line="360" w:lineRule="auto"/>
        <w:rPr>
          <w:sz w:val="24"/>
          <w:szCs w:val="24"/>
        </w:rPr>
      </w:pPr>
    </w:p>
    <w:p w:rsidR="0059542C" w:rsidRDefault="006D6218" w:rsidP="008F2F18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F8BDFDA" wp14:editId="041761C0">
            <wp:extent cx="5731510" cy="35896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itional SUP plots virun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218" w:rsidRDefault="006D6218" w:rsidP="006D62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Figure S3. Maximum temperature (A), rainfall (B) and the rate of water drinking per 100 observation hours (C) plotted over time in the Virunga population. In figures A and B, each circle represents a day (</w:t>
      </w:r>
      <w:r w:rsidRPr="00147F81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= 3065) whilst in figure C it represents a data point in the model (9 day periods; </w:t>
      </w:r>
      <w:r w:rsidRPr="00147F81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= 2690). In figures A and B data was prioritized from the Busogo weather station (the closest weather station to the gorillas).</w:t>
      </w:r>
    </w:p>
    <w:p w:rsidR="003311F6" w:rsidRDefault="003311F6" w:rsidP="006D6218">
      <w:pPr>
        <w:spacing w:after="0" w:line="360" w:lineRule="auto"/>
        <w:rPr>
          <w:sz w:val="24"/>
          <w:szCs w:val="24"/>
        </w:rPr>
      </w:pPr>
    </w:p>
    <w:p w:rsidR="0033037C" w:rsidRDefault="0033037C" w:rsidP="00BC48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Water content of foods</w:t>
      </w:r>
    </w:p>
    <w:p w:rsidR="0033037C" w:rsidRDefault="0033037C" w:rsidP="00BC48AB">
      <w:pPr>
        <w:spacing w:line="360" w:lineRule="auto"/>
        <w:rPr>
          <w:sz w:val="24"/>
          <w:szCs w:val="24"/>
        </w:rPr>
      </w:pPr>
      <w:r w:rsidRPr="00BC48AB">
        <w:rPr>
          <w:sz w:val="24"/>
          <w:szCs w:val="24"/>
        </w:rPr>
        <w:t xml:space="preserve">The methods to obtain the water content of gorilla foods </w:t>
      </w:r>
      <w:r w:rsidR="00BC48AB">
        <w:rPr>
          <w:sz w:val="24"/>
          <w:szCs w:val="24"/>
        </w:rPr>
        <w:t>are</w:t>
      </w:r>
      <w:r w:rsidRPr="00BC48AB">
        <w:rPr>
          <w:sz w:val="24"/>
          <w:szCs w:val="24"/>
        </w:rPr>
        <w:t xml:space="preserve"> detailed in </w:t>
      </w:r>
      <w:proofErr w:type="spellStart"/>
      <w:r w:rsidRPr="00BC48AB">
        <w:rPr>
          <w:sz w:val="24"/>
          <w:szCs w:val="24"/>
        </w:rPr>
        <w:t>Ganas</w:t>
      </w:r>
      <w:proofErr w:type="spellEnd"/>
      <w:r w:rsidRPr="00BC48AB">
        <w:rPr>
          <w:sz w:val="24"/>
          <w:szCs w:val="24"/>
        </w:rPr>
        <w:t xml:space="preserve"> et al. </w:t>
      </w:r>
      <w:r w:rsidRPr="00BC48AB">
        <w:rPr>
          <w:rFonts w:ascii="Calibri" w:hAnsi="Calibri"/>
          <w:sz w:val="24"/>
          <w:szCs w:val="24"/>
        </w:rPr>
        <w:t>(2008)</w:t>
      </w:r>
      <w:r w:rsidRPr="00BC48AB">
        <w:rPr>
          <w:sz w:val="24"/>
          <w:szCs w:val="24"/>
        </w:rPr>
        <w:t xml:space="preserve"> and </w:t>
      </w:r>
      <w:proofErr w:type="spellStart"/>
      <w:r w:rsidRPr="00BC48AB">
        <w:rPr>
          <w:sz w:val="24"/>
          <w:szCs w:val="24"/>
        </w:rPr>
        <w:t>Grueter</w:t>
      </w:r>
      <w:proofErr w:type="spellEnd"/>
      <w:r w:rsidRPr="00BC48AB">
        <w:rPr>
          <w:sz w:val="24"/>
          <w:szCs w:val="24"/>
        </w:rPr>
        <w:t xml:space="preserve"> et al. </w:t>
      </w:r>
      <w:r w:rsidRPr="00BC48AB">
        <w:rPr>
          <w:rFonts w:ascii="Calibri" w:hAnsi="Calibri"/>
          <w:sz w:val="24"/>
          <w:szCs w:val="24"/>
        </w:rPr>
        <w:t>(2016)</w:t>
      </w:r>
      <w:r w:rsidRPr="00BC48AB">
        <w:rPr>
          <w:sz w:val="24"/>
          <w:szCs w:val="24"/>
        </w:rPr>
        <w:t xml:space="preserve">. Briefly, </w:t>
      </w:r>
      <w:r w:rsidR="00BC48AB" w:rsidRPr="00BC48AB">
        <w:rPr>
          <w:sz w:val="24"/>
          <w:szCs w:val="24"/>
        </w:rPr>
        <w:t xml:space="preserve">samples were collected from the </w:t>
      </w:r>
      <w:r w:rsidR="00BC48AB">
        <w:rPr>
          <w:sz w:val="24"/>
          <w:szCs w:val="24"/>
        </w:rPr>
        <w:t xml:space="preserve">same </w:t>
      </w:r>
      <w:r w:rsidR="00BC48AB" w:rsidRPr="00BC48AB">
        <w:rPr>
          <w:sz w:val="24"/>
          <w:szCs w:val="24"/>
        </w:rPr>
        <w:t>plant eaten by the gorillas or from several adjacent plants of the same species</w:t>
      </w:r>
      <w:r w:rsidR="00142DF2">
        <w:rPr>
          <w:sz w:val="24"/>
          <w:szCs w:val="24"/>
        </w:rPr>
        <w:t xml:space="preserve"> and </w:t>
      </w:r>
      <w:r w:rsidR="00BC48AB" w:rsidRPr="00BC48AB">
        <w:rPr>
          <w:sz w:val="24"/>
          <w:szCs w:val="24"/>
        </w:rPr>
        <w:t>processed in a similar way to the feeding behavio</w:t>
      </w:r>
      <w:r w:rsidR="00BC48AB">
        <w:rPr>
          <w:sz w:val="24"/>
          <w:szCs w:val="24"/>
        </w:rPr>
        <w:t>u</w:t>
      </w:r>
      <w:r w:rsidR="00BC48AB" w:rsidRPr="00BC48AB">
        <w:rPr>
          <w:sz w:val="24"/>
          <w:szCs w:val="24"/>
        </w:rPr>
        <w:t xml:space="preserve">r of the gorillas, </w:t>
      </w:r>
      <w:r w:rsidR="000618B1">
        <w:rPr>
          <w:sz w:val="24"/>
          <w:szCs w:val="24"/>
        </w:rPr>
        <w:t>with</w:t>
      </w:r>
      <w:r w:rsidR="00BC48AB" w:rsidRPr="00BC48AB">
        <w:rPr>
          <w:sz w:val="24"/>
          <w:szCs w:val="24"/>
        </w:rPr>
        <w:t xml:space="preserve"> only the ingested sections of </w:t>
      </w:r>
      <w:r w:rsidR="000618B1">
        <w:rPr>
          <w:sz w:val="24"/>
          <w:szCs w:val="24"/>
        </w:rPr>
        <w:t>each</w:t>
      </w:r>
      <w:r w:rsidR="00BC48AB" w:rsidRPr="00BC48AB">
        <w:rPr>
          <w:sz w:val="24"/>
          <w:szCs w:val="24"/>
        </w:rPr>
        <w:t xml:space="preserve"> </w:t>
      </w:r>
      <w:r w:rsidR="000618B1">
        <w:rPr>
          <w:sz w:val="24"/>
          <w:szCs w:val="24"/>
        </w:rPr>
        <w:t>food item being</w:t>
      </w:r>
      <w:r w:rsidR="00BC48AB" w:rsidRPr="00BC48AB">
        <w:rPr>
          <w:sz w:val="24"/>
          <w:szCs w:val="24"/>
        </w:rPr>
        <w:t xml:space="preserve"> </w:t>
      </w:r>
      <w:r w:rsidR="00BC48AB">
        <w:rPr>
          <w:sz w:val="24"/>
          <w:szCs w:val="24"/>
        </w:rPr>
        <w:t>analysed</w:t>
      </w:r>
      <w:r w:rsidR="00BC48AB" w:rsidRPr="00BC48AB">
        <w:rPr>
          <w:sz w:val="24"/>
          <w:szCs w:val="24"/>
        </w:rPr>
        <w:t>. All samples were weighed immediately after collection to determine their total wet mass and then dried until there was no further loss in weight</w:t>
      </w:r>
      <w:r w:rsidR="00BC48AB">
        <w:rPr>
          <w:sz w:val="24"/>
          <w:szCs w:val="24"/>
        </w:rPr>
        <w:t>.</w:t>
      </w:r>
    </w:p>
    <w:p w:rsidR="003311F6" w:rsidRDefault="003311F6" w:rsidP="008F2F18">
      <w:pPr>
        <w:spacing w:after="0" w:line="360" w:lineRule="auto"/>
        <w:rPr>
          <w:sz w:val="24"/>
          <w:szCs w:val="24"/>
        </w:rPr>
      </w:pPr>
    </w:p>
    <w:p w:rsidR="008F2F18" w:rsidRPr="0003046B" w:rsidRDefault="008F2F18" w:rsidP="008F2F18">
      <w:pPr>
        <w:spacing w:after="0" w:line="360" w:lineRule="auto"/>
        <w:rPr>
          <w:sz w:val="24"/>
          <w:szCs w:val="24"/>
        </w:rPr>
      </w:pPr>
      <w:r w:rsidRPr="0003046B">
        <w:rPr>
          <w:sz w:val="24"/>
          <w:szCs w:val="24"/>
        </w:rPr>
        <w:t xml:space="preserve">Table S1. </w:t>
      </w:r>
      <w:proofErr w:type="gramStart"/>
      <w:r w:rsidRPr="0003046B">
        <w:rPr>
          <w:sz w:val="24"/>
          <w:szCs w:val="24"/>
        </w:rPr>
        <w:t>The water content and dietary importance of key gorilla foods in the two mountain gorilla populations.</w:t>
      </w:r>
      <w:proofErr w:type="gramEnd"/>
      <w:r w:rsidRPr="0003046B">
        <w:rPr>
          <w:sz w:val="24"/>
          <w:szCs w:val="24"/>
        </w:rPr>
        <w:t xml:space="preserve"> Key foods were defined as those contributing to at least 1% of the total energy consumed for groups in each population.</w:t>
      </w:r>
    </w:p>
    <w:tbl>
      <w:tblPr>
        <w:tblW w:w="8118" w:type="dxa"/>
        <w:tblLayout w:type="fixed"/>
        <w:tblLook w:val="04A0" w:firstRow="1" w:lastRow="0" w:firstColumn="1" w:lastColumn="0" w:noHBand="0" w:noVBand="1"/>
      </w:tblPr>
      <w:tblGrid>
        <w:gridCol w:w="2538"/>
        <w:gridCol w:w="1161"/>
        <w:gridCol w:w="1989"/>
        <w:gridCol w:w="2430"/>
      </w:tblGrid>
      <w:tr w:rsidR="008F2F18" w:rsidRPr="0003046B" w:rsidTr="00B271E4">
        <w:trPr>
          <w:trHeight w:val="303"/>
        </w:trPr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Species</w:t>
            </w:r>
            <w:r w:rsidR="00B271E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/Population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Part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Water content %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Dietary importance %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Bwindi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Card</w:t>
            </w:r>
            <w:r w:rsidR="00ED6060"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us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89.4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="0014214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Basella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alba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89.2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Momordica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foetida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82.6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 w:rsidR="0014214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Urera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hypselodendron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80.9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="0014214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Chrysophyllum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79.4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Urera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hypselodendron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Bark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79.0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Ipomoea </w:t>
            </w:r>
            <w:r w:rsidR="00A733C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involucrate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78.5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12.</w:t>
            </w:r>
            <w:r w:rsidR="0014214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Maesa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lanceolata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76.5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Triumfetta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75.8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Mimulopsis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solmsii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74.0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6.1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Ipomoea </w:t>
            </w:r>
            <w:r w:rsidR="00A733C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involucrate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Bark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71.8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="0014214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Myrianthus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holstii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59.3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="0014214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Rubus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58.0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="0014214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Virunga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Carduus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nyassanus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95.4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Peucedanum</w:t>
            </w:r>
            <w:proofErr w:type="spellEnd"/>
            <w:r w:rsidRPr="0003046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linderi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89.9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Lobelia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stuhlmannii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Pith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89.4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Carduus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nyassanus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95614C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95614C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95614C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Lobelia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wollastonii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Pith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89.2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Yushania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alpina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Shoots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89.1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Galium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87.9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Carduus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nyassanus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85.7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="0014214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Rubus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runssorensis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79.9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Eucalyptus sp.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Bark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75.4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Laportea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alatipes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74.9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.5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Droguetia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iners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68.4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Yushania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alpina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57.2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8F2F18" w:rsidRPr="0003046B" w:rsidTr="00B271E4">
        <w:trPr>
          <w:trHeight w:val="303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Rubus</w:t>
            </w:r>
            <w:proofErr w:type="spellEnd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04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runssorensis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Leaf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8F2F18" w:rsidP="00EB598D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51.9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F18" w:rsidRPr="0003046B" w:rsidRDefault="0014214A" w:rsidP="0014214A">
            <w:pPr>
              <w:spacing w:after="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F2F18" w:rsidRPr="0003046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8F2F18" w:rsidRPr="0003046B" w:rsidRDefault="008F2F18" w:rsidP="008F2F18">
      <w:pPr>
        <w:spacing w:after="0" w:line="360" w:lineRule="auto"/>
        <w:rPr>
          <w:sz w:val="24"/>
          <w:szCs w:val="24"/>
        </w:rPr>
      </w:pPr>
      <w:r w:rsidRPr="0003046B">
        <w:rPr>
          <w:sz w:val="24"/>
          <w:szCs w:val="24"/>
        </w:rPr>
        <w:t xml:space="preserve">The water content of gorilla foods was taken from </w:t>
      </w:r>
      <w:proofErr w:type="spellStart"/>
      <w:r w:rsidRPr="0003046B">
        <w:rPr>
          <w:sz w:val="24"/>
          <w:szCs w:val="24"/>
        </w:rPr>
        <w:t>Grueter</w:t>
      </w:r>
      <w:proofErr w:type="spellEnd"/>
      <w:r w:rsidRPr="0003046B">
        <w:rPr>
          <w:sz w:val="24"/>
          <w:szCs w:val="24"/>
        </w:rPr>
        <w:t xml:space="preserve"> et al. </w:t>
      </w:r>
      <w:r w:rsidR="00AB7784" w:rsidRPr="00AB7784">
        <w:rPr>
          <w:rFonts w:ascii="Calibri" w:hAnsi="Calibri"/>
          <w:sz w:val="24"/>
        </w:rPr>
        <w:t>(2016)</w:t>
      </w:r>
      <w:r w:rsidRPr="0003046B">
        <w:rPr>
          <w:sz w:val="24"/>
          <w:szCs w:val="24"/>
        </w:rPr>
        <w:t xml:space="preserve"> and </w:t>
      </w:r>
      <w:proofErr w:type="spellStart"/>
      <w:r w:rsidRPr="0003046B">
        <w:rPr>
          <w:sz w:val="24"/>
          <w:szCs w:val="24"/>
        </w:rPr>
        <w:t>Ganas</w:t>
      </w:r>
      <w:proofErr w:type="spellEnd"/>
      <w:r w:rsidRPr="0003046B">
        <w:rPr>
          <w:sz w:val="24"/>
          <w:szCs w:val="24"/>
        </w:rPr>
        <w:t xml:space="preserve"> et al. </w:t>
      </w:r>
      <w:r w:rsidR="00AB7784" w:rsidRPr="00AB7784">
        <w:rPr>
          <w:rFonts w:ascii="Calibri" w:hAnsi="Calibri"/>
          <w:sz w:val="24"/>
        </w:rPr>
        <w:t>(2008; unpublished data)</w:t>
      </w:r>
      <w:r w:rsidRPr="0003046B">
        <w:rPr>
          <w:sz w:val="24"/>
          <w:szCs w:val="24"/>
        </w:rPr>
        <w:t xml:space="preserve">. Dietary importance was measured as the proportion of energy each food item contributed to the total amount of energy ingested for each population (Bwindi </w:t>
      </w:r>
      <w:r w:rsidRPr="0003046B">
        <w:rPr>
          <w:i/>
          <w:sz w:val="24"/>
          <w:szCs w:val="24"/>
        </w:rPr>
        <w:t>N</w:t>
      </w:r>
      <w:r w:rsidRPr="0003046B">
        <w:rPr>
          <w:sz w:val="24"/>
          <w:szCs w:val="24"/>
        </w:rPr>
        <w:t xml:space="preserve"> groups = 1; Virunga </w:t>
      </w:r>
      <w:r w:rsidRPr="0003046B">
        <w:rPr>
          <w:i/>
          <w:sz w:val="24"/>
          <w:szCs w:val="24"/>
        </w:rPr>
        <w:t>N</w:t>
      </w:r>
      <w:r w:rsidRPr="0003046B">
        <w:rPr>
          <w:sz w:val="24"/>
          <w:szCs w:val="24"/>
        </w:rPr>
        <w:t xml:space="preserve"> groups = 3; averaged across groups from the same population</w:t>
      </w:r>
      <w:r w:rsidR="008B22FC">
        <w:rPr>
          <w:sz w:val="24"/>
          <w:szCs w:val="24"/>
        </w:rPr>
        <w:t>;</w:t>
      </w:r>
      <w:r w:rsidR="00592D89">
        <w:rPr>
          <w:sz w:val="24"/>
          <w:szCs w:val="24"/>
        </w:rPr>
        <w:t xml:space="preserve"> and </w:t>
      </w:r>
      <w:r w:rsidR="008B22FC">
        <w:rPr>
          <w:sz w:val="24"/>
          <w:szCs w:val="24"/>
        </w:rPr>
        <w:t xml:space="preserve">adjusted </w:t>
      </w:r>
      <w:r w:rsidR="00592D89">
        <w:rPr>
          <w:sz w:val="24"/>
          <w:szCs w:val="24"/>
        </w:rPr>
        <w:t xml:space="preserve">to </w:t>
      </w:r>
      <w:r w:rsidR="00E61671">
        <w:rPr>
          <w:sz w:val="24"/>
          <w:szCs w:val="24"/>
        </w:rPr>
        <w:t>total</w:t>
      </w:r>
      <w:r w:rsidR="008B22FC">
        <w:rPr>
          <w:sz w:val="24"/>
          <w:szCs w:val="24"/>
        </w:rPr>
        <w:t xml:space="preserve"> </w:t>
      </w:r>
      <w:r w:rsidR="00592D89">
        <w:rPr>
          <w:sz w:val="24"/>
          <w:szCs w:val="24"/>
        </w:rPr>
        <w:t>100%</w:t>
      </w:r>
      <w:r w:rsidRPr="0003046B">
        <w:rPr>
          <w:sz w:val="24"/>
          <w:szCs w:val="24"/>
        </w:rPr>
        <w:t xml:space="preserve">) and taken from </w:t>
      </w:r>
      <w:r w:rsidR="00AB7784">
        <w:rPr>
          <w:sz w:val="24"/>
          <w:szCs w:val="24"/>
        </w:rPr>
        <w:t xml:space="preserve">Wright et al. </w:t>
      </w:r>
      <w:r w:rsidR="00AB7784" w:rsidRPr="00AB7784">
        <w:rPr>
          <w:rFonts w:ascii="Calibri" w:hAnsi="Calibri"/>
          <w:sz w:val="24"/>
        </w:rPr>
        <w:t>(2015; and unpublished data)</w:t>
      </w:r>
      <w:r w:rsidRPr="0003046B">
        <w:rPr>
          <w:sz w:val="24"/>
          <w:szCs w:val="24"/>
        </w:rPr>
        <w:t>.</w:t>
      </w:r>
      <w:r w:rsidR="008861D7">
        <w:rPr>
          <w:sz w:val="24"/>
          <w:szCs w:val="24"/>
        </w:rPr>
        <w:t xml:space="preserve"> Each food item was weighted by its dietary importance.</w:t>
      </w:r>
    </w:p>
    <w:p w:rsidR="00EA16CC" w:rsidRPr="0003046B" w:rsidRDefault="00EA16CC">
      <w:pPr>
        <w:rPr>
          <w:sz w:val="24"/>
          <w:szCs w:val="24"/>
        </w:rPr>
      </w:pPr>
    </w:p>
    <w:p w:rsidR="000044AE" w:rsidRPr="0003046B" w:rsidRDefault="000044AE">
      <w:pPr>
        <w:rPr>
          <w:sz w:val="24"/>
          <w:szCs w:val="24"/>
        </w:rPr>
      </w:pPr>
    </w:p>
    <w:p w:rsidR="000044AE" w:rsidRPr="008375FB" w:rsidRDefault="000044AE">
      <w:pPr>
        <w:rPr>
          <w:b/>
          <w:sz w:val="24"/>
          <w:szCs w:val="24"/>
        </w:rPr>
      </w:pPr>
      <w:r w:rsidRPr="008375FB">
        <w:rPr>
          <w:b/>
          <w:sz w:val="24"/>
          <w:szCs w:val="24"/>
        </w:rPr>
        <w:t>References</w:t>
      </w:r>
    </w:p>
    <w:p w:rsidR="0033037C" w:rsidRPr="0033037C" w:rsidRDefault="0033037C" w:rsidP="0033037C">
      <w:pPr>
        <w:pStyle w:val="Bibliography"/>
        <w:rPr>
          <w:rFonts w:ascii="Calibri" w:hAnsi="Calibri"/>
          <w:sz w:val="24"/>
        </w:rPr>
      </w:pPr>
      <w:proofErr w:type="spellStart"/>
      <w:r w:rsidRPr="0033037C">
        <w:rPr>
          <w:rFonts w:ascii="Calibri" w:hAnsi="Calibri"/>
          <w:sz w:val="24"/>
        </w:rPr>
        <w:t>Ganas</w:t>
      </w:r>
      <w:proofErr w:type="spellEnd"/>
      <w:r w:rsidRPr="0033037C">
        <w:rPr>
          <w:rFonts w:ascii="Calibri" w:hAnsi="Calibri"/>
          <w:sz w:val="24"/>
        </w:rPr>
        <w:t xml:space="preserve">, J., Ortmann, S., and Robbins, M. M. (2008). Food preferences of wild mountain gorillas. </w:t>
      </w:r>
      <w:r w:rsidRPr="0033037C">
        <w:rPr>
          <w:rFonts w:ascii="Calibri" w:hAnsi="Calibri"/>
          <w:i/>
          <w:iCs/>
          <w:sz w:val="24"/>
        </w:rPr>
        <w:t>American Journal of Primatology</w:t>
      </w:r>
      <w:r w:rsidRPr="0033037C">
        <w:rPr>
          <w:rFonts w:ascii="Calibri" w:hAnsi="Calibri"/>
          <w:sz w:val="24"/>
        </w:rPr>
        <w:t xml:space="preserve"> 70, 927–938.</w:t>
      </w:r>
    </w:p>
    <w:p w:rsidR="0033037C" w:rsidRPr="0033037C" w:rsidRDefault="0033037C" w:rsidP="0033037C">
      <w:pPr>
        <w:pStyle w:val="Bibliography"/>
        <w:rPr>
          <w:rFonts w:ascii="Calibri" w:hAnsi="Calibri"/>
          <w:sz w:val="24"/>
        </w:rPr>
      </w:pPr>
      <w:r w:rsidRPr="0033037C">
        <w:rPr>
          <w:rFonts w:ascii="Calibri" w:hAnsi="Calibri"/>
          <w:sz w:val="24"/>
        </w:rPr>
        <w:t xml:space="preserve">Grueter, C. C., Robbins, A. M., Abavandimwe, D., Vecellio, V., Ndagijimana, F., Ortmann, S., et al. (2016). Causes, mechanisms, and consequences of contest competition among female mountain gorillas in Rwanda. </w:t>
      </w:r>
      <w:r w:rsidRPr="0033037C">
        <w:rPr>
          <w:rFonts w:ascii="Calibri" w:hAnsi="Calibri"/>
          <w:i/>
          <w:iCs/>
          <w:sz w:val="24"/>
        </w:rPr>
        <w:t>Behav Ecol</w:t>
      </w:r>
      <w:r w:rsidRPr="0033037C">
        <w:rPr>
          <w:rFonts w:ascii="Calibri" w:hAnsi="Calibri"/>
          <w:sz w:val="24"/>
        </w:rPr>
        <w:t xml:space="preserve"> 27, 766–776. doi:10.1093/beheco/arv212.</w:t>
      </w:r>
    </w:p>
    <w:p w:rsidR="0033037C" w:rsidRPr="0033037C" w:rsidRDefault="0033037C" w:rsidP="0033037C">
      <w:pPr>
        <w:pStyle w:val="Bibliography"/>
        <w:rPr>
          <w:rFonts w:ascii="Calibri" w:hAnsi="Calibri"/>
          <w:sz w:val="24"/>
        </w:rPr>
      </w:pPr>
      <w:r w:rsidRPr="00592D89">
        <w:rPr>
          <w:rFonts w:ascii="Calibri" w:hAnsi="Calibri"/>
          <w:sz w:val="24"/>
          <w:lang w:val="de-DE"/>
        </w:rPr>
        <w:lastRenderedPageBreak/>
        <w:t xml:space="preserve">Wright, E., </w:t>
      </w:r>
      <w:proofErr w:type="spellStart"/>
      <w:r w:rsidRPr="00592D89">
        <w:rPr>
          <w:rFonts w:ascii="Calibri" w:hAnsi="Calibri"/>
          <w:sz w:val="24"/>
          <w:lang w:val="de-DE"/>
        </w:rPr>
        <w:t>Grueter</w:t>
      </w:r>
      <w:proofErr w:type="spellEnd"/>
      <w:r w:rsidRPr="00592D89">
        <w:rPr>
          <w:rFonts w:ascii="Calibri" w:hAnsi="Calibri"/>
          <w:sz w:val="24"/>
          <w:lang w:val="de-DE"/>
        </w:rPr>
        <w:t xml:space="preserve">, C. C., Seiler, N., </w:t>
      </w:r>
      <w:proofErr w:type="spellStart"/>
      <w:r w:rsidRPr="00592D89">
        <w:rPr>
          <w:rFonts w:ascii="Calibri" w:hAnsi="Calibri"/>
          <w:sz w:val="24"/>
          <w:lang w:val="de-DE"/>
        </w:rPr>
        <w:t>Abavandimwe</w:t>
      </w:r>
      <w:proofErr w:type="spellEnd"/>
      <w:r w:rsidRPr="00592D89">
        <w:rPr>
          <w:rFonts w:ascii="Calibri" w:hAnsi="Calibri"/>
          <w:sz w:val="24"/>
          <w:lang w:val="de-DE"/>
        </w:rPr>
        <w:t xml:space="preserve">, D., </w:t>
      </w:r>
      <w:proofErr w:type="spellStart"/>
      <w:r w:rsidRPr="00592D89">
        <w:rPr>
          <w:rFonts w:ascii="Calibri" w:hAnsi="Calibri"/>
          <w:sz w:val="24"/>
          <w:lang w:val="de-DE"/>
        </w:rPr>
        <w:t>Stoinski</w:t>
      </w:r>
      <w:proofErr w:type="spellEnd"/>
      <w:r w:rsidRPr="00592D89">
        <w:rPr>
          <w:rFonts w:ascii="Calibri" w:hAnsi="Calibri"/>
          <w:sz w:val="24"/>
          <w:lang w:val="de-DE"/>
        </w:rPr>
        <w:t xml:space="preserve">, T. S., Ortmann, S., et al. </w:t>
      </w:r>
      <w:r w:rsidRPr="0033037C">
        <w:rPr>
          <w:rFonts w:ascii="Calibri" w:hAnsi="Calibri"/>
          <w:sz w:val="24"/>
        </w:rPr>
        <w:t xml:space="preserve">(2015). </w:t>
      </w:r>
      <w:proofErr w:type="gramStart"/>
      <w:r w:rsidRPr="0033037C">
        <w:rPr>
          <w:rFonts w:ascii="Calibri" w:hAnsi="Calibri"/>
          <w:sz w:val="24"/>
        </w:rPr>
        <w:t>Energetic responses to variation in food availability in the two mountain gorilla populations (</w:t>
      </w:r>
      <w:r w:rsidRPr="00175EC0">
        <w:rPr>
          <w:rFonts w:ascii="Calibri" w:hAnsi="Calibri"/>
          <w:i/>
          <w:sz w:val="24"/>
        </w:rPr>
        <w:t>Gorilla beringei beringei</w:t>
      </w:r>
      <w:r w:rsidRPr="0033037C">
        <w:rPr>
          <w:rFonts w:ascii="Calibri" w:hAnsi="Calibri"/>
          <w:sz w:val="24"/>
        </w:rPr>
        <w:t>).</w:t>
      </w:r>
      <w:proofErr w:type="gramEnd"/>
      <w:r w:rsidRPr="0033037C">
        <w:rPr>
          <w:rFonts w:ascii="Calibri" w:hAnsi="Calibri"/>
          <w:sz w:val="24"/>
        </w:rPr>
        <w:t xml:space="preserve"> </w:t>
      </w:r>
      <w:r w:rsidRPr="0033037C">
        <w:rPr>
          <w:rFonts w:ascii="Calibri" w:hAnsi="Calibri"/>
          <w:i/>
          <w:iCs/>
          <w:sz w:val="24"/>
        </w:rPr>
        <w:t>Am. J. Phys. Anthropol.</w:t>
      </w:r>
      <w:r w:rsidRPr="0033037C">
        <w:rPr>
          <w:rFonts w:ascii="Calibri" w:hAnsi="Calibri"/>
          <w:sz w:val="24"/>
        </w:rPr>
        <w:t xml:space="preserve"> 158, 487–500. doi:10.1002/ajpa.22808.</w:t>
      </w:r>
    </w:p>
    <w:p w:rsidR="000044AE" w:rsidRPr="0003046B" w:rsidRDefault="000044AE">
      <w:pPr>
        <w:rPr>
          <w:sz w:val="24"/>
          <w:szCs w:val="24"/>
        </w:rPr>
      </w:pPr>
    </w:p>
    <w:sectPr w:rsidR="000044AE" w:rsidRPr="0003046B" w:rsidSect="00DC0310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8F" w:rsidRDefault="00B1228F">
      <w:pPr>
        <w:spacing w:after="0" w:line="240" w:lineRule="auto"/>
      </w:pPr>
      <w:r>
        <w:separator/>
      </w:r>
    </w:p>
  </w:endnote>
  <w:endnote w:type="continuationSeparator" w:id="0">
    <w:p w:rsidR="00B1228F" w:rsidRDefault="00B1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230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465" w:rsidRDefault="000044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9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465" w:rsidRDefault="00B12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8F" w:rsidRDefault="00B1228F">
      <w:pPr>
        <w:spacing w:after="0" w:line="240" w:lineRule="auto"/>
      </w:pPr>
      <w:r>
        <w:separator/>
      </w:r>
    </w:p>
  </w:footnote>
  <w:footnote w:type="continuationSeparator" w:id="0">
    <w:p w:rsidR="00B1228F" w:rsidRDefault="00B12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18"/>
    <w:rsid w:val="000044AE"/>
    <w:rsid w:val="0003046B"/>
    <w:rsid w:val="000618B1"/>
    <w:rsid w:val="000C57A5"/>
    <w:rsid w:val="0014214A"/>
    <w:rsid w:val="00142DF2"/>
    <w:rsid w:val="00175EC0"/>
    <w:rsid w:val="0033037C"/>
    <w:rsid w:val="003311F6"/>
    <w:rsid w:val="005444F1"/>
    <w:rsid w:val="00592D89"/>
    <w:rsid w:val="0059542C"/>
    <w:rsid w:val="006D6218"/>
    <w:rsid w:val="007A1190"/>
    <w:rsid w:val="008375FB"/>
    <w:rsid w:val="0087296A"/>
    <w:rsid w:val="008861D7"/>
    <w:rsid w:val="008B22FC"/>
    <w:rsid w:val="008F2F18"/>
    <w:rsid w:val="008F7BBC"/>
    <w:rsid w:val="009464B1"/>
    <w:rsid w:val="0095614C"/>
    <w:rsid w:val="00990BC8"/>
    <w:rsid w:val="009B0C14"/>
    <w:rsid w:val="00A01459"/>
    <w:rsid w:val="00A719A8"/>
    <w:rsid w:val="00A733C8"/>
    <w:rsid w:val="00AB7784"/>
    <w:rsid w:val="00B1228F"/>
    <w:rsid w:val="00B271E4"/>
    <w:rsid w:val="00BB545B"/>
    <w:rsid w:val="00BC48AB"/>
    <w:rsid w:val="00CF18D9"/>
    <w:rsid w:val="00D07484"/>
    <w:rsid w:val="00D11ADC"/>
    <w:rsid w:val="00D25F61"/>
    <w:rsid w:val="00DB1E10"/>
    <w:rsid w:val="00DC0310"/>
    <w:rsid w:val="00E22139"/>
    <w:rsid w:val="00E61671"/>
    <w:rsid w:val="00EA16CC"/>
    <w:rsid w:val="00E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F1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18"/>
    <w:rPr>
      <w:rFonts w:ascii="Tahoma" w:hAnsi="Tahoma" w:cs="Tahoma"/>
      <w:sz w:val="16"/>
      <w:szCs w:val="16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F2F18"/>
  </w:style>
  <w:style w:type="paragraph" w:styleId="Bibliography">
    <w:name w:val="Bibliography"/>
    <w:basedOn w:val="Normal"/>
    <w:next w:val="Normal"/>
    <w:uiPriority w:val="37"/>
    <w:unhideWhenUsed/>
    <w:rsid w:val="000044AE"/>
    <w:pPr>
      <w:spacing w:after="240" w:line="24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B1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E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10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F1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18"/>
    <w:rPr>
      <w:rFonts w:ascii="Tahoma" w:hAnsi="Tahoma" w:cs="Tahoma"/>
      <w:sz w:val="16"/>
      <w:szCs w:val="16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F2F18"/>
  </w:style>
  <w:style w:type="paragraph" w:styleId="Bibliography">
    <w:name w:val="Bibliography"/>
    <w:basedOn w:val="Normal"/>
    <w:next w:val="Normal"/>
    <w:uiPriority w:val="37"/>
    <w:unhideWhenUsed/>
    <w:rsid w:val="000044AE"/>
    <w:pPr>
      <w:spacing w:after="240" w:line="24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B1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E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1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EVA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2021-06-09T11:52:00Z</dcterms:created>
  <dcterms:modified xsi:type="dcterms:W3CDTF">2021-11-03T16:30:00Z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id="df4uRLWw"/&gt;&lt;style id="http://www.zotero.org/styles/frontiers-in-ecology-and-evolution" hasBibliography="1" bibliographyStyleHasBeenSet="1"/&gt;&lt;prefs&gt;&lt;pref name="fieldType" value="Field"/&gt;&lt;/prefs&gt;&lt;/</vt:lpwstr>
  </property>
  <property fmtid="{D5CDD505-2E9C-101B-9397-08002B2CF9AE}" pid="3" name="ZOTERO_PREF_2">
    <vt:lpwstr>data&gt;</vt:lpwstr>
  </property>
</Properties>
</file>