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BBF9" w14:textId="4D25467F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Items of desired cultural tightness (Jackson et al., 2019)</w:t>
      </w:r>
      <w:r w:rsidRPr="00E735C8">
        <w:rPr>
          <w:rStyle w:val="Rimandonotaapidipagi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footnoteReference w:id="1"/>
      </w:r>
    </w:p>
    <w:p w14:paraId="291DFA6D" w14:textId="38B7668A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0F5542F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 country is currently. . . </w:t>
      </w:r>
    </w:p>
    <w:p w14:paraId="7E1CFF8F" w14:textId="6F550A5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1=Not Permissive Enough; 9=Too Permissive</w:t>
      </w:r>
    </w:p>
    <w:p w14:paraId="2C7AA2D1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948C115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People in my country are currently. . . </w:t>
      </w:r>
    </w:p>
    <w:p w14:paraId="7027ECCC" w14:textId="7C2836D6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1=Overly adherent of my country’s customs; 9= Overly ignorant of my country’s customs</w:t>
      </w:r>
    </w:p>
    <w:p w14:paraId="1F9DD337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7F2EAF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People in my country. . . </w:t>
      </w:r>
    </w:p>
    <w:p w14:paraId="46B4513C" w14:textId="7B16118B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1=Follow the rules too much; 9=Don’t follow the rules enough</w:t>
      </w:r>
    </w:p>
    <w:p w14:paraId="18AC0526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659F042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 country currently has. . . </w:t>
      </w:r>
    </w:p>
    <w:p w14:paraId="0E9D3FD8" w14:textId="673070C0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1=Too many rules; 9=Too few rules</w:t>
      </w:r>
    </w:p>
    <w:p w14:paraId="4862749A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50DB6B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Social norms in my country are. . . </w:t>
      </w:r>
    </w:p>
    <w:p w14:paraId="41A6FB2A" w14:textId="3EA3BDBB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1=Too rigid</w:t>
      </w:r>
      <w:r w:rsidR="003C24AF"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9=Too flexible</w:t>
      </w:r>
    </w:p>
    <w:p w14:paraId="2A2E5C7F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23DDCE" w14:textId="2A1848AE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People in my country who break the law are currently. . .</w:t>
      </w:r>
    </w:p>
    <w:p w14:paraId="5B011528" w14:textId="56CDAF15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1=Punished too often; 9=Punished too rarely</w:t>
      </w:r>
    </w:p>
    <w:p w14:paraId="2BC28F06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8722248" w14:textId="269D1E20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Criminal punishment in my country is currently. . .</w:t>
      </w:r>
    </w:p>
    <w:p w14:paraId="3D99E0B3" w14:textId="7CE58AAD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1=Too harsh; 9=Too lenient</w:t>
      </w:r>
    </w:p>
    <w:p w14:paraId="0D060A42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CE5DF2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 country’s norms are currently </w:t>
      </w:r>
    </w:p>
    <w:p w14:paraId="534E03E0" w14:textId="1B3DD93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1=Enforced too strictly; 9=Not enforced strictly enough</w:t>
      </w:r>
    </w:p>
    <w:p w14:paraId="0069D202" w14:textId="77777777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3CEA4D" w14:textId="7ECDB479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People who don’t conform to the norms in my country are. . .</w:t>
      </w:r>
    </w:p>
    <w:p w14:paraId="67F553AD" w14:textId="37277C56" w:rsidR="00D23DB6" w:rsidRPr="00E735C8" w:rsidRDefault="00D23DB6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1=Treated too harshly; 9=Treated too kindly</w:t>
      </w:r>
    </w:p>
    <w:p w14:paraId="00D9B289" w14:textId="3AA2DA3B" w:rsidR="00112E93" w:rsidRPr="00E735C8" w:rsidRDefault="00112E93" w:rsidP="00D23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49AE693" w14:textId="158C4BE1" w:rsidR="00112E93" w:rsidRPr="00E735C8" w:rsidRDefault="00112E9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14:paraId="4AD4255A" w14:textId="5573059E" w:rsidR="005E7BBC" w:rsidRPr="00E735C8" w:rsidRDefault="000B433F" w:rsidP="000B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Study 1</w:t>
      </w:r>
    </w:p>
    <w:p w14:paraId="38AB69B2" w14:textId="4698BD3B" w:rsidR="000B433F" w:rsidRPr="00E735C8" w:rsidRDefault="000B433F" w:rsidP="000B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1C6510B" w14:textId="48364E81" w:rsidR="005C1390" w:rsidRPr="00E735C8" w:rsidRDefault="000B433F" w:rsidP="000B433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We examined predictive effects of moral foundations on people’s desired tightness via multiple regression analysis</w:t>
      </w:r>
      <w:r w:rsidR="00F3012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= .</w:t>
      </w:r>
      <w:r w:rsidR="00315863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08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Adjusted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="0066201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=</w:t>
      </w:r>
      <w:r w:rsidR="0066201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15863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07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9A610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5685E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without </w:t>
      </w:r>
      <w:r w:rsidR="00F3012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includ</w:t>
      </w:r>
      <w:r w:rsidR="009A610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="00F3012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any other control variables. </w:t>
      </w:r>
      <w:r w:rsidR="00F807E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Consistent with the results obtained by including the covariates into the regression equation, without including the covariates</w:t>
      </w:r>
      <w:r w:rsidR="0016762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807E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he binding foundations </w:t>
      </w:r>
      <w:r w:rsidR="005C1390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predicted higher desired tightness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</w:t>
      </w:r>
      <w:r w:rsidR="006F2467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.38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6F2467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.4.663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C075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&lt; .001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95% CI: .</w:t>
      </w:r>
      <w:r w:rsidR="000A4D53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19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.</w:t>
      </w:r>
      <w:r w:rsidR="000A4D53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38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), unlike the individualizing foundations 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8872F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.09,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8872F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.936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C3A34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8872F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.350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95% CI: </w:t>
      </w:r>
      <w:r w:rsidR="008872F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-.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.</w:t>
      </w:r>
      <w:r w:rsidR="008872F8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29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8C3A34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</w:p>
    <w:p w14:paraId="21BD9D2F" w14:textId="77777777" w:rsidR="00CB73EE" w:rsidRPr="00E735C8" w:rsidRDefault="00CB73EE" w:rsidP="000B433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2FD35A6" w14:textId="65319C09" w:rsidR="000B433F" w:rsidRPr="00E735C8" w:rsidRDefault="000B433F" w:rsidP="000B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Study 2</w:t>
      </w:r>
    </w:p>
    <w:p w14:paraId="3B3BE87A" w14:textId="045256AF" w:rsidR="000B433F" w:rsidRPr="00E735C8" w:rsidRDefault="000B433F" w:rsidP="000B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23A655C" w14:textId="6E602A1B" w:rsidR="005C1390" w:rsidRPr="00E735C8" w:rsidRDefault="003A4478" w:rsidP="005C1390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We examined predictive effects of moral foundations measured at Time 1 on people’s desired tightness at </w:t>
      </w:r>
      <w:r w:rsidR="00005D4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follow up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via multiple regression analysis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= 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55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Adjusted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R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="0066201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=</w:t>
      </w:r>
      <w:r w:rsidR="0066201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54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9A610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5685E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without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includ</w:t>
      </w:r>
      <w:r w:rsidR="009A610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any other control variables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, except for desired tightness at Time 1 </w:t>
      </w:r>
      <w:r w:rsidR="000B433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to ensure that the effects of the predictors on desired tightness measured subsequently were not explained by their contemporaneous associations. </w:t>
      </w:r>
      <w:r w:rsidR="00F807E5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Consistent with the results obtained by including the covariates into the regression equation, without including the covariates t</w:t>
      </w:r>
      <w:r w:rsidR="000B433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he b</w:t>
      </w:r>
      <w:proofErr w:type="spellStart"/>
      <w:r w:rsidR="000B433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inding</w:t>
      </w:r>
      <w:proofErr w:type="spellEnd"/>
      <w:r w:rsidR="000B433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foundations positively predicted desired tightness </w:t>
      </w:r>
      <w:r w:rsidR="000B433F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at </w:t>
      </w:r>
      <w:r w:rsidR="00005D4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follow up</w:t>
      </w:r>
      <w:r w:rsidR="00005D4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40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330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.001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95% CI: .1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37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as well as the desired tightness at time 1 (</w:t>
      </w:r>
      <w:r w:rsidR="0074162C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.64, </w:t>
      </w:r>
      <w:r w:rsidR="0074162C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7.890, </w:t>
      </w:r>
      <w:r w:rsidR="0074162C"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&lt; .001, 95% CI: .48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.80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unlike the individualizing foundations (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15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.9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64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E735C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= .3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37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95% CI: -.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47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.</w:t>
      </w:r>
      <w:r w:rsidR="0074162C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16</w:t>
      </w:r>
      <w:r w:rsidR="00796AB9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</w:p>
    <w:p w14:paraId="73EB721D" w14:textId="77777777" w:rsidR="00F807E5" w:rsidRPr="00E735C8" w:rsidRDefault="00F807E5" w:rsidP="005C1390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87537A3" w14:textId="2A85B4F4" w:rsidR="005E7BBC" w:rsidRPr="00E735C8" w:rsidRDefault="000B433F" w:rsidP="00F807E5">
      <w:pPr>
        <w:spacing w:after="12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Study 3</w:t>
      </w:r>
    </w:p>
    <w:p w14:paraId="47F0CCA6" w14:textId="0DE56956" w:rsidR="004035DA" w:rsidRPr="00E735C8" w:rsidRDefault="004035DA" w:rsidP="004035DA">
      <w:pPr>
        <w:spacing w:after="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bookmarkStart w:id="0" w:name="_Hlk81563351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We tested our</w:t>
      </w:r>
      <w:r w:rsidR="000B433F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mediation hypothesis </w:t>
      </w:r>
      <w:r w:rsidR="0035685E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(perceived threat on desired tightness trough binding foundations) without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includ</w:t>
      </w:r>
      <w:r w:rsidR="009A610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ing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any other control variables. </w:t>
      </w:r>
      <w:bookmarkStart w:id="1" w:name="_Hlk81563409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Perceived threat </w:t>
      </w:r>
      <w:bookmarkEnd w:id="1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significantly and positively predicted the binding moral foundations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b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.21,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SE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.04,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p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&lt; .001</w:t>
      </w:r>
      <w:r w:rsidR="00476CCA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r w:rsidR="00476CC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95% CI: .12</w:t>
      </w:r>
      <w:r w:rsidR="00B2587B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476CC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.30</w:t>
      </w:r>
      <w:r w:rsidR="00B2587B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, which, in turn, significantly and positively predicted desired tightness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b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.39,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SE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.08,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p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&lt; .001</w:t>
      </w:r>
      <w:r w:rsidR="00476CCA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r w:rsidR="00476CC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95% CI: .2</w:t>
      </w:r>
      <w:r w:rsidR="00B2587B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38</w:t>
      </w:r>
      <w:r w:rsidR="00476CC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.5</w:t>
      </w:r>
      <w:r w:rsidR="009B0C37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B2587B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he indirect effect of perceived ecological threat on desired tightness through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lastRenderedPageBreak/>
        <w:t>the binding foundations was significant (Indirect effect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83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BootSE</w:t>
      </w:r>
      <w:proofErr w:type="spellEnd"/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3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95% </w:t>
      </w:r>
      <w:proofErr w:type="spellStart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BootCI</w:t>
      </w:r>
      <w:proofErr w:type="spellEnd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[.0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36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, .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139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]).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By i</w:t>
      </w:r>
      <w:r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nclud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ing</w:t>
      </w:r>
      <w:r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the individualizing foundations as 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the only</w:t>
      </w:r>
      <w:r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covariate in the model</w:t>
      </w:r>
      <w:r w:rsidR="0080095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,</w:t>
      </w:r>
      <w:r w:rsidR="00AF6ABB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4E5FB5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proofErr w:type="spellStart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erceived</w:t>
      </w:r>
      <w:proofErr w:type="spellEnd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threat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(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b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.19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3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SE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= .05, 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p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&lt; .001,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95% CI: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.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098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, .2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88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)</w:t>
      </w:r>
      <w:r w:rsidR="00AF6AB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unlike the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individualizing foundations (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b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0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9, 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SE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.0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8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="00DD7235" w:rsidRPr="00E735C8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 xml:space="preserve">p 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.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239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95% CI: 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-.06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1</w:t>
      </w:r>
      <w:r w:rsidR="00DF4118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, .24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GB"/>
        </w:rPr>
        <w:t>2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)</w:t>
      </w:r>
      <w:r w:rsidR="00AF6AB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significantly and positively predicted the binding moral foundations, which, in turn, significantly and positively predicted desired tightness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(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b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.39,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SE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= .08, </w:t>
      </w:r>
      <w:r w:rsidR="00003ECB" w:rsidRPr="00E735C8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p 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&lt; .001</w:t>
      </w:r>
      <w:r w:rsidR="00476CCA" w:rsidRPr="00E735C8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r w:rsidR="00476CCA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95% CI:</w:t>
      </w:r>
      <w:r w:rsidR="007E6E47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.2</w:t>
      </w:r>
      <w:r w:rsidR="0076298D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36</w:t>
      </w:r>
      <w:r w:rsidR="007E6E47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, .54</w:t>
      </w:r>
      <w:r w:rsidR="0076298D" w:rsidRPr="00E735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003ECB" w:rsidRPr="00E735C8">
        <w:rPr>
          <w:rFonts w:ascii="TimesNewRomanPSMT" w:hAnsi="TimesNewRomanPSMT" w:cs="TimesNewRomanPSMT"/>
          <w:sz w:val="24"/>
          <w:szCs w:val="24"/>
          <w:lang w:val="en-US"/>
        </w:rPr>
        <w:t>)</w:t>
      </w:r>
      <w:r w:rsidR="00DD723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; t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he indirect effect was </w:t>
      </w:r>
      <w:r w:rsidR="004E5FB5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still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significant (Indirect effect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75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BootSE</w:t>
      </w:r>
      <w:proofErr w:type="spellEnd"/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= 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3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95% </w:t>
      </w:r>
      <w:proofErr w:type="spellStart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BootCI</w:t>
      </w:r>
      <w:proofErr w:type="spellEnd"/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[.0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3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1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, .</w:t>
      </w:r>
      <w:r w:rsidR="00003ECB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13</w:t>
      </w:r>
      <w:r w:rsidR="0076298D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2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]).</w:t>
      </w:r>
    </w:p>
    <w:p w14:paraId="72631057" w14:textId="77777777" w:rsidR="009668D3" w:rsidRPr="00E735C8" w:rsidRDefault="009668D3" w:rsidP="009668D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B93E00E" w14:textId="62003939" w:rsidR="00A360E2" w:rsidRPr="00E735C8" w:rsidRDefault="002E69F0" w:rsidP="00A360E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Additional w</w:t>
      </w:r>
      <w:r w:rsidR="00786568"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ithin-</w:t>
      </w:r>
      <w:r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</w:t>
      </w:r>
      <w:r w:rsidR="00786568"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aper </w:t>
      </w:r>
      <w:r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</w:t>
      </w:r>
      <w:r w:rsidR="00786568" w:rsidRPr="00E73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nalysis</w:t>
      </w:r>
    </w:p>
    <w:p w14:paraId="3DA0228A" w14:textId="77777777" w:rsidR="00A360E2" w:rsidRPr="00E735C8" w:rsidRDefault="00A360E2" w:rsidP="00A360E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02F6F89" w14:textId="5E09EF9F" w:rsidR="00FD0B6E" w:rsidRPr="00E735C8" w:rsidRDefault="00A360E2" w:rsidP="00FD0B6E">
      <w:pPr>
        <w:spacing w:after="120" w:line="480" w:lineRule="auto"/>
        <w:jc w:val="both"/>
        <w:rPr>
          <w:rFonts w:ascii="Times New Roman" w:eastAsia="MS Mincho" w:hAnsi="Times New Roman" w:cs="Times New Roman"/>
          <w:sz w:val="24"/>
          <w:szCs w:val="24"/>
          <w:lang w:val="en"/>
        </w:rPr>
      </w:pP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The regression analysis </w:t>
      </w:r>
      <w:r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of both the binding and individualizing moral foundations on desired tightness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491FBA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was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repeated without covariates except for study (dummy-coded). </w:t>
      </w:r>
      <w:r w:rsidR="00466BE3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Semi-partial correlation coefficients are presented to provide an effect size that accounts for the variables in the model.</w:t>
      </w:r>
      <w:r w:rsidR="00466BE3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</w:t>
      </w:r>
      <w:r w:rsidR="00526067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As </w:t>
      </w:r>
      <w:r w:rsidR="00C13A63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can be seen in Table </w:t>
      </w:r>
      <w:r w:rsidR="005F5CD4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1</w:t>
      </w:r>
      <w:r w:rsidR="00B1518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1</w:t>
      </w:r>
      <w:r w:rsidR="00C13A63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, only the binding foundations predicted significantly (and positively) the desired tightness.</w:t>
      </w:r>
      <w:r w:rsidR="00D85AE2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</w:t>
      </w:r>
      <w:r w:rsidR="005B3412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Additionally, </w:t>
      </w:r>
      <w:r w:rsidR="005B3412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he regression analysis </w:t>
      </w:r>
      <w:r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of both the five moral foundations on desired tightness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w</w:t>
      </w:r>
      <w:r w:rsidR="00491FBA"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as</w:t>
      </w: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repeated without covariates except for study (dummy-coded). </w:t>
      </w:r>
      <w:r w:rsidR="005D1FE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The results</w:t>
      </w:r>
      <w:r w:rsidR="000330D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of this analysis</w:t>
      </w:r>
      <w:r w:rsidR="005D1FE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confirmed the </w:t>
      </w:r>
      <w:r w:rsidR="009668D3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results obtained including the control variables in the main analyses: there was </w:t>
      </w:r>
      <w:r w:rsidR="00994800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a significant and positive effect on the desired tightness of Authority, Purity, and Fairness foundations only</w:t>
      </w:r>
      <w:r w:rsidR="005D1FE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(Table 1</w:t>
      </w:r>
      <w:r w:rsidR="005F5CD4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2</w:t>
      </w:r>
      <w:r w:rsidR="005D1FE5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>).</w:t>
      </w:r>
      <w:r w:rsidR="00571EBE" w:rsidRPr="00E735C8">
        <w:rPr>
          <w:rFonts w:ascii="Times New Roman" w:eastAsia="MS Mincho" w:hAnsi="Times New Roman" w:cs="Times New Roman"/>
          <w:sz w:val="24"/>
          <w:szCs w:val="24"/>
          <w:lang w:val="en"/>
        </w:rPr>
        <w:t xml:space="preserve"> </w:t>
      </w:r>
      <w:bookmarkStart w:id="2" w:name="_Hlk93651351"/>
    </w:p>
    <w:bookmarkEnd w:id="2"/>
    <w:p w14:paraId="45481787" w14:textId="77777777" w:rsidR="00D12340" w:rsidRPr="00E735C8" w:rsidRDefault="00D12340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735C8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bookmarkEnd w:id="0"/>
    <w:p w14:paraId="6A4883EA" w14:textId="77777777" w:rsidR="004B6E63" w:rsidRPr="00E735C8" w:rsidRDefault="004B6E63" w:rsidP="00D23DB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56AC3DD" w14:textId="28055E73" w:rsidR="00194F3A" w:rsidRPr="00E735C8" w:rsidRDefault="00194F3A" w:rsidP="00194F3A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Table </w:t>
      </w:r>
      <w:r w:rsidR="009B308A"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1</w:t>
      </w:r>
      <w:r w:rsidR="001B6865"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1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Predictive effects of the </w:t>
      </w:r>
      <w:r w:rsidR="00914224"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broad 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moral foundations on desired tightness, all studies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53"/>
        <w:gridCol w:w="768"/>
        <w:gridCol w:w="1261"/>
        <w:gridCol w:w="328"/>
        <w:gridCol w:w="1342"/>
        <w:gridCol w:w="1231"/>
        <w:gridCol w:w="178"/>
        <w:gridCol w:w="1301"/>
      </w:tblGrid>
      <w:tr w:rsidR="00194F3A" w:rsidRPr="00E735C8" w14:paraId="0CF10C01" w14:textId="77777777" w:rsidTr="00134A4E">
        <w:trPr>
          <w:trHeight w:val="576"/>
          <w:jc w:val="center"/>
        </w:trPr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8B4C0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Predictors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AFDD1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8337C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BFFDB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p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325F1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33690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sr</w:t>
            </w:r>
          </w:p>
        </w:tc>
      </w:tr>
      <w:tr w:rsidR="00194F3A" w:rsidRPr="00E735C8" w14:paraId="782A5E02" w14:textId="77777777" w:rsidTr="00134A4E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6B63" w14:textId="77777777" w:rsidR="00194F3A" w:rsidRPr="00E735C8" w:rsidRDefault="00194F3A" w:rsidP="00631997">
            <w:pPr>
              <w:spacing w:before="120"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Binding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67C26" w14:textId="7DB3A1EF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446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586B5" w14:textId="330C5CB3" w:rsidR="00194F3A" w:rsidRPr="00E735C8" w:rsidRDefault="00631997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8.759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DC3D7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F322" w14:textId="19F23A51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35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24BFF" w14:textId="31FA748E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300</w:t>
            </w:r>
          </w:p>
        </w:tc>
      </w:tr>
      <w:tr w:rsidR="00194F3A" w:rsidRPr="00E735C8" w14:paraId="5B16CD63" w14:textId="77777777" w:rsidTr="00134A4E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573E8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Individualizing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4474" w14:textId="18A9F1D9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E051" w14:textId="0D62F586" w:rsidR="00194F3A" w:rsidRPr="00E735C8" w:rsidRDefault="00631997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1.366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7CE2" w14:textId="4C3B372C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D4E1" w14:textId="42FDF80A" w:rsidR="00194F3A" w:rsidRPr="00E735C8" w:rsidRDefault="003B633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194F3A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="00194F3A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66900" w14:textId="5656543D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47</w:t>
            </w:r>
          </w:p>
        </w:tc>
      </w:tr>
      <w:tr w:rsidR="00194F3A" w:rsidRPr="00E735C8" w14:paraId="418D9CCB" w14:textId="77777777" w:rsidTr="00134A4E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2523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Study 1,3 vs. 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5ED8" w14:textId="40064790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.1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67FA" w14:textId="682B1459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296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9DB1" w14:textId="191BBE3A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47CC" w14:textId="181EE166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-.0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.3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354D" w14:textId="18F99503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44</w:t>
            </w:r>
          </w:p>
        </w:tc>
      </w:tr>
      <w:tr w:rsidR="00194F3A" w:rsidRPr="00E735C8" w14:paraId="32AC1E38" w14:textId="77777777" w:rsidTr="00134A4E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4FF12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Study 1,2 vs. 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A41E2" w14:textId="43EE7D29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6E1D" w14:textId="4E7F69B1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424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347C4" w14:textId="5740EDF9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52683" w14:textId="5AC4E6FC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-.2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302E" w14:textId="6882C5FB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-.0</w:t>
            </w:r>
            <w:r w:rsidR="003B633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49</w:t>
            </w:r>
          </w:p>
        </w:tc>
      </w:tr>
      <w:tr w:rsidR="00194F3A" w:rsidRPr="00E735C8" w14:paraId="12ADBEA0" w14:textId="77777777" w:rsidTr="00134A4E">
        <w:trPr>
          <w:trHeight w:val="558"/>
          <w:jc w:val="center"/>
        </w:trPr>
        <w:tc>
          <w:tcPr>
            <w:tcW w:w="3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101C18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127EB6" w14:textId="2F109C48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.1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54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Adjusted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=.1</w:t>
            </w:r>
            <w:r w:rsidR="00631997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14:paraId="4193FC96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right w:val="nil"/>
            </w:tcBorders>
          </w:tcPr>
          <w:p w14:paraId="654DD29E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vAlign w:val="center"/>
          </w:tcPr>
          <w:p w14:paraId="7595E637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E76B04E" w14:textId="28FADF6D" w:rsidR="00194F3A" w:rsidRPr="00E735C8" w:rsidRDefault="00194F3A" w:rsidP="00194F3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Note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Binding=Binding foundations; Individualizing=Individualizing foundations. </w:t>
      </w:r>
      <w:r w:rsidRPr="00E735C8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N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= 728. Regression coefficients are unstandardized. </w:t>
      </w:r>
    </w:p>
    <w:p w14:paraId="428F9270" w14:textId="540982AA" w:rsidR="00194F3A" w:rsidRPr="00E735C8" w:rsidRDefault="00194F3A" w:rsidP="00D23DB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5EE0744" w14:textId="77777777" w:rsidR="001B6865" w:rsidRPr="00E735C8" w:rsidRDefault="001B6865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5D3BDE4B" w14:textId="12ABDB38" w:rsidR="00194F3A" w:rsidRPr="00E735C8" w:rsidRDefault="00194F3A" w:rsidP="00194F3A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Table 1</w:t>
      </w:r>
      <w:r w:rsidR="009B308A"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2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>. Predictive effects of the five moral foundations on desired tightness, all studies</w:t>
      </w:r>
    </w:p>
    <w:tbl>
      <w:tblPr>
        <w:tblStyle w:val="Grigliatabel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53"/>
        <w:gridCol w:w="768"/>
        <w:gridCol w:w="1261"/>
        <w:gridCol w:w="328"/>
        <w:gridCol w:w="1342"/>
        <w:gridCol w:w="1231"/>
        <w:gridCol w:w="178"/>
        <w:gridCol w:w="1301"/>
      </w:tblGrid>
      <w:tr w:rsidR="00194F3A" w:rsidRPr="00E735C8" w14:paraId="49D6217A" w14:textId="77777777" w:rsidTr="00F95F93">
        <w:trPr>
          <w:trHeight w:val="576"/>
          <w:jc w:val="center"/>
        </w:trPr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BBE0F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Predictors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24FC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2A1BA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t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32FAA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p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87774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95% CI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B9028" w14:textId="77777777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sr</w:t>
            </w:r>
          </w:p>
        </w:tc>
      </w:tr>
      <w:tr w:rsidR="00F95F93" w:rsidRPr="00E735C8" w14:paraId="6BD4A945" w14:textId="77777777" w:rsidTr="00F95F93">
        <w:trPr>
          <w:trHeight w:val="556"/>
          <w:jc w:val="center"/>
        </w:trPr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CF2215" w14:textId="24320BB1" w:rsidR="00F95F93" w:rsidRPr="00E735C8" w:rsidRDefault="00F95F93" w:rsidP="00F95F93">
            <w:pPr>
              <w:spacing w:before="120"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Authority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B5486" w14:textId="1C17FE17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305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66ACE" w14:textId="18F5A38D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5.066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C174F" w14:textId="1D9A0A2A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70D91" w14:textId="5FB1061D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01B50" w14:textId="05BD848D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172</w:t>
            </w:r>
          </w:p>
        </w:tc>
      </w:tr>
      <w:tr w:rsidR="00F95F93" w:rsidRPr="00E735C8" w14:paraId="3E3BBACE" w14:textId="77777777" w:rsidTr="00F95F93">
        <w:trPr>
          <w:trHeight w:val="550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BAC5" w14:textId="627FBFF5" w:rsidR="00F95F93" w:rsidRPr="00E735C8" w:rsidRDefault="00F95F93" w:rsidP="00F95F9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Loyalty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F767" w14:textId="4474A69F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F95F9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2EA1C" w14:textId="21C2033C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F95F9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705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BF6C9" w14:textId="0170EE3D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481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42DB" w14:textId="17A34237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.0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8A1F" w14:textId="66DD1C24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F95F9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.02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</w:tr>
      <w:tr w:rsidR="00F95F93" w:rsidRPr="00E735C8" w14:paraId="3E6E8A95" w14:textId="77777777" w:rsidTr="00F95F93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3EC4" w14:textId="7FB32D91" w:rsidR="00F95F93" w:rsidRPr="00E735C8" w:rsidRDefault="00F95F93" w:rsidP="00F95F9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Purity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9515" w14:textId="0FB85057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.1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2317" w14:textId="4F7B7E63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2.901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08BD" w14:textId="0C0044F4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.00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1D44" w14:textId="56F89CB4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05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.2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950A" w14:textId="2437B404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098</w:t>
            </w:r>
          </w:p>
        </w:tc>
      </w:tr>
      <w:tr w:rsidR="00F95F93" w:rsidRPr="00E735C8" w14:paraId="3875D64D" w14:textId="77777777" w:rsidTr="00F95F93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749D3" w14:textId="3D88EDE6" w:rsidR="00F95F93" w:rsidRPr="00E735C8" w:rsidRDefault="00F95F93" w:rsidP="00F95F9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Fairness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7F95F" w14:textId="6C59C709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6838F" w14:textId="6ECC36D5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2.139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DAD2" w14:textId="40C63E91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463EA" w14:textId="3F0E6795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01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AF45" w14:textId="325AE808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073</w:t>
            </w:r>
          </w:p>
        </w:tc>
      </w:tr>
      <w:tr w:rsidR="00F95F93" w:rsidRPr="00E735C8" w14:paraId="63382C29" w14:textId="77777777" w:rsidTr="00F95F93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1D52" w14:textId="3BED14F1" w:rsidR="00F95F93" w:rsidRPr="00E735C8" w:rsidRDefault="00F95F93" w:rsidP="00F95F93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Care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081FF" w14:textId="394BD75E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011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D7BF" w14:textId="173989E0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.178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987F" w14:textId="48873162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859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1F5F" w14:textId="77EA6E4F" w:rsidR="00F95F93" w:rsidRPr="00E735C8" w:rsidRDefault="00DE5B54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F95F9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F95F93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5441" w14:textId="16B42BCD" w:rsidR="00F95F93" w:rsidRPr="00E735C8" w:rsidRDefault="00F95F93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006</w:t>
            </w:r>
          </w:p>
        </w:tc>
      </w:tr>
      <w:tr w:rsidR="00194F3A" w:rsidRPr="00E735C8" w14:paraId="05625B07" w14:textId="77777777" w:rsidTr="00F95F93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061F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Study 1,3 vs. 2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BC4F" w14:textId="00B13FBE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.1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1603" w14:textId="2E528E23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5FEA" w14:textId="049DC91B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439ED" w14:textId="4705AD2F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-.0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, .3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E920" w14:textId="3250BC94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</w:t>
            </w:r>
          </w:p>
        </w:tc>
      </w:tr>
      <w:tr w:rsidR="00194F3A" w:rsidRPr="00E735C8" w14:paraId="37062A0C" w14:textId="77777777" w:rsidTr="00F95F93">
        <w:trPr>
          <w:trHeight w:val="558"/>
          <w:jc w:val="center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CC53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Study 1,2 vs. 3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4925" w14:textId="7140FE4D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E4BD" w14:textId="5DF289DC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2.121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2E765" w14:textId="2E061A94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034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0B7F" w14:textId="6F58DB7A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35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9E013" w14:textId="5643BE8E" w:rsidR="00194F3A" w:rsidRPr="00E735C8" w:rsidRDefault="00194F3A" w:rsidP="004621B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-.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072</w:t>
            </w:r>
          </w:p>
        </w:tc>
      </w:tr>
      <w:tr w:rsidR="00194F3A" w:rsidRPr="00E735C8" w14:paraId="6401A945" w14:textId="77777777" w:rsidTr="00F95F93">
        <w:trPr>
          <w:trHeight w:val="558"/>
          <w:jc w:val="center"/>
        </w:trPr>
        <w:tc>
          <w:tcPr>
            <w:tcW w:w="3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87CC7B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BC2E0D" w14:textId="13CA431F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.1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71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Adjusted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  <w:r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=.1</w:t>
            </w:r>
            <w:r w:rsidR="00DE5B54" w:rsidRPr="00E735C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14:paraId="043F7861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right w:val="nil"/>
            </w:tcBorders>
          </w:tcPr>
          <w:p w14:paraId="11F9C894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01" w:type="dxa"/>
            <w:tcBorders>
              <w:top w:val="nil"/>
              <w:left w:val="nil"/>
              <w:right w:val="nil"/>
            </w:tcBorders>
            <w:vAlign w:val="center"/>
          </w:tcPr>
          <w:p w14:paraId="3690971B" w14:textId="77777777" w:rsidR="00194F3A" w:rsidRPr="00E735C8" w:rsidRDefault="00194F3A" w:rsidP="00194F3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EC79A54" w14:textId="763BBF54" w:rsidR="00194F3A" w:rsidRPr="00E735C8" w:rsidRDefault="00194F3A" w:rsidP="00194F3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Note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</w:t>
      </w:r>
      <w:r w:rsidR="00B23FE3" w:rsidRPr="00E735C8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N</w:t>
      </w:r>
      <w:r w:rsidR="00B23FE3"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= 728. </w:t>
      </w:r>
      <w:r w:rsidRPr="00E735C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Regression coefficients are unstandardized. </w:t>
      </w:r>
    </w:p>
    <w:p w14:paraId="045F22FF" w14:textId="52D91B30" w:rsidR="00194F3A" w:rsidRPr="00E735C8" w:rsidRDefault="00194F3A" w:rsidP="00D23DB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4F3A" w:rsidRPr="00E735C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228"/>
      </w:tblGrid>
      <w:tr w:rsidR="004B6E63" w:rsidRPr="00E735C8" w14:paraId="1243534A" w14:textId="77777777" w:rsidTr="00D44CE2">
        <w:trPr>
          <w:trHeight w:val="300"/>
        </w:trPr>
        <w:tc>
          <w:tcPr>
            <w:tcW w:w="6228" w:type="dxa"/>
            <w:noWrap/>
            <w:hideMark/>
          </w:tcPr>
          <w:p w14:paraId="50CE37E6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lastRenderedPageBreak/>
              <w:t>Supplementary Table. Parallel Analysis for Ecological Threat measure (Study 3)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2160"/>
        <w:gridCol w:w="2970"/>
      </w:tblGrid>
      <w:tr w:rsidR="004B6E63" w:rsidRPr="00E735C8" w14:paraId="35EFB61A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3BDF0477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Factors</w:t>
            </w:r>
            <w:proofErr w:type="spellEnd"/>
          </w:p>
        </w:tc>
        <w:tc>
          <w:tcPr>
            <w:tcW w:w="2160" w:type="dxa"/>
            <w:noWrap/>
            <w:hideMark/>
          </w:tcPr>
          <w:p w14:paraId="75BB271D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Study </w:t>
            </w:r>
            <w:proofErr w:type="spellStart"/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Eigenvalues</w:t>
            </w:r>
            <w:proofErr w:type="spellEnd"/>
          </w:p>
        </w:tc>
        <w:tc>
          <w:tcPr>
            <w:tcW w:w="2970" w:type="dxa"/>
            <w:noWrap/>
            <w:hideMark/>
          </w:tcPr>
          <w:p w14:paraId="27D8743B" w14:textId="5BD8D7EE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Simulated</w:t>
            </w:r>
            <w:proofErr w:type="spellEnd"/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Eigenvalues</w:t>
            </w:r>
            <w:proofErr w:type="spellEnd"/>
          </w:p>
        </w:tc>
      </w:tr>
      <w:tr w:rsidR="004B6E63" w:rsidRPr="00E735C8" w14:paraId="3E529D58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4829E5E7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noWrap/>
            <w:hideMark/>
          </w:tcPr>
          <w:p w14:paraId="0A659C53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2970" w:type="dxa"/>
            <w:noWrap/>
            <w:hideMark/>
          </w:tcPr>
          <w:p w14:paraId="772AC19D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1.22</w:t>
            </w:r>
          </w:p>
        </w:tc>
      </w:tr>
      <w:tr w:rsidR="004B6E63" w:rsidRPr="00E735C8" w14:paraId="417FF0C2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026B15CF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noWrap/>
            <w:hideMark/>
          </w:tcPr>
          <w:p w14:paraId="61305BB2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970" w:type="dxa"/>
            <w:noWrap/>
            <w:hideMark/>
          </w:tcPr>
          <w:p w14:paraId="173AB008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1.13</w:t>
            </w:r>
          </w:p>
        </w:tc>
      </w:tr>
      <w:tr w:rsidR="004B6E63" w:rsidRPr="00E735C8" w14:paraId="535BE497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644411C0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noWrap/>
            <w:hideMark/>
          </w:tcPr>
          <w:p w14:paraId="2269D356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2970" w:type="dxa"/>
            <w:noWrap/>
            <w:hideMark/>
          </w:tcPr>
          <w:p w14:paraId="50DD42E3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1.05</w:t>
            </w:r>
          </w:p>
        </w:tc>
      </w:tr>
      <w:tr w:rsidR="004B6E63" w:rsidRPr="00E735C8" w14:paraId="622140E4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075D64CD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noWrap/>
            <w:hideMark/>
          </w:tcPr>
          <w:p w14:paraId="24F0CE30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.76</w:t>
            </w:r>
          </w:p>
        </w:tc>
        <w:tc>
          <w:tcPr>
            <w:tcW w:w="2970" w:type="dxa"/>
            <w:noWrap/>
            <w:hideMark/>
          </w:tcPr>
          <w:p w14:paraId="4522C661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.99</w:t>
            </w:r>
          </w:p>
        </w:tc>
      </w:tr>
      <w:tr w:rsidR="004B6E63" w:rsidRPr="00E735C8" w14:paraId="19F0D453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30C359E0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noWrap/>
            <w:hideMark/>
          </w:tcPr>
          <w:p w14:paraId="515BA131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2970" w:type="dxa"/>
            <w:noWrap/>
            <w:hideMark/>
          </w:tcPr>
          <w:p w14:paraId="4343C531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.92</w:t>
            </w:r>
          </w:p>
        </w:tc>
      </w:tr>
      <w:tr w:rsidR="004B6E63" w:rsidRPr="00E735C8" w14:paraId="4EF9BDAC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470E40BB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noWrap/>
            <w:hideMark/>
          </w:tcPr>
          <w:p w14:paraId="08D611D7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970" w:type="dxa"/>
            <w:noWrap/>
            <w:hideMark/>
          </w:tcPr>
          <w:p w14:paraId="177718A9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.87</w:t>
            </w:r>
          </w:p>
        </w:tc>
      </w:tr>
      <w:tr w:rsidR="004B6E63" w:rsidRPr="00E735C8" w14:paraId="5F5765DA" w14:textId="77777777" w:rsidTr="00D44CE2">
        <w:trPr>
          <w:trHeight w:val="300"/>
        </w:trPr>
        <w:tc>
          <w:tcPr>
            <w:tcW w:w="1098" w:type="dxa"/>
            <w:noWrap/>
            <w:hideMark/>
          </w:tcPr>
          <w:p w14:paraId="5DEE44C0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noWrap/>
            <w:hideMark/>
          </w:tcPr>
          <w:p w14:paraId="18D06EB7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2970" w:type="dxa"/>
            <w:noWrap/>
            <w:hideMark/>
          </w:tcPr>
          <w:p w14:paraId="0F342AB7" w14:textId="77777777" w:rsidR="004B6E63" w:rsidRPr="00E735C8" w:rsidRDefault="004B6E63" w:rsidP="00D44CE2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735C8">
              <w:rPr>
                <w:rFonts w:ascii="Times New Roman" w:eastAsia="MS Mincho" w:hAnsi="Times New Roman" w:cs="Times New Roman"/>
                <w:sz w:val="24"/>
                <w:szCs w:val="24"/>
              </w:rPr>
              <w:t>.78</w:t>
            </w:r>
          </w:p>
        </w:tc>
      </w:tr>
    </w:tbl>
    <w:p w14:paraId="3B9E0B05" w14:textId="79DAD98C" w:rsidR="000B5324" w:rsidRDefault="004B6E63" w:rsidP="00D23DB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35C8">
        <w:rPr>
          <w:rFonts w:ascii="Times New Roman" w:eastAsia="MS Mincho" w:hAnsi="Times New Roman" w:cs="Times New Roman"/>
          <w:sz w:val="24"/>
          <w:szCs w:val="24"/>
          <w:lang w:val="en-US"/>
        </w:rPr>
        <w:t>Note: Parallel Analysis was conducted with the principal components</w:t>
      </w:r>
    </w:p>
    <w:p w14:paraId="063CF39A" w14:textId="77777777" w:rsidR="00D23DB6" w:rsidRPr="000B5324" w:rsidRDefault="00D23DB6" w:rsidP="00D23DB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23DB6" w:rsidRPr="000B5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A277" w14:textId="77777777" w:rsidR="0048128C" w:rsidRDefault="0048128C" w:rsidP="00D23DB6">
      <w:pPr>
        <w:spacing w:after="0" w:line="240" w:lineRule="auto"/>
      </w:pPr>
      <w:r>
        <w:separator/>
      </w:r>
    </w:p>
  </w:endnote>
  <w:endnote w:type="continuationSeparator" w:id="0">
    <w:p w14:paraId="712FD538" w14:textId="77777777" w:rsidR="0048128C" w:rsidRDefault="0048128C" w:rsidP="00D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ItalicMT">
    <w:altName w:val="Times New Roman"/>
    <w:charset w:val="00"/>
    <w:family w:val="script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5A1A" w14:textId="77777777" w:rsidR="0048128C" w:rsidRDefault="0048128C" w:rsidP="00D23DB6">
      <w:pPr>
        <w:spacing w:after="0" w:line="240" w:lineRule="auto"/>
      </w:pPr>
      <w:r>
        <w:separator/>
      </w:r>
    </w:p>
  </w:footnote>
  <w:footnote w:type="continuationSeparator" w:id="0">
    <w:p w14:paraId="0FD232A1" w14:textId="77777777" w:rsidR="0048128C" w:rsidRDefault="0048128C" w:rsidP="00D23DB6">
      <w:pPr>
        <w:spacing w:after="0" w:line="240" w:lineRule="auto"/>
      </w:pPr>
      <w:r>
        <w:continuationSeparator/>
      </w:r>
    </w:p>
  </w:footnote>
  <w:footnote w:id="1">
    <w:p w14:paraId="09555E59" w14:textId="1532926F" w:rsidR="00D23DB6" w:rsidRPr="00D23DB6" w:rsidRDefault="00D23DB6" w:rsidP="00D23DB6">
      <w:pPr>
        <w:pStyle w:val="Testonotaapidipagina"/>
        <w:rPr>
          <w:rFonts w:ascii="Times New Roman" w:hAnsi="Times New Roman" w:cs="Times New Roman"/>
          <w:sz w:val="24"/>
          <w:szCs w:val="24"/>
          <w:lang w:val="en-US"/>
        </w:rPr>
      </w:pPr>
      <w:r w:rsidRPr="00D23DB6">
        <w:rPr>
          <w:rStyle w:val="Rimandonotaapidipagina"/>
          <w:rFonts w:ascii="Times New Roman" w:hAnsi="Times New Roman" w:cs="Times New Roman"/>
          <w:sz w:val="24"/>
          <w:szCs w:val="24"/>
        </w:rPr>
        <w:footnoteRef/>
      </w:r>
      <w:r w:rsidRPr="00D23DB6">
        <w:rPr>
          <w:rFonts w:ascii="Times New Roman" w:hAnsi="Times New Roman" w:cs="Times New Roman"/>
          <w:sz w:val="24"/>
          <w:szCs w:val="24"/>
          <w:lang w:val="en-US"/>
        </w:rPr>
        <w:t xml:space="preserve"> In the present research, </w:t>
      </w:r>
      <w:r w:rsidRPr="00D23DB6">
        <w:rPr>
          <w:rFonts w:ascii="Times New Roman" w:hAnsi="Times New Roman" w:cs="Times New Roman"/>
          <w:sz w:val="24"/>
          <w:szCs w:val="24"/>
          <w:lang w:val="en"/>
        </w:rPr>
        <w:t>items have been translated into Italian</w:t>
      </w:r>
    </w:p>
    <w:p w14:paraId="02EF7350" w14:textId="77777777" w:rsidR="00112E93" w:rsidRPr="00D23DB6" w:rsidRDefault="00112E93">
      <w:pPr>
        <w:pStyle w:val="Testonotaapidipagina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D9"/>
    <w:rsid w:val="00003ECB"/>
    <w:rsid w:val="00005A48"/>
    <w:rsid w:val="00005D4A"/>
    <w:rsid w:val="0002497D"/>
    <w:rsid w:val="000330D5"/>
    <w:rsid w:val="00053BF5"/>
    <w:rsid w:val="00063A0B"/>
    <w:rsid w:val="00067E25"/>
    <w:rsid w:val="000A4D53"/>
    <w:rsid w:val="000B433F"/>
    <w:rsid w:val="000B5324"/>
    <w:rsid w:val="00112E93"/>
    <w:rsid w:val="001345BA"/>
    <w:rsid w:val="00134A4E"/>
    <w:rsid w:val="00167624"/>
    <w:rsid w:val="00194F3A"/>
    <w:rsid w:val="001A1F45"/>
    <w:rsid w:val="001B6865"/>
    <w:rsid w:val="001C2782"/>
    <w:rsid w:val="001E1167"/>
    <w:rsid w:val="001E5DDA"/>
    <w:rsid w:val="00222568"/>
    <w:rsid w:val="0022342C"/>
    <w:rsid w:val="00261917"/>
    <w:rsid w:val="00294CFC"/>
    <w:rsid w:val="002B5D0A"/>
    <w:rsid w:val="002E69F0"/>
    <w:rsid w:val="00301B09"/>
    <w:rsid w:val="00315863"/>
    <w:rsid w:val="003215F6"/>
    <w:rsid w:val="00327D37"/>
    <w:rsid w:val="00334AA4"/>
    <w:rsid w:val="003352BC"/>
    <w:rsid w:val="0035685E"/>
    <w:rsid w:val="003A4478"/>
    <w:rsid w:val="003B6333"/>
    <w:rsid w:val="003C24AF"/>
    <w:rsid w:val="003E547B"/>
    <w:rsid w:val="004035DA"/>
    <w:rsid w:val="004546F1"/>
    <w:rsid w:val="004621BE"/>
    <w:rsid w:val="00466BE3"/>
    <w:rsid w:val="00476CCA"/>
    <w:rsid w:val="00477DE8"/>
    <w:rsid w:val="0048128C"/>
    <w:rsid w:val="00491FBA"/>
    <w:rsid w:val="004B6E63"/>
    <w:rsid w:val="004E5FB5"/>
    <w:rsid w:val="004F604D"/>
    <w:rsid w:val="00504A82"/>
    <w:rsid w:val="00505998"/>
    <w:rsid w:val="00524412"/>
    <w:rsid w:val="00526067"/>
    <w:rsid w:val="00535793"/>
    <w:rsid w:val="00547133"/>
    <w:rsid w:val="005471E0"/>
    <w:rsid w:val="00547271"/>
    <w:rsid w:val="00571EBE"/>
    <w:rsid w:val="00590EB9"/>
    <w:rsid w:val="005B3412"/>
    <w:rsid w:val="005C1390"/>
    <w:rsid w:val="005C3BD3"/>
    <w:rsid w:val="005D1A6C"/>
    <w:rsid w:val="005D1FE5"/>
    <w:rsid w:val="005E7BBC"/>
    <w:rsid w:val="005F5CD4"/>
    <w:rsid w:val="00631997"/>
    <w:rsid w:val="00647F04"/>
    <w:rsid w:val="00653841"/>
    <w:rsid w:val="00662019"/>
    <w:rsid w:val="00674A12"/>
    <w:rsid w:val="006D4CAC"/>
    <w:rsid w:val="006F2467"/>
    <w:rsid w:val="007164CB"/>
    <w:rsid w:val="007351CA"/>
    <w:rsid w:val="0074162C"/>
    <w:rsid w:val="0076298D"/>
    <w:rsid w:val="00786568"/>
    <w:rsid w:val="007874FF"/>
    <w:rsid w:val="00796AB9"/>
    <w:rsid w:val="007A1865"/>
    <w:rsid w:val="007E6E47"/>
    <w:rsid w:val="00800958"/>
    <w:rsid w:val="0081645C"/>
    <w:rsid w:val="00823C4C"/>
    <w:rsid w:val="008872F8"/>
    <w:rsid w:val="008943FC"/>
    <w:rsid w:val="008A15F7"/>
    <w:rsid w:val="008A5C5B"/>
    <w:rsid w:val="008C3A34"/>
    <w:rsid w:val="008E688B"/>
    <w:rsid w:val="008F2573"/>
    <w:rsid w:val="008F3682"/>
    <w:rsid w:val="00903AE5"/>
    <w:rsid w:val="00906C8E"/>
    <w:rsid w:val="00914224"/>
    <w:rsid w:val="0095190A"/>
    <w:rsid w:val="0095632E"/>
    <w:rsid w:val="009668D3"/>
    <w:rsid w:val="00994800"/>
    <w:rsid w:val="009A6105"/>
    <w:rsid w:val="009B0C37"/>
    <w:rsid w:val="009B308A"/>
    <w:rsid w:val="009C0758"/>
    <w:rsid w:val="009D2CFF"/>
    <w:rsid w:val="00A146C7"/>
    <w:rsid w:val="00A27DC0"/>
    <w:rsid w:val="00A360E2"/>
    <w:rsid w:val="00A73FBA"/>
    <w:rsid w:val="00A9295F"/>
    <w:rsid w:val="00AB6755"/>
    <w:rsid w:val="00AC1343"/>
    <w:rsid w:val="00AC6798"/>
    <w:rsid w:val="00AF6ABB"/>
    <w:rsid w:val="00AF7B00"/>
    <w:rsid w:val="00B15185"/>
    <w:rsid w:val="00B23FE3"/>
    <w:rsid w:val="00B2587B"/>
    <w:rsid w:val="00B51B66"/>
    <w:rsid w:val="00B87C3C"/>
    <w:rsid w:val="00BD1446"/>
    <w:rsid w:val="00C13A63"/>
    <w:rsid w:val="00C41FB4"/>
    <w:rsid w:val="00C63455"/>
    <w:rsid w:val="00C71193"/>
    <w:rsid w:val="00CB73EE"/>
    <w:rsid w:val="00CC0A5E"/>
    <w:rsid w:val="00CD27D5"/>
    <w:rsid w:val="00CD5DDB"/>
    <w:rsid w:val="00D12340"/>
    <w:rsid w:val="00D2254B"/>
    <w:rsid w:val="00D23DB6"/>
    <w:rsid w:val="00D55775"/>
    <w:rsid w:val="00D808DE"/>
    <w:rsid w:val="00D85AE2"/>
    <w:rsid w:val="00DA2C94"/>
    <w:rsid w:val="00DA790C"/>
    <w:rsid w:val="00DB56A0"/>
    <w:rsid w:val="00DD7235"/>
    <w:rsid w:val="00DE5B54"/>
    <w:rsid w:val="00DF0BE2"/>
    <w:rsid w:val="00DF4118"/>
    <w:rsid w:val="00DF45D9"/>
    <w:rsid w:val="00E0769D"/>
    <w:rsid w:val="00E32268"/>
    <w:rsid w:val="00E35BAC"/>
    <w:rsid w:val="00E51064"/>
    <w:rsid w:val="00E51E8A"/>
    <w:rsid w:val="00E72FB7"/>
    <w:rsid w:val="00E735C8"/>
    <w:rsid w:val="00E75C4F"/>
    <w:rsid w:val="00E84DAC"/>
    <w:rsid w:val="00E861F2"/>
    <w:rsid w:val="00EB368A"/>
    <w:rsid w:val="00ED6715"/>
    <w:rsid w:val="00EE201B"/>
    <w:rsid w:val="00F10D4D"/>
    <w:rsid w:val="00F3012F"/>
    <w:rsid w:val="00F5055C"/>
    <w:rsid w:val="00F60E72"/>
    <w:rsid w:val="00F75141"/>
    <w:rsid w:val="00F807E5"/>
    <w:rsid w:val="00F95F93"/>
    <w:rsid w:val="00FD0B6E"/>
    <w:rsid w:val="00FE6524"/>
    <w:rsid w:val="00FF033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32AC4"/>
  <w15:docId w15:val="{7A9DBD40-20BC-43BE-ABFF-9F3A5A00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D23D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3D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3DB6"/>
    <w:rPr>
      <w:vertAlign w:val="superscript"/>
    </w:rPr>
  </w:style>
  <w:style w:type="table" w:styleId="Grigliatabella">
    <w:name w:val="Table Grid"/>
    <w:basedOn w:val="Tabellanormale"/>
    <w:uiPriority w:val="59"/>
    <w:rsid w:val="004B6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796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2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6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E034-BE79-8F46-8999-8989B5F6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Santo</dc:creator>
  <cp:keywords/>
  <dc:description/>
  <cp:lastModifiedBy>Daniela Di Santo</cp:lastModifiedBy>
  <cp:revision>20</cp:revision>
  <dcterms:created xsi:type="dcterms:W3CDTF">2022-02-21T16:44:00Z</dcterms:created>
  <dcterms:modified xsi:type="dcterms:W3CDTF">2022-04-01T09:16:00Z</dcterms:modified>
</cp:coreProperties>
</file>