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8B45" w14:textId="77777777" w:rsidR="007E63E0" w:rsidRPr="00270684" w:rsidRDefault="007E63E0" w:rsidP="007E63E0">
      <w:pPr>
        <w:spacing w:before="0" w:after="0"/>
        <w:rPr>
          <w:color w:val="000000" w:themeColor="text1"/>
        </w:rPr>
      </w:pPr>
      <w:r w:rsidRPr="00270684">
        <w:rPr>
          <w:color w:val="000000" w:themeColor="text1"/>
        </w:rPr>
        <w:t xml:space="preserve">Appendix A. Our process of semantic thematic analysis followed Braun &amp; Clarke’s (2006) steps. We describe how we identified patterns in drawings generated during biology classes. </w:t>
      </w:r>
    </w:p>
    <w:p w14:paraId="665BBF30" w14:textId="77777777" w:rsidR="007E63E0" w:rsidRPr="00270684" w:rsidRDefault="007E63E0" w:rsidP="007E63E0">
      <w:pPr>
        <w:spacing w:before="0" w:after="0"/>
        <w:rPr>
          <w:color w:val="000000" w:themeColor="text1"/>
        </w:rPr>
      </w:pPr>
      <w:r w:rsidRPr="00270684">
        <w:rPr>
          <w:color w:val="000000" w:themeColor="text1"/>
        </w:rPr>
        <w:t> </w:t>
      </w:r>
    </w:p>
    <w:tbl>
      <w:tblPr>
        <w:tblW w:w="9933" w:type="dxa"/>
        <w:tblCellMar>
          <w:left w:w="0" w:type="dxa"/>
          <w:right w:w="0" w:type="dxa"/>
        </w:tblCellMar>
        <w:tblLook w:val="04A0" w:firstRow="1" w:lastRow="0" w:firstColumn="1" w:lastColumn="0" w:noHBand="0" w:noVBand="1"/>
      </w:tblPr>
      <w:tblGrid>
        <w:gridCol w:w="816"/>
        <w:gridCol w:w="2684"/>
        <w:gridCol w:w="6433"/>
      </w:tblGrid>
      <w:tr w:rsidR="00270684" w:rsidRPr="00270684" w14:paraId="0E20E262" w14:textId="77777777" w:rsidTr="00961499">
        <w:trPr>
          <w:trHeight w:val="257"/>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8E92" w14:textId="77777777" w:rsidR="007E63E0" w:rsidRPr="00270684" w:rsidRDefault="007E63E0" w:rsidP="00961499">
            <w:pPr>
              <w:spacing w:before="0" w:after="0"/>
              <w:jc w:val="center"/>
              <w:rPr>
                <w:color w:val="000000" w:themeColor="text1"/>
              </w:rPr>
            </w:pPr>
            <w:r w:rsidRPr="00270684">
              <w:rPr>
                <w:b/>
                <w:bCs/>
                <w:color w:val="000000" w:themeColor="text1"/>
              </w:rPr>
              <w:t>Phase</w:t>
            </w:r>
          </w:p>
        </w:tc>
        <w:tc>
          <w:tcPr>
            <w:tcW w:w="2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453BB" w14:textId="77777777" w:rsidR="007E63E0" w:rsidRPr="00270684" w:rsidRDefault="007E63E0" w:rsidP="00961499">
            <w:pPr>
              <w:spacing w:before="0" w:after="0"/>
              <w:jc w:val="center"/>
              <w:rPr>
                <w:color w:val="000000" w:themeColor="text1"/>
              </w:rPr>
            </w:pPr>
            <w:r w:rsidRPr="00270684">
              <w:rPr>
                <w:b/>
                <w:bCs/>
                <w:color w:val="000000" w:themeColor="text1"/>
              </w:rPr>
              <w:t>Purpose</w:t>
            </w:r>
          </w:p>
        </w:tc>
        <w:tc>
          <w:tcPr>
            <w:tcW w:w="6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CD47E" w14:textId="77777777" w:rsidR="007E63E0" w:rsidRPr="00270684" w:rsidRDefault="007E63E0" w:rsidP="00961499">
            <w:pPr>
              <w:spacing w:before="0" w:after="0"/>
              <w:jc w:val="center"/>
              <w:rPr>
                <w:color w:val="000000" w:themeColor="text1"/>
              </w:rPr>
            </w:pPr>
            <w:r w:rsidRPr="00270684">
              <w:rPr>
                <w:b/>
                <w:bCs/>
                <w:color w:val="000000" w:themeColor="text1"/>
              </w:rPr>
              <w:t>Process</w:t>
            </w:r>
          </w:p>
        </w:tc>
      </w:tr>
      <w:tr w:rsidR="00270684" w:rsidRPr="00270684" w14:paraId="571B944B" w14:textId="77777777" w:rsidTr="00961499">
        <w:trPr>
          <w:trHeight w:val="51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97FC7" w14:textId="77777777" w:rsidR="007E63E0" w:rsidRPr="00270684" w:rsidRDefault="007E63E0" w:rsidP="00961499">
            <w:pPr>
              <w:spacing w:before="0" w:after="0"/>
              <w:jc w:val="center"/>
              <w:rPr>
                <w:color w:val="000000" w:themeColor="text1"/>
              </w:rPr>
            </w:pPr>
            <w:r w:rsidRPr="00270684">
              <w:rPr>
                <w:color w:val="000000" w:themeColor="text1"/>
              </w:rPr>
              <w:t>1</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01C7B549" w14:textId="77777777" w:rsidR="007E63E0" w:rsidRPr="00270684" w:rsidRDefault="007E63E0" w:rsidP="00961499">
            <w:pPr>
              <w:spacing w:before="0" w:after="0"/>
              <w:rPr>
                <w:color w:val="000000" w:themeColor="text1"/>
              </w:rPr>
            </w:pPr>
            <w:r w:rsidRPr="00270684">
              <w:rPr>
                <w:color w:val="000000" w:themeColor="text1"/>
              </w:rPr>
              <w:t>To become familiar with the drawings</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658269A4" w14:textId="77777777" w:rsidR="007E63E0" w:rsidRPr="00270684" w:rsidRDefault="007E63E0" w:rsidP="00961499">
            <w:pPr>
              <w:spacing w:before="0" w:after="0"/>
              <w:rPr>
                <w:color w:val="000000" w:themeColor="text1"/>
              </w:rPr>
            </w:pPr>
            <w:r w:rsidRPr="00270684">
              <w:rPr>
                <w:color w:val="000000" w:themeColor="text1"/>
              </w:rPr>
              <w:t>We gathered all our images of monastic drawings and organized by the course in which they were photographed.</w:t>
            </w:r>
          </w:p>
        </w:tc>
      </w:tr>
      <w:tr w:rsidR="00270684" w:rsidRPr="00270684" w14:paraId="7AD91B86" w14:textId="77777777" w:rsidTr="00961499">
        <w:trPr>
          <w:trHeight w:val="51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4D850" w14:textId="77777777" w:rsidR="007E63E0" w:rsidRPr="00270684" w:rsidRDefault="007E63E0" w:rsidP="00961499">
            <w:pPr>
              <w:spacing w:before="0" w:after="0"/>
              <w:jc w:val="center"/>
              <w:rPr>
                <w:color w:val="000000" w:themeColor="text1"/>
              </w:rPr>
            </w:pPr>
            <w:r w:rsidRPr="00270684">
              <w:rPr>
                <w:color w:val="000000" w:themeColor="text1"/>
              </w:rPr>
              <w:t>2</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32BB5173" w14:textId="77777777" w:rsidR="007E63E0" w:rsidRPr="00270684" w:rsidRDefault="007E63E0" w:rsidP="00961499">
            <w:pPr>
              <w:spacing w:before="0" w:after="0"/>
              <w:rPr>
                <w:color w:val="000000" w:themeColor="text1"/>
              </w:rPr>
            </w:pPr>
            <w:r w:rsidRPr="00270684">
              <w:rPr>
                <w:color w:val="000000" w:themeColor="text1"/>
              </w:rPr>
              <w:t>Organizing data and finding meaningful groups</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57308131" w14:textId="77777777" w:rsidR="007E63E0" w:rsidRPr="00270684" w:rsidRDefault="007E63E0" w:rsidP="00961499">
            <w:pPr>
              <w:spacing w:before="0" w:after="0"/>
              <w:rPr>
                <w:color w:val="000000" w:themeColor="text1"/>
              </w:rPr>
            </w:pPr>
            <w:r w:rsidRPr="00270684">
              <w:rPr>
                <w:color w:val="000000" w:themeColor="text1"/>
              </w:rPr>
              <w:t>Initial analysis of drawings revealed that they were diverse in a multitude of ways: detailed or simple; colorful or black/white; realistic or abstract; conceptual or observational; supported with text or not; collaboratively or individually created; or created in response to a prompt or self-initiated.</w:t>
            </w:r>
          </w:p>
        </w:tc>
      </w:tr>
      <w:tr w:rsidR="00270684" w:rsidRPr="00270684" w14:paraId="178DA5B6" w14:textId="77777777" w:rsidTr="00961499">
        <w:trPr>
          <w:trHeight w:val="24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1E501" w14:textId="77777777" w:rsidR="007E63E0" w:rsidRPr="00270684" w:rsidRDefault="007E63E0" w:rsidP="00961499">
            <w:pPr>
              <w:spacing w:before="0" w:after="0"/>
              <w:jc w:val="center"/>
              <w:rPr>
                <w:color w:val="000000" w:themeColor="text1"/>
              </w:rPr>
            </w:pPr>
            <w:r w:rsidRPr="00270684">
              <w:rPr>
                <w:color w:val="000000" w:themeColor="text1"/>
              </w:rPr>
              <w:t>3</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41BB44FC" w14:textId="77777777" w:rsidR="007E63E0" w:rsidRPr="00270684" w:rsidRDefault="007E63E0" w:rsidP="00961499">
            <w:pPr>
              <w:spacing w:before="0" w:after="0"/>
              <w:rPr>
                <w:color w:val="000000" w:themeColor="text1"/>
              </w:rPr>
            </w:pPr>
            <w:r w:rsidRPr="00270684">
              <w:rPr>
                <w:color w:val="000000" w:themeColor="text1"/>
              </w:rPr>
              <w:t>Searching for themes: sorting, organizing, and collapsing themes.</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4852477F" w14:textId="77777777" w:rsidR="007E63E0" w:rsidRPr="00270684" w:rsidRDefault="007E63E0" w:rsidP="00961499">
            <w:pPr>
              <w:spacing w:before="0" w:after="0"/>
              <w:rPr>
                <w:color w:val="000000" w:themeColor="text1"/>
              </w:rPr>
            </w:pPr>
            <w:r w:rsidRPr="00270684">
              <w:rPr>
                <w:color w:val="000000" w:themeColor="text1"/>
              </w:rPr>
              <w:t xml:space="preserve">We grouped drawings broadly within four initial themes: observational, realistic, conceptual, and abstract. We recognized the importance of further examining cultural drawings because interpretation depended on the artists’ explanation. </w:t>
            </w:r>
          </w:p>
        </w:tc>
      </w:tr>
      <w:tr w:rsidR="00270684" w:rsidRPr="00270684" w14:paraId="64E58201" w14:textId="77777777" w:rsidTr="00961499">
        <w:trPr>
          <w:trHeight w:val="257"/>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AF10A" w14:textId="77777777" w:rsidR="007E63E0" w:rsidRPr="00270684" w:rsidRDefault="007E63E0" w:rsidP="00961499">
            <w:pPr>
              <w:spacing w:before="0" w:after="0"/>
              <w:jc w:val="center"/>
              <w:rPr>
                <w:color w:val="000000" w:themeColor="text1"/>
              </w:rPr>
            </w:pPr>
            <w:r w:rsidRPr="00270684">
              <w:rPr>
                <w:color w:val="000000" w:themeColor="text1"/>
              </w:rPr>
              <w:t>4</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149DCFC6" w14:textId="77777777" w:rsidR="007E63E0" w:rsidRPr="00270684" w:rsidRDefault="007E63E0" w:rsidP="00961499">
            <w:pPr>
              <w:spacing w:before="0" w:after="0"/>
              <w:rPr>
                <w:color w:val="000000" w:themeColor="text1"/>
              </w:rPr>
            </w:pPr>
            <w:r w:rsidRPr="00270684">
              <w:rPr>
                <w:color w:val="000000" w:themeColor="text1"/>
              </w:rPr>
              <w:t>Reviewing themes: finding patterns and potentially creating a thematic map to establish whether themes describe the data in its entirety</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053888D2" w14:textId="77777777" w:rsidR="007E63E0" w:rsidRPr="00270684" w:rsidRDefault="007E63E0" w:rsidP="00961499">
            <w:pPr>
              <w:spacing w:before="0" w:after="0"/>
              <w:rPr>
                <w:color w:val="000000" w:themeColor="text1"/>
              </w:rPr>
            </w:pPr>
            <w:r w:rsidRPr="00270684">
              <w:rPr>
                <w:color w:val="000000" w:themeColor="text1"/>
              </w:rPr>
              <w:t>Focusing on the theme of conceptual drawings, we found that some of the drawings revealed misaligned understandings with academic biology. We initially recorded these as “misconceptions,” but we acknowledged that these drawings were visualization of alternative explanations of phenomena.</w:t>
            </w:r>
          </w:p>
        </w:tc>
      </w:tr>
      <w:tr w:rsidR="00270684" w:rsidRPr="00270684" w14:paraId="75CE6B42" w14:textId="77777777" w:rsidTr="00961499">
        <w:trPr>
          <w:trHeight w:val="257"/>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5686" w14:textId="77777777" w:rsidR="007E63E0" w:rsidRPr="00270684" w:rsidRDefault="007E63E0" w:rsidP="00961499">
            <w:pPr>
              <w:spacing w:before="0" w:after="0"/>
              <w:jc w:val="center"/>
              <w:rPr>
                <w:color w:val="000000" w:themeColor="text1"/>
              </w:rPr>
            </w:pPr>
            <w:r w:rsidRPr="00270684">
              <w:rPr>
                <w:color w:val="000000" w:themeColor="text1"/>
              </w:rPr>
              <w:t>5</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08393DAE" w14:textId="77777777" w:rsidR="007E63E0" w:rsidRPr="00270684" w:rsidRDefault="007E63E0" w:rsidP="00961499">
            <w:pPr>
              <w:spacing w:before="0" w:after="0"/>
              <w:rPr>
                <w:color w:val="000000" w:themeColor="text1"/>
              </w:rPr>
            </w:pPr>
            <w:r w:rsidRPr="00270684">
              <w:rPr>
                <w:color w:val="000000" w:themeColor="text1"/>
              </w:rPr>
              <w:t>Defining, refining, and naming themes</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16FFFE60" w14:textId="77777777" w:rsidR="007E63E0" w:rsidRPr="00270684" w:rsidRDefault="007E63E0" w:rsidP="00961499">
            <w:pPr>
              <w:spacing w:before="0" w:after="0"/>
              <w:rPr>
                <w:color w:val="000000" w:themeColor="text1"/>
              </w:rPr>
            </w:pPr>
            <w:r w:rsidRPr="00270684">
              <w:rPr>
                <w:color w:val="000000" w:themeColor="text1"/>
              </w:rPr>
              <w:t xml:space="preserve">Focusing on the theme of conceptual drawings, we found that three of our themes were described in </w:t>
            </w:r>
            <w:proofErr w:type="spellStart"/>
            <w:r w:rsidRPr="00270684">
              <w:rPr>
                <w:color w:val="000000" w:themeColor="text1"/>
              </w:rPr>
              <w:t>Quillin</w:t>
            </w:r>
            <w:proofErr w:type="spellEnd"/>
            <w:r w:rsidRPr="00270684">
              <w:rPr>
                <w:color w:val="000000" w:themeColor="text1"/>
              </w:rPr>
              <w:t xml:space="preserve"> &amp; Thomas’ (2015) typology: enhancing metacognition; revealing misconceptions; and visualizing quantitative data. Yet, one of our themes was novel: fostering cross-cultural discourse.</w:t>
            </w:r>
          </w:p>
        </w:tc>
      </w:tr>
      <w:tr w:rsidR="00270684" w:rsidRPr="00270684" w14:paraId="632FDEE8" w14:textId="77777777" w:rsidTr="00961499">
        <w:trPr>
          <w:trHeight w:val="24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C0A3" w14:textId="77777777" w:rsidR="007E63E0" w:rsidRPr="00270684" w:rsidRDefault="007E63E0" w:rsidP="00961499">
            <w:pPr>
              <w:spacing w:before="0" w:after="0"/>
              <w:jc w:val="center"/>
              <w:rPr>
                <w:color w:val="000000" w:themeColor="text1"/>
              </w:rPr>
            </w:pPr>
            <w:r w:rsidRPr="00270684">
              <w:rPr>
                <w:color w:val="000000" w:themeColor="text1"/>
              </w:rPr>
              <w:t>6</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10EBD1DC" w14:textId="77777777" w:rsidR="007E63E0" w:rsidRPr="00270684" w:rsidRDefault="007E63E0" w:rsidP="00961499">
            <w:pPr>
              <w:spacing w:before="0" w:after="0"/>
              <w:rPr>
                <w:color w:val="000000" w:themeColor="text1"/>
              </w:rPr>
            </w:pPr>
            <w:r w:rsidRPr="00270684">
              <w:rPr>
                <w:color w:val="000000" w:themeColor="text1"/>
              </w:rPr>
              <w:t>Using themes to explain the story of your study – selecting examples to support your claims</w:t>
            </w:r>
          </w:p>
        </w:tc>
        <w:tc>
          <w:tcPr>
            <w:tcW w:w="6433" w:type="dxa"/>
            <w:tcBorders>
              <w:top w:val="nil"/>
              <w:left w:val="nil"/>
              <w:bottom w:val="single" w:sz="8" w:space="0" w:color="auto"/>
              <w:right w:val="single" w:sz="8" w:space="0" w:color="auto"/>
            </w:tcBorders>
            <w:tcMar>
              <w:top w:w="0" w:type="dxa"/>
              <w:left w:w="108" w:type="dxa"/>
              <w:bottom w:w="0" w:type="dxa"/>
              <w:right w:w="108" w:type="dxa"/>
            </w:tcMar>
            <w:hideMark/>
          </w:tcPr>
          <w:p w14:paraId="41DE9194" w14:textId="77777777" w:rsidR="007E63E0" w:rsidRPr="00270684" w:rsidRDefault="007E63E0" w:rsidP="00961499">
            <w:pPr>
              <w:spacing w:before="0" w:after="0"/>
              <w:rPr>
                <w:color w:val="000000" w:themeColor="text1"/>
              </w:rPr>
            </w:pPr>
            <w:r w:rsidRPr="00270684">
              <w:rPr>
                <w:color w:val="000000" w:themeColor="text1"/>
              </w:rPr>
              <w:t>Hence, we concluded that, like writing-to-learn, conceptual drawings promote active learning in biology classes. Beyond this, however, conceptual drawings invite both students and teachers to engage in revelatory discourse. We selected examples to illustrate and explain each of our themes, presented as Active Learning and Cultural Relevancy.</w:t>
            </w:r>
          </w:p>
          <w:p w14:paraId="1283BE80" w14:textId="77777777" w:rsidR="007E63E0" w:rsidRPr="00270684" w:rsidRDefault="007E63E0" w:rsidP="00961499">
            <w:pPr>
              <w:spacing w:before="0" w:after="0"/>
              <w:rPr>
                <w:color w:val="000000" w:themeColor="text1"/>
              </w:rPr>
            </w:pPr>
          </w:p>
        </w:tc>
      </w:tr>
    </w:tbl>
    <w:p w14:paraId="3E876324" w14:textId="77777777" w:rsidR="007E63E0" w:rsidRPr="00270684" w:rsidRDefault="007E63E0" w:rsidP="007E63E0">
      <w:pPr>
        <w:spacing w:before="0" w:after="0"/>
        <w:rPr>
          <w:color w:val="000000" w:themeColor="text1"/>
        </w:rPr>
      </w:pPr>
      <w:r w:rsidRPr="00270684">
        <w:rPr>
          <w:color w:val="000000" w:themeColor="text1"/>
        </w:rPr>
        <w:t> </w:t>
      </w:r>
    </w:p>
    <w:p w14:paraId="41F58ED8" w14:textId="77777777" w:rsidR="00E22B0E" w:rsidRPr="00270684" w:rsidRDefault="001C6C97">
      <w:pPr>
        <w:rPr>
          <w:color w:val="000000" w:themeColor="text1"/>
        </w:rPr>
      </w:pPr>
    </w:p>
    <w:sectPr w:rsidR="00E22B0E" w:rsidRPr="00270684" w:rsidSect="00270684">
      <w:headerReference w:type="even" r:id="rId6"/>
      <w:headerReference w:type="default" r:id="rId7"/>
      <w:footerReference w:type="even" r:id="rId8"/>
      <w:footerReference w:type="default" r:id="rId9"/>
      <w:headerReference w:type="first" r:id="rId10"/>
      <w:pgSz w:w="12240" w:h="15840"/>
      <w:pgMar w:top="1138" w:right="1181" w:bottom="1138" w:left="1282" w:header="283"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38BF" w14:textId="77777777" w:rsidR="001C6C97" w:rsidRDefault="001C6C97">
      <w:pPr>
        <w:spacing w:before="0" w:after="0"/>
      </w:pPr>
      <w:r>
        <w:separator/>
      </w:r>
    </w:p>
  </w:endnote>
  <w:endnote w:type="continuationSeparator" w:id="0">
    <w:p w14:paraId="3AFF4335" w14:textId="77777777" w:rsidR="001C6C97" w:rsidRDefault="001C6C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300451"/>
      <w:docPartObj>
        <w:docPartGallery w:val="Page Numbers (Bottom of Page)"/>
        <w:docPartUnique/>
      </w:docPartObj>
    </w:sdtPr>
    <w:sdtEndPr>
      <w:rPr>
        <w:rStyle w:val="PageNumber"/>
      </w:rPr>
    </w:sdtEndPr>
    <w:sdtContent>
      <w:p w14:paraId="2988D27C" w14:textId="77777777" w:rsidR="00AE6ACE" w:rsidRDefault="007E63E0" w:rsidP="000D1CD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FFA722" w14:textId="77777777" w:rsidR="00FD5765" w:rsidRDefault="007E63E0" w:rsidP="00AE6ACE">
    <w:pPr>
      <w:pBdr>
        <w:top w:val="nil"/>
        <w:left w:val="nil"/>
        <w:bottom w:val="nil"/>
        <w:right w:val="nil"/>
        <w:between w:val="nil"/>
      </w:pBdr>
      <w:tabs>
        <w:tab w:val="center" w:pos="4844"/>
        <w:tab w:val="right" w:pos="9689"/>
      </w:tabs>
      <w:spacing w:after="0"/>
      <w:ind w:right="360" w:firstLine="360"/>
      <w:rPr>
        <w:color w:val="C00000"/>
      </w:rPr>
    </w:pPr>
    <w:r>
      <w:rPr>
        <w:noProof/>
      </w:rPr>
      <mc:AlternateContent>
        <mc:Choice Requires="wps">
          <w:drawing>
            <wp:anchor distT="0" distB="0" distL="114300" distR="114300" simplePos="0" relativeHeight="251659264" behindDoc="0" locked="0" layoutInCell="1" hidden="0" allowOverlap="1" wp14:anchorId="1E1605B6" wp14:editId="4DE5D1C9">
              <wp:simplePos x="0" y="0"/>
              <wp:positionH relativeFrom="column">
                <wp:posOffset>-101599</wp:posOffset>
              </wp:positionH>
              <wp:positionV relativeFrom="paragraph">
                <wp:posOffset>-50799</wp:posOffset>
              </wp:positionV>
              <wp:extent cx="3681756" cy="1413510"/>
              <wp:effectExtent l="0" t="0" r="0" b="0"/>
              <wp:wrapNone/>
              <wp:docPr id="308" name="Rectangle 308"/>
              <wp:cNvGraphicFramePr/>
              <a:graphic xmlns:a="http://schemas.openxmlformats.org/drawingml/2006/main">
                <a:graphicData uri="http://schemas.microsoft.com/office/word/2010/wordprocessingShape">
                  <wps:wsp>
                    <wps:cNvSpPr/>
                    <wps:spPr>
                      <a:xfrm>
                        <a:off x="3509885" y="3078008"/>
                        <a:ext cx="3672231" cy="1403985"/>
                      </a:xfrm>
                      <a:prstGeom prst="rect">
                        <a:avLst/>
                      </a:prstGeom>
                      <a:solidFill>
                        <a:srgbClr val="FFFFFF"/>
                      </a:solidFill>
                      <a:ln>
                        <a:noFill/>
                      </a:ln>
                    </wps:spPr>
                    <wps:txbx>
                      <w:txbxContent>
                        <w:p w14:paraId="6AF33564" w14:textId="77777777" w:rsidR="00FD5765" w:rsidRDefault="007E63E0">
                          <w:pPr>
                            <w:textDirection w:val="btLr"/>
                          </w:pPr>
                          <w:r>
                            <w:rPr>
                              <w:color w:val="C00000"/>
                            </w:rPr>
                            <w:t>This is a provisional file, not the final typeset article</w:t>
                          </w:r>
                        </w:p>
                      </w:txbxContent>
                    </wps:txbx>
                    <wps:bodyPr spcFirstLastPara="1" wrap="square" lIns="91425" tIns="45700" rIns="91425" bIns="45700" anchor="t" anchorCtr="0">
                      <a:noAutofit/>
                    </wps:bodyPr>
                  </wps:wsp>
                </a:graphicData>
              </a:graphic>
            </wp:anchor>
          </w:drawing>
        </mc:Choice>
        <mc:Fallback>
          <w:pict>
            <v:rect w14:anchorId="1E1605B6" id="Rectangle 308" o:spid="_x0000_s1026" style="position:absolute;left:0;text-align:left;margin-left:-8pt;margin-top:-4pt;width:289.9pt;height:11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" stroked="f">
              <v:textbox inset="2.53958mm,1.2694mm,2.53958mm,1.2694mm">
                <w:txbxContent>
                  <w:p w14:paraId="6AF33564" w14:textId="77777777" w:rsidR="00FD5765" w:rsidRDefault="007E63E0">
                    <w:pPr>
                      <w:textDirection w:val="btLr"/>
                    </w:pPr>
                    <w:r>
                      <w:rPr>
                        <w:color w:val="C00000"/>
                      </w:rPr>
                      <w:t>This is a provisional file, not the final typeset article</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561367"/>
      <w:docPartObj>
        <w:docPartGallery w:val="Page Numbers (Bottom of Page)"/>
        <w:docPartUnique/>
      </w:docPartObj>
    </w:sdtPr>
    <w:sdtEndPr>
      <w:rPr>
        <w:rStyle w:val="PageNumber"/>
      </w:rPr>
    </w:sdtEndPr>
    <w:sdtContent>
      <w:p w14:paraId="33494605" w14:textId="77777777" w:rsidR="00AE6ACE" w:rsidRDefault="007E63E0" w:rsidP="000D1CD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D0FFB72" w14:textId="77777777" w:rsidR="00FD5765" w:rsidRDefault="001C6C97" w:rsidP="00AE6ACE">
    <w:pPr>
      <w:spacing w:before="0" w:after="0" w:line="360" w:lineRule="auto"/>
      <w:ind w:right="360" w:firstLine="720"/>
      <w:rPr>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2097" w14:textId="77777777" w:rsidR="001C6C97" w:rsidRDefault="001C6C97">
      <w:pPr>
        <w:spacing w:before="0" w:after="0"/>
      </w:pPr>
      <w:r>
        <w:separator/>
      </w:r>
    </w:p>
  </w:footnote>
  <w:footnote w:type="continuationSeparator" w:id="0">
    <w:p w14:paraId="00BDFFDC" w14:textId="77777777" w:rsidR="001C6C97" w:rsidRDefault="001C6C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C3A" w14:textId="77777777" w:rsidR="00FD5765" w:rsidRDefault="007E63E0">
    <w:pPr>
      <w:pBdr>
        <w:top w:val="nil"/>
        <w:left w:val="nil"/>
        <w:bottom w:val="nil"/>
        <w:right w:val="nil"/>
        <w:between w:val="nil"/>
      </w:pBdr>
      <w:tabs>
        <w:tab w:val="center" w:pos="4844"/>
        <w:tab w:val="right" w:pos="9689"/>
      </w:tabs>
      <w:rPr>
        <w:b/>
        <w:color w:val="000000"/>
      </w:rPr>
    </w:pPr>
    <w:r>
      <w:rPr>
        <w:b/>
      </w:rPr>
      <w:t>Drawing-to-Learn in Biology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66DC" w14:textId="77777777" w:rsidR="00FD5765" w:rsidRDefault="007E63E0">
    <w:pPr>
      <w:pBdr>
        <w:top w:val="nil"/>
        <w:left w:val="nil"/>
        <w:bottom w:val="nil"/>
        <w:right w:val="nil"/>
        <w:between w:val="nil"/>
      </w:pBdr>
      <w:tabs>
        <w:tab w:val="center" w:pos="4844"/>
        <w:tab w:val="right" w:pos="9689"/>
      </w:tabs>
      <w:rPr>
        <w:b/>
        <w:color w:val="000000"/>
      </w:rPr>
    </w:pPr>
    <w:r>
      <w:rPr>
        <w:b/>
        <w:color w:val="000000"/>
      </w:rPr>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B9A" w14:textId="77777777" w:rsidR="00FD5765" w:rsidRDefault="007E63E0">
    <w:pPr>
      <w:pBdr>
        <w:top w:val="nil"/>
        <w:left w:val="nil"/>
        <w:bottom w:val="nil"/>
        <w:right w:val="nil"/>
        <w:between w:val="nil"/>
      </w:pBdr>
      <w:tabs>
        <w:tab w:val="center" w:pos="4844"/>
        <w:tab w:val="right" w:pos="9689"/>
      </w:tabs>
      <w:rPr>
        <w:b/>
        <w:color w:val="000000"/>
      </w:rPr>
    </w:pPr>
    <w:r>
      <w:rPr>
        <w:b/>
        <w:noProof/>
        <w:color w:val="A6A6A6"/>
      </w:rPr>
      <w:drawing>
        <wp:inline distT="0" distB="0" distL="0" distR="0" wp14:anchorId="04ADEE7B" wp14:editId="1FA28BB9">
          <wp:extent cx="1534909" cy="551877"/>
          <wp:effectExtent l="0" t="0" r="0" b="0"/>
          <wp:docPr id="1"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rPr>
        <w:b/>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E0"/>
    <w:rsid w:val="001C6C97"/>
    <w:rsid w:val="00270684"/>
    <w:rsid w:val="003B39B9"/>
    <w:rsid w:val="003C37E1"/>
    <w:rsid w:val="00460AA5"/>
    <w:rsid w:val="0048000C"/>
    <w:rsid w:val="005A29EC"/>
    <w:rsid w:val="00680E13"/>
    <w:rsid w:val="006C032E"/>
    <w:rsid w:val="007E63E0"/>
    <w:rsid w:val="00897917"/>
    <w:rsid w:val="008D5654"/>
    <w:rsid w:val="008F30A9"/>
    <w:rsid w:val="008F43B4"/>
    <w:rsid w:val="009B51FE"/>
    <w:rsid w:val="009E3598"/>
    <w:rsid w:val="00A6034A"/>
    <w:rsid w:val="00AE5D10"/>
    <w:rsid w:val="00BB0FAD"/>
    <w:rsid w:val="00BC0965"/>
    <w:rsid w:val="00BF3452"/>
    <w:rsid w:val="00DF7B36"/>
    <w:rsid w:val="00E14E29"/>
    <w:rsid w:val="00E65965"/>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CAE05"/>
  <w15:chartTrackingRefBased/>
  <w15:docId w15:val="{D4804703-6DF7-1441-B279-6A839659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63E0"/>
    <w:pPr>
      <w:spacing w:before="120" w:after="24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63E0"/>
    <w:pPr>
      <w:tabs>
        <w:tab w:val="center" w:pos="4844"/>
        <w:tab w:val="right" w:pos="9689"/>
      </w:tabs>
      <w:spacing w:after="0"/>
    </w:pPr>
  </w:style>
  <w:style w:type="character" w:customStyle="1" w:styleId="FooterChar">
    <w:name w:val="Footer Char"/>
    <w:basedOn w:val="DefaultParagraphFont"/>
    <w:link w:val="Footer"/>
    <w:uiPriority w:val="99"/>
    <w:rsid w:val="007E63E0"/>
    <w:rPr>
      <w:rFonts w:ascii="Times New Roman" w:eastAsia="Times New Roman" w:hAnsi="Times New Roman" w:cs="Times New Roman"/>
    </w:rPr>
  </w:style>
  <w:style w:type="character" w:styleId="PageNumber">
    <w:name w:val="page number"/>
    <w:basedOn w:val="DefaultParagraphFont"/>
    <w:uiPriority w:val="99"/>
    <w:semiHidden/>
    <w:unhideWhenUsed/>
    <w:rsid w:val="007E63E0"/>
  </w:style>
  <w:style w:type="character" w:styleId="LineNumber">
    <w:name w:val="line number"/>
    <w:basedOn w:val="DefaultParagraphFont"/>
    <w:uiPriority w:val="99"/>
    <w:semiHidden/>
    <w:unhideWhenUsed/>
    <w:rsid w:val="007E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Balgopal,Meena</dc:creator>
  <cp:keywords/>
  <dc:description/>
  <cp:lastModifiedBy>Balgopal,Meena</cp:lastModifiedBy>
  <cp:revision>2</cp:revision>
  <dcterms:created xsi:type="dcterms:W3CDTF">2021-09-16T19:54:00Z</dcterms:created>
  <dcterms:modified xsi:type="dcterms:W3CDTF">2021-09-16T19:54:00Z</dcterms:modified>
</cp:coreProperties>
</file>