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88F0C" w14:textId="4EEB7B9C" w:rsidR="007E37F8" w:rsidRPr="00E843B2" w:rsidRDefault="007B2CA6" w:rsidP="00E843B2">
      <w:pPr>
        <w:rPr>
          <w:sz w:val="24"/>
          <w:szCs w:val="24"/>
        </w:rPr>
      </w:pPr>
      <w:r w:rsidRPr="00E843B2">
        <w:rPr>
          <w:noProof/>
          <w:sz w:val="24"/>
          <w:szCs w:val="24"/>
        </w:rPr>
        <w:drawing>
          <wp:inline distT="0" distB="0" distL="0" distR="0" wp14:anchorId="2E109019" wp14:editId="5473E300">
            <wp:extent cx="3171190" cy="39852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5EB27" w14:textId="76CD5059" w:rsidR="007B2CA6" w:rsidRPr="007B2CA6" w:rsidRDefault="007B2CA6" w:rsidP="00E843B2">
      <w:pPr>
        <w:rPr>
          <w:rFonts w:ascii="Times New Roman" w:hAnsi="Times New Roman" w:cs="Times New Roman"/>
          <w:bCs/>
          <w:sz w:val="24"/>
          <w:szCs w:val="24"/>
        </w:rPr>
      </w:pPr>
      <w:r w:rsidRPr="00E843B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E843B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843B2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E843B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E843B2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E843B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843B2">
        <w:rPr>
          <w:rFonts w:ascii="Times New Roman" w:hAnsi="Times New Roman" w:cs="Times New Roman"/>
          <w:b/>
          <w:sz w:val="24"/>
          <w:szCs w:val="24"/>
        </w:rPr>
        <w:t>.</w:t>
      </w:r>
      <w:r w:rsidRPr="00E8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(A) Representative disease symptoms of EV- or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VmEP1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-overexpressed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N. benthamiana 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infected with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P. capsica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. The leaves (n&gt;10) were inoculated with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P. capsica </w:t>
      </w:r>
      <w:r w:rsidRPr="00E843B2">
        <w:rPr>
          <w:rFonts w:ascii="Times New Roman" w:hAnsi="Times New Roman" w:cs="Times New Roman"/>
          <w:bCs/>
          <w:sz w:val="24"/>
          <w:szCs w:val="24"/>
        </w:rPr>
        <w:t>fresh mycelial plugs and photographed 36 h post-inoculation (hpi). The experiment was repeated three times with similar results.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B2CA6">
        <w:rPr>
          <w:rFonts w:ascii="Times New Roman" w:hAnsi="Times New Roman" w:cs="Times New Roman"/>
          <w:bCs/>
          <w:sz w:val="24"/>
          <w:szCs w:val="24"/>
        </w:rPr>
        <w:t>(B) The lesion diameter was evaluated 36 h after inoculation of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P. capsica</w:t>
      </w:r>
      <w:r w:rsidRPr="007B2CA6">
        <w:rPr>
          <w:rFonts w:ascii="Times New Roman" w:hAnsi="Times New Roman" w:cs="Times New Roman"/>
          <w:bCs/>
          <w:sz w:val="24"/>
          <w:szCs w:val="24"/>
        </w:rPr>
        <w:t xml:space="preserve">. (C) Representative disease symptoms of EV- or VmEP1-overexpressed 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N. benthamiana </w:t>
      </w:r>
      <w:r w:rsidRPr="007B2CA6">
        <w:rPr>
          <w:rFonts w:ascii="Times New Roman" w:hAnsi="Times New Roman" w:cs="Times New Roman"/>
          <w:bCs/>
          <w:sz w:val="24"/>
          <w:szCs w:val="24"/>
        </w:rPr>
        <w:t xml:space="preserve">infected with 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>S. sclerotiorum</w:t>
      </w:r>
      <w:r w:rsidRPr="007B2CA6">
        <w:rPr>
          <w:rFonts w:ascii="Times New Roman" w:hAnsi="Times New Roman" w:cs="Times New Roman"/>
          <w:bCs/>
          <w:sz w:val="24"/>
          <w:szCs w:val="24"/>
        </w:rPr>
        <w:t xml:space="preserve">. The leaves (n&gt;10) were inoculated with 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P. capsica </w:t>
      </w:r>
      <w:r w:rsidRPr="007B2CA6">
        <w:rPr>
          <w:rFonts w:ascii="Times New Roman" w:hAnsi="Times New Roman" w:cs="Times New Roman"/>
          <w:bCs/>
          <w:sz w:val="24"/>
          <w:szCs w:val="24"/>
        </w:rPr>
        <w:t>fresh mycelial plugs and photographed 36 h post-inoculation (hpi). The experiment was repeated three times with similar results.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B2CA6">
        <w:rPr>
          <w:rFonts w:ascii="Times New Roman" w:hAnsi="Times New Roman" w:cs="Times New Roman"/>
          <w:bCs/>
          <w:sz w:val="24"/>
          <w:szCs w:val="24"/>
        </w:rPr>
        <w:t>(D) The lesion diameter was evaluated 36 h after inoculation of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S. sclerotiorum</w:t>
      </w:r>
      <w:r w:rsidRPr="007B2CA6">
        <w:rPr>
          <w:rFonts w:ascii="Times New Roman" w:hAnsi="Times New Roman" w:cs="Times New Roman"/>
          <w:bCs/>
          <w:sz w:val="24"/>
          <w:szCs w:val="24"/>
        </w:rPr>
        <w:t>. (E) Semiquantitative RT-PCR analysis to assess the expression of VmEP1.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B2CA6">
        <w:rPr>
          <w:rFonts w:ascii="Times New Roman" w:hAnsi="Times New Roman" w:cs="Times New Roman"/>
          <w:bCs/>
          <w:sz w:val="24"/>
          <w:szCs w:val="24"/>
        </w:rPr>
        <w:t>(A) to (E): EV, pCAMBIA1302 empty vector; OE-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>VmEP1</w:t>
      </w:r>
      <w:r w:rsidRPr="007B2CA6">
        <w:rPr>
          <w:rFonts w:ascii="Times New Roman" w:hAnsi="Times New Roman" w:cs="Times New Roman"/>
          <w:bCs/>
          <w:sz w:val="24"/>
          <w:szCs w:val="24"/>
        </w:rPr>
        <w:t xml:space="preserve">, transient expression of VmEP1 in 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7B2CA6">
        <w:rPr>
          <w:rFonts w:ascii="Times New Roman" w:hAnsi="Times New Roman" w:cs="Times New Roman"/>
          <w:bCs/>
          <w:sz w:val="24"/>
          <w:szCs w:val="24"/>
        </w:rPr>
        <w:t>. In (B) and (D):Error bars represent standard deviations calculated from three biological replicates. The statistical analyses were performed with Student’s t test: **P&lt;0.01.</w:t>
      </w:r>
    </w:p>
    <w:p w14:paraId="3AF1E6E4" w14:textId="00983C55" w:rsidR="007B2CA6" w:rsidRPr="00E843B2" w:rsidRDefault="007B2CA6" w:rsidP="00E843B2">
      <w:pPr>
        <w:widowControl/>
        <w:jc w:val="left"/>
        <w:rPr>
          <w:bCs/>
          <w:sz w:val="24"/>
          <w:szCs w:val="24"/>
        </w:rPr>
      </w:pPr>
      <w:r w:rsidRPr="00E843B2">
        <w:rPr>
          <w:bCs/>
          <w:sz w:val="24"/>
          <w:szCs w:val="24"/>
        </w:rPr>
        <w:br w:type="page"/>
      </w:r>
    </w:p>
    <w:p w14:paraId="6B4F3F20" w14:textId="4C13AEE6" w:rsidR="007B2CA6" w:rsidRPr="00E843B2" w:rsidRDefault="007B2CA6" w:rsidP="00E843B2">
      <w:pPr>
        <w:rPr>
          <w:bCs/>
          <w:sz w:val="24"/>
          <w:szCs w:val="24"/>
        </w:rPr>
      </w:pPr>
      <w:r w:rsidRPr="00E843B2">
        <w:rPr>
          <w:rFonts w:hint="eastAsia"/>
          <w:bCs/>
          <w:noProof/>
          <w:sz w:val="24"/>
          <w:szCs w:val="24"/>
        </w:rPr>
        <w:lastRenderedPageBreak/>
        <w:drawing>
          <wp:inline distT="0" distB="0" distL="0" distR="0" wp14:anchorId="180E6FB3" wp14:editId="676CBD41">
            <wp:extent cx="5269865" cy="432371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DFDB" w14:textId="1F861CB1" w:rsidR="007B2CA6" w:rsidRPr="007B2CA6" w:rsidRDefault="007B2CA6" w:rsidP="00E843B2">
      <w:pPr>
        <w:rPr>
          <w:rFonts w:ascii="Times New Roman" w:hAnsi="Times New Roman" w:cs="Times New Roman"/>
          <w:bCs/>
          <w:sz w:val="24"/>
          <w:szCs w:val="24"/>
        </w:rPr>
      </w:pPr>
      <w:r w:rsidRPr="00E843B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E843B2">
        <w:rPr>
          <w:rFonts w:ascii="Times New Roman" w:hAnsi="Times New Roman" w:cs="Times New Roman"/>
          <w:b/>
          <w:sz w:val="24"/>
          <w:szCs w:val="24"/>
        </w:rPr>
        <w:t>2</w:t>
      </w:r>
      <w:r w:rsidRPr="00E843B2">
        <w:rPr>
          <w:rFonts w:ascii="Times New Roman" w:hAnsi="Times New Roman" w:cs="Times New Roman"/>
          <w:b/>
          <w:sz w:val="24"/>
          <w:szCs w:val="24"/>
        </w:rPr>
        <w:t>.</w:t>
      </w:r>
      <w:r w:rsidRPr="00E8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3B2">
        <w:rPr>
          <w:rFonts w:ascii="Times New Roman" w:hAnsi="Times New Roman" w:cs="Times New Roman"/>
          <w:bCs/>
          <w:sz w:val="24"/>
          <w:szCs w:val="24"/>
        </w:rPr>
        <w:t>(A) Alignment of amino acid sequences of MdPR10 and NbPR10. The alignment was constructed by using ClustalW in MEGA7 software. The picture was exported by DNAMAN.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B2CA6">
        <w:rPr>
          <w:rFonts w:ascii="Times New Roman" w:hAnsi="Times New Roman" w:cs="Times New Roman"/>
          <w:bCs/>
          <w:sz w:val="24"/>
          <w:szCs w:val="24"/>
        </w:rPr>
        <w:t xml:space="preserve">(B) Bimolecular fluorescence complementation showed that VmEP1 interacted with NbPR10 in leaf cells of 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7B2CA6">
        <w:rPr>
          <w:rFonts w:ascii="Times New Roman" w:hAnsi="Times New Roman" w:cs="Times New Roman"/>
          <w:bCs/>
          <w:sz w:val="24"/>
          <w:szCs w:val="24"/>
        </w:rPr>
        <w:t xml:space="preserve">. VmEP1-cYFP and NbPR10-nYFP were co-expressed in 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N. benthamiana </w:t>
      </w:r>
      <w:r w:rsidRPr="007B2CA6">
        <w:rPr>
          <w:rFonts w:ascii="Times New Roman" w:hAnsi="Times New Roman" w:cs="Times New Roman"/>
          <w:bCs/>
          <w:sz w:val="24"/>
          <w:szCs w:val="24"/>
        </w:rPr>
        <w:t>by agro-infiltration. The yellow fluorescence was observed 48–72 h post infiltration (Bars = 20 µm).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B2CA6">
        <w:rPr>
          <w:rFonts w:ascii="Times New Roman" w:hAnsi="Times New Roman" w:cs="Times New Roman"/>
          <w:bCs/>
          <w:sz w:val="24"/>
          <w:szCs w:val="24"/>
        </w:rPr>
        <w:t xml:space="preserve">(C) In vivo Co-IP assay of HA: VmEP1 (without the signal peptide sequence) and GFP-NbPR10. Both genes were expressed in </w:t>
      </w:r>
      <w:r w:rsidRPr="007B2C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N. benthamiana </w:t>
      </w:r>
      <w:r w:rsidRPr="007B2CA6">
        <w:rPr>
          <w:rFonts w:ascii="Times New Roman" w:hAnsi="Times New Roman" w:cs="Times New Roman"/>
          <w:bCs/>
          <w:sz w:val="24"/>
          <w:szCs w:val="24"/>
        </w:rPr>
        <w:t>leaves using agro-infection. The input experiment was performed by western blot with the HA antibody and GFP antibody to confirm the expression of the two proteins. The mixed proteins were blended with GFP-trap agarose beads. The final eluent was analyzed by immunoblot using above-mentioned antibodies to detect VmEP1 and MdPR10. This assay was repeated three times.</w:t>
      </w:r>
    </w:p>
    <w:p w14:paraId="2A2983CC" w14:textId="67319734" w:rsidR="007B2CA6" w:rsidRPr="00E843B2" w:rsidRDefault="007B2CA6" w:rsidP="00E843B2">
      <w:pPr>
        <w:widowControl/>
        <w:jc w:val="left"/>
        <w:rPr>
          <w:bCs/>
          <w:sz w:val="24"/>
          <w:szCs w:val="24"/>
        </w:rPr>
      </w:pPr>
      <w:r w:rsidRPr="00E843B2">
        <w:rPr>
          <w:bCs/>
          <w:sz w:val="24"/>
          <w:szCs w:val="24"/>
        </w:rPr>
        <w:br w:type="page"/>
      </w:r>
    </w:p>
    <w:p w14:paraId="74829F92" w14:textId="360BD8F2" w:rsidR="007B2CA6" w:rsidRPr="00E843B2" w:rsidRDefault="007B2CA6" w:rsidP="00E843B2">
      <w:pPr>
        <w:rPr>
          <w:bCs/>
          <w:sz w:val="24"/>
          <w:szCs w:val="24"/>
        </w:rPr>
      </w:pPr>
      <w:r w:rsidRPr="00E843B2">
        <w:rPr>
          <w:rFonts w:hint="eastAsia"/>
          <w:bCs/>
          <w:noProof/>
          <w:sz w:val="24"/>
          <w:szCs w:val="24"/>
        </w:rPr>
        <w:lastRenderedPageBreak/>
        <w:drawing>
          <wp:inline distT="0" distB="0" distL="0" distR="0" wp14:anchorId="0C6EC915" wp14:editId="4A342143">
            <wp:extent cx="4704080" cy="472503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E86B0" w14:textId="08AA6050" w:rsidR="001E01EA" w:rsidRDefault="007B2CA6" w:rsidP="00E843B2">
      <w:pPr>
        <w:rPr>
          <w:rFonts w:ascii="Times New Roman" w:hAnsi="Times New Roman" w:cs="Times New Roman"/>
          <w:bCs/>
          <w:sz w:val="24"/>
          <w:szCs w:val="24"/>
        </w:rPr>
      </w:pPr>
      <w:r w:rsidRPr="00E843B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E843B2">
        <w:rPr>
          <w:rFonts w:ascii="Times New Roman" w:hAnsi="Times New Roman" w:cs="Times New Roman"/>
          <w:b/>
          <w:sz w:val="24"/>
          <w:szCs w:val="24"/>
        </w:rPr>
        <w:t>3</w:t>
      </w:r>
      <w:r w:rsidRPr="00E843B2">
        <w:rPr>
          <w:rFonts w:ascii="Times New Roman" w:hAnsi="Times New Roman" w:cs="Times New Roman"/>
          <w:b/>
          <w:sz w:val="24"/>
          <w:szCs w:val="24"/>
        </w:rPr>
        <w:t>.</w:t>
      </w:r>
      <w:r w:rsidRPr="00E8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Bimolecular fluorescence complementation showed that cYFP did not interact with nYFP in leaf cells of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. cYFP and nYFP were co-expressed in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N. benthamiana </w:t>
      </w:r>
      <w:r w:rsidRPr="00E843B2">
        <w:rPr>
          <w:rFonts w:ascii="Times New Roman" w:hAnsi="Times New Roman" w:cs="Times New Roman"/>
          <w:bCs/>
          <w:sz w:val="24"/>
          <w:szCs w:val="24"/>
        </w:rPr>
        <w:t>by agro-infiltration. The yellow fluorescence was observed 48–72 h post infiltration (Bars = 20 µm).</w:t>
      </w:r>
    </w:p>
    <w:p w14:paraId="0B3DA18D" w14:textId="77777777" w:rsidR="001E01EA" w:rsidRDefault="001E01EA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35B8281" w14:textId="77777777" w:rsidR="007B2CA6" w:rsidRPr="00E843B2" w:rsidRDefault="007B2CA6" w:rsidP="00E843B2">
      <w:pPr>
        <w:rPr>
          <w:bCs/>
          <w:sz w:val="24"/>
          <w:szCs w:val="24"/>
        </w:rPr>
      </w:pPr>
    </w:p>
    <w:p w14:paraId="79435923" w14:textId="11A6DBAE" w:rsidR="007B2CA6" w:rsidRPr="00E843B2" w:rsidRDefault="007B2CA6" w:rsidP="00E843B2">
      <w:pPr>
        <w:rPr>
          <w:bCs/>
          <w:sz w:val="24"/>
          <w:szCs w:val="24"/>
        </w:rPr>
      </w:pPr>
      <w:r w:rsidRPr="00E843B2">
        <w:rPr>
          <w:rFonts w:hint="eastAsia"/>
          <w:bCs/>
          <w:noProof/>
          <w:sz w:val="24"/>
          <w:szCs w:val="24"/>
        </w:rPr>
        <w:drawing>
          <wp:inline distT="0" distB="0" distL="0" distR="0" wp14:anchorId="35764848" wp14:editId="344FC09D">
            <wp:extent cx="5111115" cy="2066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85DB6" w14:textId="3415BAB3" w:rsidR="00852094" w:rsidRPr="00852094" w:rsidRDefault="007B2CA6" w:rsidP="00E843B2">
      <w:pPr>
        <w:rPr>
          <w:rFonts w:ascii="Times New Roman" w:hAnsi="Times New Roman" w:cs="Times New Roman"/>
          <w:bCs/>
          <w:sz w:val="24"/>
          <w:szCs w:val="24"/>
        </w:rPr>
      </w:pPr>
      <w:r w:rsidRPr="00E843B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E843B2">
        <w:rPr>
          <w:rFonts w:ascii="Times New Roman" w:hAnsi="Times New Roman" w:cs="Times New Roman"/>
          <w:b/>
          <w:sz w:val="24"/>
          <w:szCs w:val="24"/>
        </w:rPr>
        <w:t>4</w:t>
      </w:r>
      <w:r w:rsidRPr="00E843B2">
        <w:rPr>
          <w:rFonts w:ascii="Times New Roman" w:hAnsi="Times New Roman" w:cs="Times New Roman"/>
          <w:b/>
          <w:sz w:val="24"/>
          <w:szCs w:val="24"/>
        </w:rPr>
        <w:t>.</w:t>
      </w:r>
      <w:r w:rsidRPr="00E8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2094" w:rsidRPr="00E843B2">
        <w:rPr>
          <w:rFonts w:ascii="Times New Roman" w:hAnsi="Times New Roman" w:cs="Times New Roman"/>
          <w:bCs/>
          <w:sz w:val="24"/>
          <w:szCs w:val="24"/>
        </w:rPr>
        <w:t xml:space="preserve">Transient expression of </w:t>
      </w:r>
      <w:r w:rsidR="00852094"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MdPR10</w:t>
      </w:r>
      <w:r w:rsidR="00852094" w:rsidRPr="00E843B2">
        <w:rPr>
          <w:rFonts w:ascii="Times New Roman" w:hAnsi="Times New Roman" w:cs="Times New Roman"/>
          <w:bCs/>
          <w:sz w:val="24"/>
          <w:szCs w:val="24"/>
        </w:rPr>
        <w:t xml:space="preserve"> in apple enhances resistance to </w:t>
      </w:r>
      <w:r w:rsidR="00852094"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C. gloeosporioides</w:t>
      </w:r>
      <w:r w:rsidR="00852094" w:rsidRPr="00E843B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52094" w:rsidRPr="00E843B2">
        <w:rPr>
          <w:rFonts w:ascii="Times New Roman" w:hAnsi="Times New Roman" w:cs="Times New Roman"/>
          <w:bCs/>
          <w:sz w:val="24"/>
          <w:szCs w:val="24"/>
        </w:rPr>
        <w:t xml:space="preserve">(A) Representative disease symptoms of apple leaves transient expressing </w:t>
      </w:r>
      <w:r w:rsidR="00852094"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MdPR10</w:t>
      </w:r>
      <w:r w:rsidR="00852094" w:rsidRPr="00E843B2">
        <w:rPr>
          <w:rFonts w:ascii="Times New Roman" w:hAnsi="Times New Roman" w:cs="Times New Roman"/>
          <w:bCs/>
          <w:sz w:val="24"/>
          <w:szCs w:val="24"/>
        </w:rPr>
        <w:t xml:space="preserve"> at 36 h after inoculation of</w:t>
      </w:r>
      <w:r w:rsidR="00852094"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C. gloeosporioides. </w:t>
      </w:r>
      <w:r w:rsidR="00852094" w:rsidRPr="00E843B2">
        <w:rPr>
          <w:rFonts w:ascii="Times New Roman" w:hAnsi="Times New Roman" w:cs="Times New Roman"/>
          <w:bCs/>
          <w:sz w:val="24"/>
          <w:szCs w:val="24"/>
        </w:rPr>
        <w:t>Bars=5mm.</w:t>
      </w:r>
      <w:r w:rsidR="00852094"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52094" w:rsidRPr="00852094">
        <w:rPr>
          <w:rFonts w:ascii="Times New Roman" w:hAnsi="Times New Roman" w:cs="Times New Roman"/>
          <w:bCs/>
          <w:sz w:val="24"/>
          <w:szCs w:val="24"/>
        </w:rPr>
        <w:t xml:space="preserve">(B) The average lesion semidiameter in apple leaves in which MdPR10 is transiently expressed was evaluated at 48 h after inoculation of </w:t>
      </w:r>
      <w:r w:rsidR="00852094"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C. gloeosporioides</w:t>
      </w:r>
      <w:r w:rsidR="00852094" w:rsidRPr="00852094">
        <w:rPr>
          <w:rFonts w:ascii="Times New Roman" w:hAnsi="Times New Roman" w:cs="Times New Roman"/>
          <w:bCs/>
          <w:sz w:val="24"/>
          <w:szCs w:val="24"/>
        </w:rPr>
        <w:t>. Error bars represent standard deviations calculated from three biological replicates, each performed with at least 20 apple leaves. The statistical analyses were performed with Student’s t test: **P&lt;0.01.</w:t>
      </w:r>
      <w:r w:rsidR="00852094"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52094" w:rsidRPr="00852094">
        <w:rPr>
          <w:rFonts w:ascii="Times New Roman" w:hAnsi="Times New Roman" w:cs="Times New Roman"/>
          <w:bCs/>
          <w:sz w:val="24"/>
          <w:szCs w:val="24"/>
        </w:rPr>
        <w:t>(C) Immunoblot analysis of proteins in apple transiently expressing green fluorescent protein (GFP) control and MdPR10 fused with GFP tag.</w:t>
      </w:r>
    </w:p>
    <w:p w14:paraId="49465097" w14:textId="40A82A90" w:rsidR="007B2CA6" w:rsidRPr="00E843B2" w:rsidRDefault="007B2CA6" w:rsidP="00E843B2">
      <w:pPr>
        <w:rPr>
          <w:bCs/>
          <w:sz w:val="24"/>
          <w:szCs w:val="24"/>
        </w:rPr>
      </w:pPr>
    </w:p>
    <w:p w14:paraId="0E759F5F" w14:textId="3DC05667" w:rsidR="00852094" w:rsidRPr="00E843B2" w:rsidRDefault="00852094" w:rsidP="00E843B2">
      <w:pPr>
        <w:rPr>
          <w:bCs/>
          <w:sz w:val="24"/>
          <w:szCs w:val="24"/>
        </w:rPr>
      </w:pPr>
      <w:r w:rsidRPr="00E843B2">
        <w:rPr>
          <w:bCs/>
          <w:noProof/>
          <w:sz w:val="24"/>
          <w:szCs w:val="24"/>
        </w:rPr>
        <w:lastRenderedPageBreak/>
        <w:drawing>
          <wp:inline distT="0" distB="0" distL="0" distR="0" wp14:anchorId="3BEC5CE2" wp14:editId="2FA3FEBC">
            <wp:extent cx="5269865" cy="524319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459E" w14:textId="56809E92" w:rsidR="00852094" w:rsidRPr="00852094" w:rsidRDefault="00852094" w:rsidP="00E843B2">
      <w:pPr>
        <w:rPr>
          <w:rFonts w:ascii="Times New Roman" w:hAnsi="Times New Roman" w:cs="Times New Roman"/>
          <w:bCs/>
          <w:sz w:val="24"/>
          <w:szCs w:val="24"/>
        </w:rPr>
      </w:pPr>
      <w:r w:rsidRPr="00E843B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E843B2">
        <w:rPr>
          <w:rFonts w:ascii="Times New Roman" w:hAnsi="Times New Roman" w:cs="Times New Roman"/>
          <w:b/>
          <w:sz w:val="24"/>
          <w:szCs w:val="24"/>
        </w:rPr>
        <w:t>5</w:t>
      </w:r>
      <w:r w:rsidRPr="00E843B2">
        <w:rPr>
          <w:rFonts w:ascii="Times New Roman" w:hAnsi="Times New Roman" w:cs="Times New Roman"/>
          <w:b/>
          <w:sz w:val="24"/>
          <w:szCs w:val="24"/>
        </w:rPr>
        <w:t>.</w:t>
      </w:r>
      <w:r w:rsidRPr="00E8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PR10 positively regulates plant resistance to the oomycete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P. caosici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(A) Representative disease symptoms of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leaves transient expressing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MdPR10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at 48 h after inoculation of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P. capsica. 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The leaves (n&gt;10) were inoculated with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P. capsica </w:t>
      </w:r>
      <w:r w:rsidRPr="00E843B2">
        <w:rPr>
          <w:rFonts w:ascii="Times New Roman" w:hAnsi="Times New Roman" w:cs="Times New Roman"/>
          <w:bCs/>
          <w:sz w:val="24"/>
          <w:szCs w:val="24"/>
        </w:rPr>
        <w:t>fresh mycelial plugs and photographed 36 h post-inoculation (hpi). The experiment was repeated three times with similar results.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(B) The average lesion diameter in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 leaves overexpressing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MdPR10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 was evaluated at 36 h after inoculation of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P. capsica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. (C) Representative disease symptoms of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 leaves silencing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NbPR10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 at 36 h after inoculation of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P. capsica. 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The leaves (n&gt;10) were inoculated with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P. capsica </w:t>
      </w:r>
      <w:r w:rsidRPr="00852094">
        <w:rPr>
          <w:rFonts w:ascii="Times New Roman" w:hAnsi="Times New Roman" w:cs="Times New Roman"/>
          <w:bCs/>
          <w:sz w:val="24"/>
          <w:szCs w:val="24"/>
        </w:rPr>
        <w:t>fresh mycelial plugs and photographed 36 h post-inoculation (hpi). The experiment was repeated three times with similar results.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(D) The average lesion semidiameter in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 leaves silencing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NbPR10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 was evaluated at 36 h after inoculation of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P. capsica</w:t>
      </w:r>
      <w:r w:rsidRPr="00852094">
        <w:rPr>
          <w:rFonts w:ascii="Times New Roman" w:hAnsi="Times New Roman" w:cs="Times New Roman"/>
          <w:bCs/>
          <w:sz w:val="24"/>
          <w:szCs w:val="24"/>
        </w:rPr>
        <w:t>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2094">
        <w:rPr>
          <w:rFonts w:ascii="Times New Roman" w:hAnsi="Times New Roman" w:cs="Times New Roman"/>
          <w:bCs/>
          <w:sz w:val="24"/>
          <w:szCs w:val="24"/>
        </w:rPr>
        <w:t>(E) Immunoblot analysis of proteins in apple transiently expressing green fluorescent protein (GFP) control and MdPR10 fused with GFP tag.</w:t>
      </w:r>
    </w:p>
    <w:p w14:paraId="6CDD4475" w14:textId="2DB5FC53" w:rsidR="001E01EA" w:rsidRDefault="00852094" w:rsidP="00E843B2">
      <w:pPr>
        <w:rPr>
          <w:rFonts w:ascii="Times New Roman" w:hAnsi="Times New Roman" w:cs="Times New Roman"/>
          <w:bCs/>
          <w:sz w:val="24"/>
          <w:szCs w:val="24"/>
        </w:rPr>
      </w:pPr>
      <w:r w:rsidRPr="00852094">
        <w:rPr>
          <w:rFonts w:ascii="Times New Roman" w:hAnsi="Times New Roman" w:cs="Times New Roman"/>
          <w:bCs/>
          <w:sz w:val="24"/>
          <w:szCs w:val="24"/>
        </w:rPr>
        <w:t xml:space="preserve">(F) Silence efficiency detection of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NbPR10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N. benthamiana </w:t>
      </w:r>
      <w:r w:rsidRPr="00852094">
        <w:rPr>
          <w:rFonts w:ascii="Times New Roman" w:hAnsi="Times New Roman" w:cs="Times New Roman"/>
          <w:bCs/>
          <w:sz w:val="24"/>
          <w:szCs w:val="24"/>
        </w:rPr>
        <w:t>by RT-PCR 3 weeks after infiltration of  VIGS-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NbPR10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. The transcripts levels of genes were normalized to the actin gene of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852094">
        <w:rPr>
          <w:rFonts w:ascii="Times New Roman" w:hAnsi="Times New Roman" w:cs="Times New Roman"/>
          <w:bCs/>
          <w:sz w:val="24"/>
          <w:szCs w:val="24"/>
        </w:rPr>
        <w:t>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(G) Schematic of constructs used to silence 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NbPR10</w:t>
      </w:r>
      <w:r w:rsidRPr="00852094">
        <w:rPr>
          <w:rFonts w:ascii="Times New Roman" w:hAnsi="Times New Roman" w:cs="Times New Roman"/>
          <w:bCs/>
          <w:sz w:val="24"/>
          <w:szCs w:val="24"/>
        </w:rPr>
        <w:t>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2094">
        <w:rPr>
          <w:rFonts w:ascii="Times New Roman" w:hAnsi="Times New Roman" w:cs="Times New Roman"/>
          <w:bCs/>
          <w:sz w:val="24"/>
          <w:szCs w:val="24"/>
        </w:rPr>
        <w:t>(H) Representative images of the TRV-</w:t>
      </w:r>
      <w:r w:rsidRPr="00852094">
        <w:rPr>
          <w:rFonts w:ascii="Times New Roman" w:hAnsi="Times New Roman" w:cs="Times New Roman"/>
          <w:bCs/>
          <w:i/>
          <w:iCs/>
          <w:sz w:val="24"/>
          <w:szCs w:val="24"/>
        </w:rPr>
        <w:t>NbPR10</w:t>
      </w:r>
      <w:r w:rsidRPr="00852094">
        <w:rPr>
          <w:rFonts w:ascii="Times New Roman" w:hAnsi="Times New Roman" w:cs="Times New Roman"/>
          <w:bCs/>
          <w:sz w:val="24"/>
          <w:szCs w:val="24"/>
        </w:rPr>
        <w:t xml:space="preserve"> VIGS plants compared to the TRV-GFP control showing that there were no obvious developmental phenotypes observed in these plants.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2094">
        <w:rPr>
          <w:rFonts w:ascii="Times New Roman" w:hAnsi="Times New Roman" w:cs="Times New Roman"/>
          <w:bCs/>
          <w:sz w:val="24"/>
          <w:szCs w:val="24"/>
        </w:rPr>
        <w:t>In (B),(D) and (F):Error bars represent standard deviations calculated from three replicates. The statistical analyses were performed with Student’s t test: ***P&lt;0.001, **P&lt;0.01.</w:t>
      </w:r>
    </w:p>
    <w:p w14:paraId="399DCE33" w14:textId="77777777" w:rsidR="001E01EA" w:rsidRDefault="001E01EA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6BF85C3" w14:textId="7CA0611E" w:rsidR="00852094" w:rsidRPr="00E843B2" w:rsidRDefault="00E843B2" w:rsidP="00E843B2">
      <w:pPr>
        <w:rPr>
          <w:bCs/>
          <w:sz w:val="24"/>
          <w:szCs w:val="24"/>
        </w:rPr>
      </w:pPr>
      <w:r w:rsidRPr="00E843B2">
        <w:rPr>
          <w:rFonts w:hint="eastAsia"/>
          <w:bCs/>
          <w:noProof/>
          <w:sz w:val="24"/>
          <w:szCs w:val="24"/>
        </w:rPr>
        <w:lastRenderedPageBreak/>
        <w:drawing>
          <wp:inline distT="0" distB="0" distL="0" distR="0" wp14:anchorId="10E9F86B" wp14:editId="69E76C9E">
            <wp:extent cx="4207510" cy="17125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50E0" w14:textId="292B77E0" w:rsidR="00E843B2" w:rsidRPr="00E843B2" w:rsidRDefault="00E843B2" w:rsidP="00E843B2">
      <w:pPr>
        <w:rPr>
          <w:rFonts w:ascii="Times New Roman" w:hAnsi="Times New Roman" w:cs="Times New Roman"/>
          <w:bCs/>
          <w:sz w:val="24"/>
          <w:szCs w:val="24"/>
        </w:rPr>
      </w:pPr>
      <w:r w:rsidRPr="00E843B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E843B2">
        <w:rPr>
          <w:rFonts w:ascii="Times New Roman" w:hAnsi="Times New Roman" w:cs="Times New Roman"/>
          <w:b/>
          <w:sz w:val="24"/>
          <w:szCs w:val="24"/>
        </w:rPr>
        <w:t>6</w:t>
      </w:r>
      <w:r w:rsidRPr="00E843B2">
        <w:rPr>
          <w:rFonts w:ascii="Times New Roman" w:hAnsi="Times New Roman" w:cs="Times New Roman"/>
          <w:b/>
          <w:sz w:val="24"/>
          <w:szCs w:val="24"/>
        </w:rPr>
        <w:t>.</w:t>
      </w:r>
      <w:r w:rsidRPr="00E8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VmEP1 compromises INF1-induced cllose accumulation in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(A) Trypan blue staining with leaves at 48 h after co-expression of VmEP1 and INF1 in </w:t>
      </w:r>
      <w:r w:rsidRPr="00E843B2">
        <w:rPr>
          <w:rFonts w:ascii="Times New Roman" w:hAnsi="Times New Roman" w:cs="Times New Roman"/>
          <w:bCs/>
          <w:i/>
          <w:iCs/>
          <w:sz w:val="24"/>
          <w:szCs w:val="24"/>
        </w:rPr>
        <w:t>N. benthamiana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. Co-expression of EV and INF1 as control. Bars = 50 </w:t>
      </w:r>
      <w:r w:rsidRPr="00E843B2">
        <w:rPr>
          <w:rFonts w:ascii="Times New Roman" w:hAnsi="Times New Roman" w:cs="Times New Roman"/>
          <w:bCs/>
          <w:sz w:val="24"/>
          <w:szCs w:val="24"/>
          <w:lang w:val="el-GR"/>
        </w:rPr>
        <w:t>μ</w:t>
      </w:r>
      <w:r w:rsidRPr="00E843B2">
        <w:rPr>
          <w:rFonts w:ascii="Times New Roman" w:hAnsi="Times New Roman" w:cs="Times New Roman"/>
          <w:bCs/>
          <w:sz w:val="24"/>
          <w:szCs w:val="24"/>
        </w:rPr>
        <w:t>m. (B) Quantification of callose deposition in leaf tissues, as determined by ImageJ software.</w:t>
      </w:r>
      <w:r w:rsidRPr="00E8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43B2">
        <w:rPr>
          <w:rFonts w:ascii="Times New Roman" w:hAnsi="Times New Roman" w:cs="Times New Roman"/>
          <w:bCs/>
          <w:sz w:val="24"/>
          <w:szCs w:val="24"/>
        </w:rPr>
        <w:t>Error bars represent standard deviations calculated from three biological replicates, each performed with at least six technical replicates. The statistical analyses were performed with Student’s t test: **P&lt;0.01.</w:t>
      </w:r>
    </w:p>
    <w:p w14:paraId="2FBAAFD0" w14:textId="687D7A03" w:rsidR="00E843B2" w:rsidRPr="00E843B2" w:rsidRDefault="00E843B2" w:rsidP="00E843B2">
      <w:pPr>
        <w:rPr>
          <w:rFonts w:hint="eastAsia"/>
          <w:bCs/>
          <w:sz w:val="24"/>
          <w:szCs w:val="24"/>
        </w:rPr>
      </w:pPr>
    </w:p>
    <w:sectPr w:rsidR="00E843B2" w:rsidRPr="00E843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A1100" w14:textId="77777777" w:rsidR="00031035" w:rsidRDefault="00031035" w:rsidP="007B2CA6">
      <w:r>
        <w:separator/>
      </w:r>
    </w:p>
  </w:endnote>
  <w:endnote w:type="continuationSeparator" w:id="0">
    <w:p w14:paraId="66AEDB87" w14:textId="77777777" w:rsidR="00031035" w:rsidRDefault="00031035" w:rsidP="007B2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B04D1" w14:textId="77777777" w:rsidR="00031035" w:rsidRDefault="00031035" w:rsidP="007B2CA6">
      <w:r>
        <w:separator/>
      </w:r>
    </w:p>
  </w:footnote>
  <w:footnote w:type="continuationSeparator" w:id="0">
    <w:p w14:paraId="77D89351" w14:textId="77777777" w:rsidR="00031035" w:rsidRDefault="00031035" w:rsidP="007B2C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46"/>
    <w:rsid w:val="00031035"/>
    <w:rsid w:val="0005147F"/>
    <w:rsid w:val="00052254"/>
    <w:rsid w:val="001E01EA"/>
    <w:rsid w:val="00244C46"/>
    <w:rsid w:val="00303452"/>
    <w:rsid w:val="007B2CA6"/>
    <w:rsid w:val="007E37F8"/>
    <w:rsid w:val="00852094"/>
    <w:rsid w:val="00E843B2"/>
    <w:rsid w:val="00FF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C879E"/>
  <w15:chartTrackingRefBased/>
  <w15:docId w15:val="{E5A7B350-C13B-4698-B78C-4F653BD88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C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2C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2C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2CA6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7B2C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813</Words>
  <Characters>4640</Characters>
  <Application>Microsoft Office Word</Application>
  <DocSecurity>0</DocSecurity>
  <Lines>38</Lines>
  <Paragraphs>10</Paragraphs>
  <ScaleCrop>false</ScaleCrop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Weidong</dc:creator>
  <cp:keywords/>
  <dc:description/>
  <cp:lastModifiedBy>Wang Weidong</cp:lastModifiedBy>
  <cp:revision>3</cp:revision>
  <dcterms:created xsi:type="dcterms:W3CDTF">2021-07-14T01:12:00Z</dcterms:created>
  <dcterms:modified xsi:type="dcterms:W3CDTF">2021-07-14T01:24:00Z</dcterms:modified>
</cp:coreProperties>
</file>