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197D1" w14:textId="139AB521" w:rsidR="007C6FE2" w:rsidRDefault="002C1CFC">
      <w:pPr>
        <w:rPr>
          <w:b/>
          <w:noProof/>
          <w:color w:val="262626" w:themeColor="text1" w:themeTint="D9"/>
          <w:sz w:val="20"/>
          <w:lang w:eastAsia="en-GB"/>
        </w:rPr>
      </w:pPr>
      <w:r>
        <w:rPr>
          <w:b/>
          <w:noProof/>
          <w:color w:val="262626" w:themeColor="text1" w:themeTint="D9"/>
          <w:sz w:val="20"/>
          <w:lang w:eastAsia="en-GB"/>
        </w:rPr>
        <w:drawing>
          <wp:inline distT="0" distB="0" distL="0" distR="0" wp14:anchorId="31236F75" wp14:editId="39F78ACD">
            <wp:extent cx="4655185" cy="2905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gG_IgA_study_comparison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5"/>
                    <a:stretch/>
                  </pic:blipFill>
                  <pic:spPr bwMode="auto">
                    <a:xfrm>
                      <a:off x="0" y="0"/>
                      <a:ext cx="4668585" cy="291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44585" w14:textId="0B829AF1" w:rsidR="007C6FE2" w:rsidRDefault="009D2843">
      <w:pPr>
        <w:rPr>
          <w:b/>
          <w:noProof/>
          <w:color w:val="262626" w:themeColor="text1" w:themeTint="D9"/>
          <w:sz w:val="20"/>
          <w:lang w:eastAsia="en-GB"/>
        </w:rPr>
      </w:pPr>
      <w:r w:rsidRPr="00FA5825">
        <w:rPr>
          <w:b/>
          <w:bCs/>
          <w:color w:val="262626" w:themeColor="text1" w:themeTint="D9"/>
          <w:sz w:val="20"/>
          <w:szCs w:val="20"/>
        </w:rPr>
        <w:t xml:space="preserve">Figure 1) </w:t>
      </w:r>
      <w:r>
        <w:rPr>
          <w:b/>
          <w:bCs/>
          <w:color w:val="262626" w:themeColor="text1" w:themeTint="D9"/>
          <w:sz w:val="20"/>
          <w:szCs w:val="20"/>
        </w:rPr>
        <w:t xml:space="preserve"> </w:t>
      </w:r>
      <w:r w:rsidRPr="00FA5825">
        <w:rPr>
          <w:b/>
          <w:bCs/>
          <w:color w:val="262626" w:themeColor="text1" w:themeTint="D9"/>
          <w:sz w:val="20"/>
          <w:szCs w:val="20"/>
        </w:rPr>
        <w:t xml:space="preserve">Vi-IgG and Vi-IgA titres </w:t>
      </w:r>
      <w:r w:rsidR="0033367E">
        <w:rPr>
          <w:b/>
          <w:bCs/>
          <w:color w:val="262626" w:themeColor="text1" w:themeTint="D9"/>
          <w:sz w:val="20"/>
          <w:szCs w:val="20"/>
        </w:rPr>
        <w:t>in</w:t>
      </w:r>
      <w:r w:rsidRPr="00FA5825">
        <w:rPr>
          <w:b/>
          <w:bCs/>
          <w:color w:val="262626" w:themeColor="text1" w:themeTint="D9"/>
          <w:sz w:val="20"/>
          <w:szCs w:val="20"/>
        </w:rPr>
        <w:t xml:space="preserve"> Nepalese children </w:t>
      </w:r>
      <w:r>
        <w:rPr>
          <w:b/>
          <w:bCs/>
          <w:color w:val="262626" w:themeColor="text1" w:themeTint="D9"/>
          <w:sz w:val="20"/>
          <w:szCs w:val="20"/>
        </w:rPr>
        <w:t>and U.K adults 28 days following Vi-TCV vaccination</w:t>
      </w:r>
      <w:r>
        <w:rPr>
          <w:b/>
          <w:bCs/>
          <w:color w:val="262626" w:themeColor="text1" w:themeTint="D9"/>
          <w:sz w:val="20"/>
          <w:szCs w:val="20"/>
        </w:rPr>
        <w:br/>
      </w:r>
      <w:r w:rsidRPr="00FA5825">
        <w:rPr>
          <w:color w:val="262626" w:themeColor="text1" w:themeTint="D9"/>
          <w:sz w:val="20"/>
          <w:szCs w:val="20"/>
        </w:rPr>
        <w:t xml:space="preserve">Vi-IgG </w:t>
      </w:r>
      <w:r w:rsidRPr="00FA5825">
        <w:rPr>
          <w:b/>
          <w:bCs/>
          <w:color w:val="262626" w:themeColor="text1" w:themeTint="D9"/>
          <w:sz w:val="20"/>
          <w:szCs w:val="20"/>
        </w:rPr>
        <w:t>(A)</w:t>
      </w:r>
      <w:r w:rsidRPr="00FA5825">
        <w:rPr>
          <w:color w:val="262626" w:themeColor="text1" w:themeTint="D9"/>
          <w:sz w:val="20"/>
          <w:szCs w:val="20"/>
        </w:rPr>
        <w:t xml:space="preserve"> and Vi-IgA </w:t>
      </w:r>
      <w:r w:rsidRPr="00FA5825">
        <w:rPr>
          <w:b/>
          <w:bCs/>
          <w:color w:val="262626" w:themeColor="text1" w:themeTint="D9"/>
          <w:sz w:val="20"/>
          <w:szCs w:val="20"/>
        </w:rPr>
        <w:t>(B)</w:t>
      </w:r>
      <w:r w:rsidRPr="00FA5825">
        <w:rPr>
          <w:color w:val="262626" w:themeColor="text1" w:themeTint="D9"/>
          <w:sz w:val="20"/>
          <w:szCs w:val="20"/>
        </w:rPr>
        <w:t xml:space="preserve"> titres were measured</w:t>
      </w:r>
      <w:r w:rsidR="0033367E">
        <w:rPr>
          <w:color w:val="262626" w:themeColor="text1" w:themeTint="D9"/>
          <w:sz w:val="20"/>
          <w:szCs w:val="20"/>
        </w:rPr>
        <w:t xml:space="preserve"> in plasma</w:t>
      </w:r>
      <w:r>
        <w:rPr>
          <w:color w:val="262626" w:themeColor="text1" w:themeTint="D9"/>
          <w:sz w:val="20"/>
          <w:szCs w:val="20"/>
        </w:rPr>
        <w:t xml:space="preserve"> </w:t>
      </w:r>
      <w:r w:rsidR="002C1CFC">
        <w:rPr>
          <w:color w:val="262626" w:themeColor="text1" w:themeTint="D9"/>
          <w:sz w:val="20"/>
          <w:szCs w:val="20"/>
        </w:rPr>
        <w:t xml:space="preserve">from </w:t>
      </w:r>
      <w:r w:rsidRPr="00661672">
        <w:rPr>
          <w:color w:val="262626" w:themeColor="text1" w:themeTint="D9"/>
          <w:sz w:val="20"/>
        </w:rPr>
        <w:t xml:space="preserve">participants </w:t>
      </w:r>
      <w:r w:rsidR="002C1CFC">
        <w:rPr>
          <w:color w:val="262626" w:themeColor="text1" w:themeTint="D9"/>
          <w:sz w:val="20"/>
        </w:rPr>
        <w:t>in</w:t>
      </w:r>
      <w:r w:rsidRPr="00661672">
        <w:rPr>
          <w:color w:val="262626" w:themeColor="text1" w:themeTint="D9"/>
          <w:sz w:val="20"/>
        </w:rPr>
        <w:t xml:space="preserve"> the TyVAC Nepal study (n =17) and </w:t>
      </w:r>
      <w:r>
        <w:rPr>
          <w:color w:val="262626" w:themeColor="text1" w:themeTint="D9"/>
          <w:sz w:val="20"/>
        </w:rPr>
        <w:t>UK adults (n = 16</w:t>
      </w:r>
      <w:r w:rsidRPr="00FA5825">
        <w:rPr>
          <w:color w:val="262626" w:themeColor="text1" w:themeTint="D9"/>
          <w:sz w:val="20"/>
          <w:szCs w:val="20"/>
        </w:rPr>
        <w:t>)</w:t>
      </w:r>
      <w:r w:rsidR="002C1CFC">
        <w:rPr>
          <w:color w:val="262626" w:themeColor="text1" w:themeTint="D9"/>
          <w:sz w:val="20"/>
          <w:szCs w:val="20"/>
        </w:rPr>
        <w:t xml:space="preserve"> 28 days post Vi-TCV </w:t>
      </w:r>
      <w:r w:rsidR="002C1CFC">
        <w:rPr>
          <w:color w:val="262626" w:themeColor="text1" w:themeTint="D9"/>
          <w:sz w:val="20"/>
        </w:rPr>
        <w:t>vaccination</w:t>
      </w:r>
      <w:r w:rsidRPr="00FA5825">
        <w:rPr>
          <w:color w:val="262626" w:themeColor="text1" w:themeTint="D9"/>
          <w:sz w:val="20"/>
          <w:szCs w:val="20"/>
        </w:rPr>
        <w:t xml:space="preserve">. Box plots </w:t>
      </w:r>
      <w:r w:rsidR="0033367E">
        <w:rPr>
          <w:color w:val="262626" w:themeColor="text1" w:themeTint="D9"/>
          <w:sz w:val="20"/>
          <w:szCs w:val="20"/>
        </w:rPr>
        <w:t>show</w:t>
      </w:r>
      <w:r w:rsidRPr="00FA5825">
        <w:rPr>
          <w:color w:val="262626" w:themeColor="text1" w:themeTint="D9"/>
          <w:sz w:val="20"/>
          <w:szCs w:val="20"/>
        </w:rPr>
        <w:t xml:space="preserve"> the median and in</w:t>
      </w:r>
      <w:r w:rsidR="0033367E">
        <w:rPr>
          <w:color w:val="262626" w:themeColor="text1" w:themeTint="D9"/>
          <w:sz w:val="20"/>
          <w:szCs w:val="20"/>
        </w:rPr>
        <w:t>terquartile range per</w:t>
      </w:r>
      <w:r w:rsidRPr="00FA5825">
        <w:rPr>
          <w:color w:val="262626" w:themeColor="text1" w:themeTint="D9"/>
          <w:sz w:val="20"/>
          <w:szCs w:val="20"/>
        </w:rPr>
        <w:t xml:space="preserve"> group. Differences in </w:t>
      </w:r>
      <w:r>
        <w:rPr>
          <w:color w:val="262626" w:themeColor="text1" w:themeTint="D9"/>
          <w:sz w:val="20"/>
          <w:szCs w:val="20"/>
        </w:rPr>
        <w:t>ELISA titres</w:t>
      </w:r>
      <w:r w:rsidRPr="00FA5825">
        <w:rPr>
          <w:color w:val="262626" w:themeColor="text1" w:themeTint="D9"/>
          <w:sz w:val="20"/>
          <w:szCs w:val="20"/>
        </w:rPr>
        <w:t xml:space="preserve"> between </w:t>
      </w:r>
      <w:r>
        <w:rPr>
          <w:color w:val="262626" w:themeColor="text1" w:themeTint="D9"/>
          <w:sz w:val="20"/>
          <w:szCs w:val="20"/>
        </w:rPr>
        <w:t>study sites</w:t>
      </w:r>
      <w:r w:rsidRPr="00FA5825">
        <w:rPr>
          <w:color w:val="262626" w:themeColor="text1" w:themeTint="D9"/>
          <w:sz w:val="20"/>
          <w:szCs w:val="20"/>
        </w:rPr>
        <w:t xml:space="preserve"> were compared using the Wilcoxon test</w:t>
      </w:r>
      <w:r>
        <w:rPr>
          <w:color w:val="262626" w:themeColor="text1" w:themeTint="D9"/>
          <w:sz w:val="20"/>
          <w:szCs w:val="20"/>
        </w:rPr>
        <w:t xml:space="preserve"> (** p&lt;</w:t>
      </w:r>
      <w:r w:rsidR="002C1CFC">
        <w:rPr>
          <w:color w:val="262626" w:themeColor="text1" w:themeTint="D9"/>
          <w:sz w:val="20"/>
          <w:szCs w:val="20"/>
        </w:rPr>
        <w:t>0.0</w:t>
      </w:r>
      <w:r>
        <w:rPr>
          <w:color w:val="262626" w:themeColor="text1" w:themeTint="D9"/>
          <w:sz w:val="20"/>
          <w:szCs w:val="20"/>
        </w:rPr>
        <w:t>1).</w:t>
      </w:r>
      <w:r w:rsidR="009347A8">
        <w:rPr>
          <w:color w:val="262626" w:themeColor="text1" w:themeTint="D9"/>
          <w:sz w:val="20"/>
          <w:szCs w:val="20"/>
        </w:rPr>
        <w:br/>
      </w:r>
    </w:p>
    <w:p w14:paraId="2E28F650" w14:textId="55C2DA2C" w:rsidR="007C6FE2" w:rsidRDefault="003336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3367E">
        <w:rPr>
          <w:b/>
          <w:noProof/>
          <w:color w:val="262626" w:themeColor="text1" w:themeTint="D9"/>
          <w:sz w:val="20"/>
          <w:lang w:eastAsia="en-GB"/>
        </w:rPr>
        <w:drawing>
          <wp:inline distT="0" distB="0" distL="0" distR="0" wp14:anchorId="50A49B6D" wp14:editId="5BDF3245">
            <wp:extent cx="4752975" cy="4124343"/>
            <wp:effectExtent l="0" t="0" r="0" b="9525"/>
            <wp:docPr id="5" name="Picture 5" descr="C:\Users\mjohnson\OneDrive - Nexus365\R_laptop_backup\backup2\Documents\R_laptop\TyVAC_Bigexp\extra graphs\all_titres_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johnson\OneDrive - Nexus365\R_laptop_backup\backup2\Documents\R_laptop\TyVAC_Bigexp\extra graphs\all_titres_age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95" cy="41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67E">
        <w:rPr>
          <w:b/>
          <w:noProof/>
          <w:color w:val="262626" w:themeColor="text1" w:themeTint="D9"/>
          <w:sz w:val="20"/>
          <w:lang w:eastAsia="en-GB"/>
        </w:rPr>
        <w:t xml:space="preserve"> </w:t>
      </w:r>
      <w:bookmarkStart w:id="0" w:name="_GoBack"/>
      <w:bookmarkEnd w:id="0"/>
    </w:p>
    <w:p w14:paraId="1838E487" w14:textId="77777777" w:rsidR="0033367E" w:rsidRDefault="0033367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E82B8D7" w14:textId="29CAF2F6" w:rsidR="00FB7B62" w:rsidRPr="00FB7B62" w:rsidRDefault="009D2843" w:rsidP="00FB7B62">
      <w:pPr>
        <w:pStyle w:val="Caption"/>
        <w:rPr>
          <w:b/>
          <w:bCs/>
          <w:i w:val="0"/>
          <w:color w:val="262626" w:themeColor="text1" w:themeTint="D9"/>
          <w:sz w:val="20"/>
          <w:szCs w:val="20"/>
        </w:rPr>
      </w:pPr>
      <w:r>
        <w:rPr>
          <w:b/>
          <w:bCs/>
          <w:i w:val="0"/>
          <w:color w:val="262626" w:themeColor="text1" w:themeTint="D9"/>
          <w:sz w:val="20"/>
          <w:szCs w:val="20"/>
        </w:rPr>
        <w:t>Figure 2</w:t>
      </w:r>
      <w:r w:rsidR="00FB7B62" w:rsidRPr="00FA5825">
        <w:rPr>
          <w:b/>
          <w:bCs/>
          <w:i w:val="0"/>
          <w:color w:val="262626" w:themeColor="text1" w:themeTint="D9"/>
          <w:sz w:val="20"/>
          <w:szCs w:val="20"/>
        </w:rPr>
        <w:t>) Vi-IgG and Vi-IgA titres</w:t>
      </w:r>
      <w:r w:rsidR="0033367E">
        <w:rPr>
          <w:b/>
          <w:bCs/>
          <w:i w:val="0"/>
          <w:color w:val="262626" w:themeColor="text1" w:themeTint="D9"/>
          <w:sz w:val="20"/>
          <w:szCs w:val="20"/>
        </w:rPr>
        <w:t xml:space="preserve"> </w:t>
      </w:r>
      <w:r w:rsidR="0033367E" w:rsidRPr="0033367E">
        <w:rPr>
          <w:b/>
          <w:bCs/>
          <w:i w:val="0"/>
          <w:color w:val="262626" w:themeColor="text1" w:themeTint="D9"/>
          <w:sz w:val="20"/>
          <w:szCs w:val="20"/>
        </w:rPr>
        <w:t>pre and 28 days post-vaccination</w:t>
      </w:r>
      <w:r w:rsidR="00FB7B62" w:rsidRPr="00FA5825">
        <w:rPr>
          <w:b/>
          <w:bCs/>
          <w:i w:val="0"/>
          <w:color w:val="262626" w:themeColor="text1" w:themeTint="D9"/>
          <w:sz w:val="20"/>
          <w:szCs w:val="20"/>
        </w:rPr>
        <w:t xml:space="preserve"> in Nepalese children</w:t>
      </w:r>
      <w:r w:rsidR="0033367E">
        <w:rPr>
          <w:b/>
          <w:bCs/>
          <w:i w:val="0"/>
          <w:color w:val="262626" w:themeColor="text1" w:themeTint="D9"/>
          <w:sz w:val="20"/>
          <w:szCs w:val="20"/>
        </w:rPr>
        <w:t xml:space="preserve"> </w:t>
      </w:r>
      <w:r w:rsidR="00FB7B62">
        <w:rPr>
          <w:b/>
          <w:bCs/>
          <w:i w:val="0"/>
          <w:color w:val="262626" w:themeColor="text1" w:themeTint="D9"/>
          <w:sz w:val="20"/>
          <w:szCs w:val="20"/>
        </w:rPr>
        <w:br/>
      </w:r>
      <w:r w:rsidR="0033367E" w:rsidRPr="0033367E">
        <w:rPr>
          <w:b/>
          <w:i w:val="0"/>
          <w:color w:val="262626" w:themeColor="text1" w:themeTint="D9"/>
          <w:sz w:val="20"/>
          <w:szCs w:val="20"/>
        </w:rPr>
        <w:t xml:space="preserve">A-B) </w:t>
      </w:r>
      <w:r w:rsidR="00FB7B62" w:rsidRPr="00FA5825">
        <w:rPr>
          <w:i w:val="0"/>
          <w:color w:val="262626" w:themeColor="text1" w:themeTint="D9"/>
          <w:sz w:val="20"/>
          <w:szCs w:val="20"/>
        </w:rPr>
        <w:t xml:space="preserve">Vi-IgG </w:t>
      </w:r>
      <w:r w:rsidR="0033367E">
        <w:rPr>
          <w:i w:val="0"/>
          <w:color w:val="262626" w:themeColor="text1" w:themeTint="D9"/>
          <w:sz w:val="20"/>
          <w:szCs w:val="20"/>
        </w:rPr>
        <w:t xml:space="preserve">and Vi-IgA </w:t>
      </w:r>
      <w:r w:rsidR="00FB7B62" w:rsidRPr="00FA5825">
        <w:rPr>
          <w:i w:val="0"/>
          <w:color w:val="262626" w:themeColor="text1" w:themeTint="D9"/>
          <w:sz w:val="20"/>
          <w:szCs w:val="20"/>
        </w:rPr>
        <w:t>titres were measured across age groups of children</w:t>
      </w:r>
      <w:r w:rsidR="009347A8">
        <w:rPr>
          <w:i w:val="0"/>
          <w:color w:val="262626" w:themeColor="text1" w:themeTint="D9"/>
          <w:sz w:val="20"/>
          <w:szCs w:val="20"/>
        </w:rPr>
        <w:t xml:space="preserve"> aged </w:t>
      </w:r>
      <w:r w:rsidR="009347A8" w:rsidRPr="009347A8">
        <w:rPr>
          <w:i w:val="0"/>
          <w:color w:val="262626" w:themeColor="text1" w:themeTint="D9"/>
          <w:sz w:val="20"/>
          <w:szCs w:val="20"/>
        </w:rPr>
        <w:t>0-4 (n= 21), 5-9 (n= 24) and 10-15 years of age (n= 32)</w:t>
      </w:r>
      <w:r w:rsidR="00FB7B62" w:rsidRPr="00FA5825">
        <w:rPr>
          <w:i w:val="0"/>
          <w:color w:val="262626" w:themeColor="text1" w:themeTint="D9"/>
          <w:sz w:val="20"/>
          <w:szCs w:val="20"/>
        </w:rPr>
        <w:t xml:space="preserve"> in Nepal prior to Vi-TCV vaccination</w:t>
      </w:r>
      <w:r w:rsidR="0033367E">
        <w:rPr>
          <w:i w:val="0"/>
          <w:color w:val="262626" w:themeColor="text1" w:themeTint="D9"/>
          <w:sz w:val="20"/>
          <w:szCs w:val="20"/>
        </w:rPr>
        <w:t xml:space="preserve"> and 28 days following Vi-TCV vaccination </w:t>
      </w:r>
      <w:r w:rsidR="0033367E" w:rsidRPr="0033367E">
        <w:rPr>
          <w:b/>
          <w:i w:val="0"/>
          <w:color w:val="262626" w:themeColor="text1" w:themeTint="D9"/>
          <w:sz w:val="20"/>
          <w:szCs w:val="20"/>
        </w:rPr>
        <w:t>(C –D)</w:t>
      </w:r>
      <w:r w:rsidR="009347A8">
        <w:rPr>
          <w:i w:val="0"/>
          <w:color w:val="262626" w:themeColor="text1" w:themeTint="D9"/>
          <w:sz w:val="20"/>
          <w:szCs w:val="20"/>
        </w:rPr>
        <w:t xml:space="preserve">. </w:t>
      </w:r>
      <w:r w:rsidR="00FB7B62" w:rsidRPr="00FA5825">
        <w:rPr>
          <w:i w:val="0"/>
          <w:color w:val="262626" w:themeColor="text1" w:themeTint="D9"/>
          <w:sz w:val="20"/>
          <w:szCs w:val="20"/>
        </w:rPr>
        <w:t>Box plots display the median and interquartile range for each</w:t>
      </w:r>
      <w:r w:rsidR="009347A8">
        <w:rPr>
          <w:i w:val="0"/>
          <w:color w:val="262626" w:themeColor="text1" w:themeTint="D9"/>
          <w:sz w:val="20"/>
          <w:szCs w:val="20"/>
        </w:rPr>
        <w:t xml:space="preserve"> age</w:t>
      </w:r>
      <w:r w:rsidR="00FB7B62" w:rsidRPr="00FA5825">
        <w:rPr>
          <w:i w:val="0"/>
          <w:color w:val="262626" w:themeColor="text1" w:themeTint="D9"/>
          <w:sz w:val="20"/>
          <w:szCs w:val="20"/>
        </w:rPr>
        <w:t xml:space="preserve"> group. Differences in </w:t>
      </w:r>
      <w:r w:rsidR="009F16FE">
        <w:rPr>
          <w:i w:val="0"/>
          <w:color w:val="262626" w:themeColor="text1" w:themeTint="D9"/>
          <w:sz w:val="20"/>
          <w:szCs w:val="20"/>
        </w:rPr>
        <w:t>ELISA titres</w:t>
      </w:r>
      <w:r w:rsidR="00FB7B62" w:rsidRPr="00FA5825">
        <w:rPr>
          <w:i w:val="0"/>
          <w:color w:val="262626" w:themeColor="text1" w:themeTint="D9"/>
          <w:sz w:val="20"/>
          <w:szCs w:val="20"/>
        </w:rPr>
        <w:t xml:space="preserve"> between age groups were compared using the Wilcoxon test</w:t>
      </w:r>
      <w:r w:rsidR="00FB7B62">
        <w:rPr>
          <w:i w:val="0"/>
          <w:color w:val="262626" w:themeColor="text1" w:themeTint="D9"/>
          <w:sz w:val="20"/>
          <w:szCs w:val="20"/>
        </w:rPr>
        <w:t>.</w:t>
      </w:r>
      <w:r w:rsidR="009347A8">
        <w:rPr>
          <w:i w:val="0"/>
          <w:color w:val="262626" w:themeColor="text1" w:themeTint="D9"/>
          <w:sz w:val="20"/>
          <w:szCs w:val="20"/>
        </w:rPr>
        <w:t xml:space="preserve"> </w:t>
      </w:r>
      <w:r w:rsidR="009347A8" w:rsidRPr="009347A8">
        <w:rPr>
          <w:bCs/>
          <w:i w:val="0"/>
          <w:color w:val="262626" w:themeColor="text1" w:themeTint="D9"/>
          <w:sz w:val="20"/>
          <w:szCs w:val="20"/>
        </w:rPr>
        <w:t xml:space="preserve">(*** = </w:t>
      </w:r>
      <w:r w:rsidR="009347A8">
        <w:rPr>
          <w:bCs/>
          <w:i w:val="0"/>
          <w:color w:val="262626" w:themeColor="text1" w:themeTint="D9"/>
          <w:sz w:val="20"/>
          <w:szCs w:val="20"/>
        </w:rPr>
        <w:t>p &lt;0.001, ** = p &lt;0.01).</w:t>
      </w:r>
    </w:p>
    <w:p w14:paraId="77FA091D" w14:textId="5350925D" w:rsidR="00155511" w:rsidRDefault="00155511">
      <w:pPr>
        <w:rPr>
          <w:b/>
          <w:color w:val="262626" w:themeColor="text1" w:themeTint="D9"/>
          <w:sz w:val="20"/>
        </w:rPr>
      </w:pPr>
      <w:r w:rsidRPr="00155511">
        <w:rPr>
          <w:b/>
          <w:noProof/>
          <w:color w:val="262626" w:themeColor="text1" w:themeTint="D9"/>
          <w:sz w:val="20"/>
          <w:lang w:eastAsia="en-GB"/>
        </w:rPr>
        <w:lastRenderedPageBreak/>
        <w:drawing>
          <wp:inline distT="0" distB="0" distL="0" distR="0" wp14:anchorId="33702A6B" wp14:editId="7ADAA0EC">
            <wp:extent cx="5857875" cy="2659380"/>
            <wp:effectExtent l="0" t="0" r="9525" b="7620"/>
            <wp:docPr id="1" name="Picture 1" descr="C:\Users\mjohnson\OneDrive - Nexus365\R_laptop_backup\backup2\Documents\R_laptop\TyVAC_Bigexp\new_correlations\titre_elis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ohnson\OneDrive - Nexus365\R_laptop_backup\backup2\Documents\R_laptop\TyVAC_Bigexp\new_correlations\titre_elisa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70" cy="26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B62" w:rsidRPr="00FB7B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2C1D859" w14:textId="0266A49E" w:rsidR="00D003FB" w:rsidRPr="0092168A" w:rsidRDefault="009D2843">
      <w:pPr>
        <w:rPr>
          <w:b/>
          <w:color w:val="262626" w:themeColor="text1" w:themeTint="D9"/>
          <w:sz w:val="20"/>
        </w:rPr>
      </w:pPr>
      <w:r>
        <w:rPr>
          <w:b/>
          <w:color w:val="262626" w:themeColor="text1" w:themeTint="D9"/>
          <w:sz w:val="20"/>
        </w:rPr>
        <w:t>Figure 3</w:t>
      </w:r>
      <w:r w:rsidR="0066109A">
        <w:rPr>
          <w:b/>
          <w:color w:val="262626" w:themeColor="text1" w:themeTint="D9"/>
          <w:sz w:val="20"/>
        </w:rPr>
        <w:t xml:space="preserve">) </w:t>
      </w:r>
      <w:r w:rsidR="00FB7B62">
        <w:rPr>
          <w:b/>
          <w:color w:val="262626" w:themeColor="text1" w:themeTint="D9"/>
          <w:sz w:val="20"/>
        </w:rPr>
        <w:t>Comparison of phagocytosis scores and Vi-antibody titres, pre and 28 days post-vaccination</w:t>
      </w:r>
      <w:r w:rsidR="0092168A">
        <w:rPr>
          <w:b/>
          <w:color w:val="262626" w:themeColor="text1" w:themeTint="D9"/>
          <w:sz w:val="20"/>
        </w:rPr>
        <w:br/>
      </w:r>
      <w:r w:rsidR="00011D81">
        <w:rPr>
          <w:b/>
          <w:color w:val="262626" w:themeColor="text1" w:themeTint="D9"/>
          <w:sz w:val="20"/>
        </w:rPr>
        <w:t>A-B</w:t>
      </w:r>
      <w:r w:rsidR="0022327B" w:rsidRPr="002A5A81">
        <w:rPr>
          <w:b/>
          <w:color w:val="262626" w:themeColor="text1" w:themeTint="D9"/>
          <w:sz w:val="20"/>
        </w:rPr>
        <w:t>)</w:t>
      </w:r>
      <w:r w:rsidR="0022327B" w:rsidRPr="002A5A81">
        <w:rPr>
          <w:color w:val="262626" w:themeColor="text1" w:themeTint="D9"/>
          <w:sz w:val="20"/>
        </w:rPr>
        <w:t xml:space="preserve"> Scatterplot displaying anti-Vi ADNP responses with V</w:t>
      </w:r>
      <w:r w:rsidR="0022327B">
        <w:rPr>
          <w:color w:val="262626" w:themeColor="text1" w:themeTint="D9"/>
          <w:sz w:val="20"/>
        </w:rPr>
        <w:t>i</w:t>
      </w:r>
      <w:r w:rsidR="0022327B" w:rsidRPr="002A5A81">
        <w:rPr>
          <w:color w:val="262626" w:themeColor="text1" w:themeTint="D9"/>
          <w:sz w:val="20"/>
        </w:rPr>
        <w:t>-IgA and Vi-IgG titres, colour of the points depicts the visit</w:t>
      </w:r>
      <w:r w:rsidR="009F16FE">
        <w:rPr>
          <w:color w:val="262626" w:themeColor="text1" w:themeTint="D9"/>
          <w:sz w:val="20"/>
        </w:rPr>
        <w:t xml:space="preserve"> either pre, or 28 days post-vaccination</w:t>
      </w:r>
      <w:r w:rsidR="0022327B" w:rsidRPr="002A5A81">
        <w:rPr>
          <w:color w:val="262626" w:themeColor="text1" w:themeTint="D9"/>
          <w:sz w:val="20"/>
        </w:rPr>
        <w:t>.</w:t>
      </w:r>
      <w:r w:rsidR="008967BC">
        <w:rPr>
          <w:color w:val="262626" w:themeColor="text1" w:themeTint="D9"/>
          <w:sz w:val="20"/>
        </w:rPr>
        <w:t xml:space="preserve"> </w:t>
      </w:r>
      <w:r w:rsidR="009F16FE" w:rsidRPr="00777403">
        <w:rPr>
          <w:color w:val="262626" w:themeColor="text1" w:themeTint="D9"/>
          <w:sz w:val="20"/>
        </w:rPr>
        <w:t>The phagocytic scores were calculate</w:t>
      </w:r>
      <w:r w:rsidR="00A7484B">
        <w:rPr>
          <w:color w:val="262626" w:themeColor="text1" w:themeTint="D9"/>
          <w:sz w:val="20"/>
        </w:rPr>
        <w:t>d from bead</w:t>
      </w:r>
      <w:r w:rsidR="009F16FE" w:rsidRPr="00777403">
        <w:rPr>
          <w:color w:val="262626" w:themeColor="text1" w:themeTint="D9"/>
          <w:sz w:val="20"/>
        </w:rPr>
        <w:t>+ neutrophils, multiplied by the MFI of the red fluorescent beads</w:t>
      </w:r>
      <w:r w:rsidR="009F16FE">
        <w:rPr>
          <w:color w:val="262626" w:themeColor="text1" w:themeTint="D9"/>
          <w:sz w:val="20"/>
        </w:rPr>
        <w:t xml:space="preserve">. </w:t>
      </w:r>
      <w:r w:rsidR="008967BC" w:rsidRPr="002A5A81">
        <w:rPr>
          <w:color w:val="262626" w:themeColor="text1" w:themeTint="D9"/>
          <w:sz w:val="20"/>
        </w:rPr>
        <w:t xml:space="preserve">Samples were run in technical duplicates and presented are the mean phagocytic </w:t>
      </w:r>
      <w:r w:rsidR="008967BC">
        <w:rPr>
          <w:color w:val="262626" w:themeColor="text1" w:themeTint="D9"/>
          <w:sz w:val="20"/>
        </w:rPr>
        <w:t xml:space="preserve">scores per participant (n = 77). </w:t>
      </w:r>
    </w:p>
    <w:p w14:paraId="61957B70" w14:textId="591DBAED" w:rsidR="00011D81" w:rsidRDefault="00FB3162">
      <w:r w:rsidRPr="00FB3162">
        <w:rPr>
          <w:noProof/>
          <w:lang w:eastAsia="en-GB"/>
        </w:rPr>
        <w:drawing>
          <wp:inline distT="0" distB="0" distL="0" distR="0" wp14:anchorId="1F5F60C8" wp14:editId="70A99F78">
            <wp:extent cx="5633782" cy="4279997"/>
            <wp:effectExtent l="0" t="0" r="5080" b="6350"/>
            <wp:docPr id="4" name="Picture 4" descr="C:\Users\mjohnson\OneDrive - Nexus365\R_laptop_backup\backup2\Documents\R_laptop\TyVAC_Bigexp\new_correlations\allg0_stat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ohnson\OneDrive - Nexus365\R_laptop_backup\backup2\Documents\R_laptop\TyVAC_Bigexp\new_correlations\allg0_states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58" cy="429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162">
        <w:rPr>
          <w:noProof/>
          <w:lang w:eastAsia="en-GB"/>
        </w:rPr>
        <w:t xml:space="preserve"> </w:t>
      </w:r>
    </w:p>
    <w:p w14:paraId="3EAD5EDE" w14:textId="5748B230" w:rsidR="00CC380A" w:rsidRDefault="00CC380A" w:rsidP="00CC380A">
      <w:pPr>
        <w:pStyle w:val="Caption"/>
        <w:rPr>
          <w:i w:val="0"/>
          <w:color w:val="262626" w:themeColor="text1" w:themeTint="D9"/>
        </w:rPr>
      </w:pPr>
      <w:r w:rsidRPr="00EB4EF6">
        <w:rPr>
          <w:b/>
          <w:i w:val="0"/>
          <w:color w:val="262626" w:themeColor="text1" w:themeTint="D9"/>
        </w:rPr>
        <w:t xml:space="preserve">Figure </w:t>
      </w:r>
      <w:r w:rsidR="009D2843">
        <w:rPr>
          <w:b/>
          <w:i w:val="0"/>
          <w:color w:val="262626" w:themeColor="text1" w:themeTint="D9"/>
        </w:rPr>
        <w:t>4</w:t>
      </w:r>
      <w:r>
        <w:rPr>
          <w:b/>
          <w:i w:val="0"/>
          <w:color w:val="262626" w:themeColor="text1" w:themeTint="D9"/>
        </w:rPr>
        <w:t>) Fc galactosylation states of Vi-IgG1</w:t>
      </w:r>
      <w:r w:rsidR="00E85DD9">
        <w:rPr>
          <w:b/>
          <w:i w:val="0"/>
          <w:color w:val="262626" w:themeColor="text1" w:themeTint="D9"/>
        </w:rPr>
        <w:t xml:space="preserve"> and VI-IgG2</w:t>
      </w:r>
      <w:r>
        <w:rPr>
          <w:b/>
          <w:i w:val="0"/>
          <w:color w:val="262626" w:themeColor="text1" w:themeTint="D9"/>
        </w:rPr>
        <w:t xml:space="preserve"> with ADNP fold change 28 days following Vi-TCV vaccination</w:t>
      </w:r>
      <w:r>
        <w:rPr>
          <w:b/>
          <w:i w:val="0"/>
          <w:color w:val="262626" w:themeColor="text1" w:themeTint="D9"/>
        </w:rPr>
        <w:br/>
      </w:r>
      <w:r w:rsidRPr="00EB4EF6">
        <w:rPr>
          <w:b/>
          <w:i w:val="0"/>
          <w:color w:val="262626" w:themeColor="text1" w:themeTint="D9"/>
        </w:rPr>
        <w:t>A-C)</w:t>
      </w:r>
      <w:r w:rsidRPr="00EB4EF6">
        <w:rPr>
          <w:i w:val="0"/>
          <w:color w:val="262626" w:themeColor="text1" w:themeTint="D9"/>
        </w:rPr>
        <w:t xml:space="preserve"> Correlation of the percentage of agalactosylated (G0), monog</w:t>
      </w:r>
      <w:r w:rsidR="000A5B91">
        <w:rPr>
          <w:i w:val="0"/>
          <w:color w:val="262626" w:themeColor="text1" w:themeTint="D9"/>
        </w:rPr>
        <w:t>a</w:t>
      </w:r>
      <w:r w:rsidRPr="00EB4EF6">
        <w:rPr>
          <w:i w:val="0"/>
          <w:color w:val="262626" w:themeColor="text1" w:themeTint="D9"/>
        </w:rPr>
        <w:t>l</w:t>
      </w:r>
      <w:r w:rsidR="000A5B91">
        <w:rPr>
          <w:i w:val="0"/>
          <w:color w:val="262626" w:themeColor="text1" w:themeTint="D9"/>
        </w:rPr>
        <w:t>actosylated (G1), and digalact</w:t>
      </w:r>
      <w:r w:rsidRPr="00EB4EF6">
        <w:rPr>
          <w:i w:val="0"/>
          <w:color w:val="262626" w:themeColor="text1" w:themeTint="D9"/>
        </w:rPr>
        <w:t xml:space="preserve">osylated (G2) Vi-IgG1 antibodies </w:t>
      </w:r>
      <w:r>
        <w:rPr>
          <w:i w:val="0"/>
          <w:color w:val="262626" w:themeColor="text1" w:themeTint="D9"/>
        </w:rPr>
        <w:t xml:space="preserve">at D28 with Vi-ADNP </w:t>
      </w:r>
      <w:r w:rsidR="00826903">
        <w:rPr>
          <w:i w:val="0"/>
          <w:color w:val="262626" w:themeColor="text1" w:themeTint="D9"/>
        </w:rPr>
        <w:t xml:space="preserve">phagocytic score </w:t>
      </w:r>
      <w:r>
        <w:rPr>
          <w:i w:val="0"/>
          <w:color w:val="262626" w:themeColor="text1" w:themeTint="D9"/>
        </w:rPr>
        <w:t xml:space="preserve">between baseline and D28, </w:t>
      </w:r>
      <w:r w:rsidRPr="00EB4EF6">
        <w:rPr>
          <w:i w:val="0"/>
          <w:color w:val="262626" w:themeColor="text1" w:themeTint="D9"/>
        </w:rPr>
        <w:t>respectively (n =24).</w:t>
      </w:r>
      <w:r w:rsidR="00FB3162">
        <w:rPr>
          <w:b/>
          <w:i w:val="0"/>
          <w:color w:val="262626" w:themeColor="text1" w:themeTint="D9"/>
        </w:rPr>
        <w:br/>
      </w:r>
      <w:r w:rsidR="00D479A2">
        <w:rPr>
          <w:b/>
          <w:i w:val="0"/>
          <w:color w:val="262626" w:themeColor="text1" w:themeTint="D9"/>
        </w:rPr>
        <w:t>D-F</w:t>
      </w:r>
      <w:r w:rsidR="00FB3162" w:rsidRPr="00FB3162">
        <w:rPr>
          <w:b/>
          <w:i w:val="0"/>
          <w:color w:val="262626" w:themeColor="text1" w:themeTint="D9"/>
        </w:rPr>
        <w:t>)</w:t>
      </w:r>
      <w:r w:rsidR="00FB3162">
        <w:rPr>
          <w:b/>
          <w:i w:val="0"/>
          <w:color w:val="262626" w:themeColor="text1" w:themeTint="D9"/>
        </w:rPr>
        <w:t xml:space="preserve"> </w:t>
      </w:r>
      <w:r w:rsidR="00FB3162" w:rsidRPr="00EB4EF6">
        <w:rPr>
          <w:i w:val="0"/>
          <w:color w:val="262626" w:themeColor="text1" w:themeTint="D9"/>
        </w:rPr>
        <w:t>Correlation of the percentage of agalactosylated (G0), monog</w:t>
      </w:r>
      <w:r w:rsidR="00FB3162">
        <w:rPr>
          <w:i w:val="0"/>
          <w:color w:val="262626" w:themeColor="text1" w:themeTint="D9"/>
        </w:rPr>
        <w:t>a</w:t>
      </w:r>
      <w:r w:rsidR="00FB3162" w:rsidRPr="00EB4EF6">
        <w:rPr>
          <w:i w:val="0"/>
          <w:color w:val="262626" w:themeColor="text1" w:themeTint="D9"/>
        </w:rPr>
        <w:t>l</w:t>
      </w:r>
      <w:r w:rsidR="00FB3162">
        <w:rPr>
          <w:i w:val="0"/>
          <w:color w:val="262626" w:themeColor="text1" w:themeTint="D9"/>
        </w:rPr>
        <w:t>actosylated (G1), and digalactosylated (G2) Vi-IgG2/3</w:t>
      </w:r>
      <w:r w:rsidR="00FB3162" w:rsidRPr="00EB4EF6">
        <w:rPr>
          <w:i w:val="0"/>
          <w:color w:val="262626" w:themeColor="text1" w:themeTint="D9"/>
        </w:rPr>
        <w:t xml:space="preserve"> antibodies </w:t>
      </w:r>
      <w:r w:rsidR="00FB3162">
        <w:rPr>
          <w:i w:val="0"/>
          <w:color w:val="262626" w:themeColor="text1" w:themeTint="D9"/>
        </w:rPr>
        <w:t xml:space="preserve">at D28 with Vi-ADNP phagocytic score between baseline and D28, </w:t>
      </w:r>
      <w:r w:rsidR="00FB3162" w:rsidRPr="00EB4EF6">
        <w:rPr>
          <w:i w:val="0"/>
          <w:color w:val="262626" w:themeColor="text1" w:themeTint="D9"/>
        </w:rPr>
        <w:t>respectively</w:t>
      </w:r>
      <w:r w:rsidR="00FB3162">
        <w:rPr>
          <w:i w:val="0"/>
          <w:color w:val="262626" w:themeColor="text1" w:themeTint="D9"/>
        </w:rPr>
        <w:t>.</w:t>
      </w:r>
      <w:r w:rsidR="00FB3162" w:rsidRPr="00EB4EF6">
        <w:rPr>
          <w:i w:val="0"/>
          <w:color w:val="262626" w:themeColor="text1" w:themeTint="D9"/>
        </w:rPr>
        <w:t xml:space="preserve"> </w:t>
      </w:r>
      <w:r w:rsidRPr="00EB4EF6">
        <w:rPr>
          <w:i w:val="0"/>
          <w:color w:val="262626" w:themeColor="text1" w:themeTint="D9"/>
        </w:rPr>
        <w:t xml:space="preserve">Shown for each graph are the </w:t>
      </w:r>
      <w:r>
        <w:rPr>
          <w:i w:val="0"/>
          <w:color w:val="262626" w:themeColor="text1" w:themeTint="D9"/>
        </w:rPr>
        <w:t>Spearman’s Rho</w:t>
      </w:r>
      <w:r w:rsidRPr="00EB4EF6">
        <w:rPr>
          <w:i w:val="0"/>
          <w:color w:val="262626" w:themeColor="text1" w:themeTint="D9"/>
        </w:rPr>
        <w:t xml:space="preserve">, and p-values for significance. In addition, the black line shows the linear regression, and the shaded area shows 95% confidence intervals for the model. </w:t>
      </w:r>
    </w:p>
    <w:p w14:paraId="081A7F09" w14:textId="77777777" w:rsidR="0092168A" w:rsidRPr="0092168A" w:rsidRDefault="0092168A" w:rsidP="0092168A"/>
    <w:p w14:paraId="1A0D7400" w14:textId="06B95933" w:rsidR="0092168A" w:rsidRDefault="00116111" w:rsidP="0092168A">
      <w:pPr>
        <w:keepNext/>
      </w:pPr>
      <w:r w:rsidRPr="00116111">
        <w:rPr>
          <w:noProof/>
          <w:lang w:eastAsia="en-GB"/>
        </w:rPr>
        <w:drawing>
          <wp:inline distT="0" distB="0" distL="0" distR="0" wp14:anchorId="7F7BC9EE" wp14:editId="1E2FB1AC">
            <wp:extent cx="4772025" cy="2769273"/>
            <wp:effectExtent l="0" t="0" r="0" b="0"/>
            <wp:docPr id="7" name="Picture 7" descr="C:\Users\mjohnson\OneDrive - Nexus365\R_laptop_backup\backup2\Documents\R_laptop\TyVAC_Bigexp\new_correlations\fucosyla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johnson\OneDrive - Nexus365\R_laptop_backup\backup2\Documents\R_laptop\TyVAC_Bigexp\new_correlations\fucosylation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44" cy="27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111">
        <w:rPr>
          <w:noProof/>
          <w:lang w:eastAsia="en-GB"/>
        </w:rPr>
        <w:t xml:space="preserve"> </w:t>
      </w:r>
    </w:p>
    <w:p w14:paraId="447BC736" w14:textId="4513F979" w:rsidR="0092168A" w:rsidRPr="0092168A" w:rsidRDefault="0092168A" w:rsidP="0092168A">
      <w:pPr>
        <w:pStyle w:val="Caption"/>
        <w:rPr>
          <w:b/>
          <w:bCs/>
          <w:i w:val="0"/>
          <w:color w:val="262626" w:themeColor="text1" w:themeTint="D9"/>
        </w:rPr>
      </w:pPr>
      <w:r w:rsidRPr="00871AF5">
        <w:rPr>
          <w:b/>
          <w:bCs/>
          <w:i w:val="0"/>
          <w:color w:val="262626" w:themeColor="text1" w:themeTint="D9"/>
        </w:rPr>
        <w:t xml:space="preserve">Figure </w:t>
      </w:r>
      <w:r w:rsidR="009D2843">
        <w:rPr>
          <w:b/>
          <w:bCs/>
          <w:i w:val="0"/>
          <w:color w:val="262626" w:themeColor="text1" w:themeTint="D9"/>
        </w:rPr>
        <w:t>5</w:t>
      </w:r>
      <w:r>
        <w:rPr>
          <w:b/>
          <w:bCs/>
          <w:i w:val="0"/>
          <w:color w:val="262626" w:themeColor="text1" w:themeTint="D9"/>
        </w:rPr>
        <w:t xml:space="preserve">) </w:t>
      </w:r>
      <w:r w:rsidRPr="00871AF5">
        <w:rPr>
          <w:b/>
          <w:bCs/>
          <w:i w:val="0"/>
          <w:color w:val="262626" w:themeColor="text1" w:themeTint="D9"/>
        </w:rPr>
        <w:t xml:space="preserve">Fucosylation </w:t>
      </w:r>
      <w:r>
        <w:rPr>
          <w:b/>
          <w:bCs/>
          <w:i w:val="0"/>
          <w:color w:val="262626" w:themeColor="text1" w:themeTint="D9"/>
        </w:rPr>
        <w:t xml:space="preserve">of Vi-IgG1 and Vi-IgG2/3 </w:t>
      </w:r>
      <w:r w:rsidRPr="00871AF5">
        <w:rPr>
          <w:b/>
          <w:bCs/>
          <w:i w:val="0"/>
          <w:color w:val="262626" w:themeColor="text1" w:themeTint="D9"/>
        </w:rPr>
        <w:t>following Vi-TCV vaccination</w:t>
      </w:r>
      <w:r>
        <w:rPr>
          <w:b/>
          <w:bCs/>
          <w:i w:val="0"/>
          <w:color w:val="262626" w:themeColor="text1" w:themeTint="D9"/>
        </w:rPr>
        <w:t xml:space="preserve"> </w:t>
      </w:r>
      <w:r>
        <w:rPr>
          <w:b/>
          <w:bCs/>
          <w:i w:val="0"/>
          <w:color w:val="262626" w:themeColor="text1" w:themeTint="D9"/>
        </w:rPr>
        <w:br/>
      </w:r>
      <w:r w:rsidRPr="00EB272D">
        <w:rPr>
          <w:b/>
          <w:bCs/>
          <w:i w:val="0"/>
          <w:color w:val="262626" w:themeColor="text1" w:themeTint="D9"/>
        </w:rPr>
        <w:t>A-B)</w:t>
      </w:r>
      <w:r w:rsidRPr="00871AF5">
        <w:rPr>
          <w:i w:val="0"/>
          <w:color w:val="262626" w:themeColor="text1" w:themeTint="D9"/>
        </w:rPr>
        <w:t xml:space="preserve"> Fucosylation of Vi-IgG1 and Vi-IgG2/3</w:t>
      </w:r>
      <w:r w:rsidR="00AB7080">
        <w:rPr>
          <w:i w:val="0"/>
          <w:color w:val="262626" w:themeColor="text1" w:themeTint="D9"/>
        </w:rPr>
        <w:t>,</w:t>
      </w:r>
      <w:r w:rsidRPr="00871AF5">
        <w:rPr>
          <w:i w:val="0"/>
          <w:color w:val="262626" w:themeColor="text1" w:themeTint="D9"/>
        </w:rPr>
        <w:t xml:space="preserve"> 28 days after vac</w:t>
      </w:r>
      <w:r w:rsidR="00075119">
        <w:rPr>
          <w:i w:val="0"/>
          <w:color w:val="262626" w:themeColor="text1" w:themeTint="D9"/>
        </w:rPr>
        <w:t>cination</w:t>
      </w:r>
      <w:r w:rsidR="00AB7080">
        <w:rPr>
          <w:i w:val="0"/>
          <w:color w:val="262626" w:themeColor="text1" w:themeTint="D9"/>
        </w:rPr>
        <w:t>,</w:t>
      </w:r>
      <w:r w:rsidR="00075119">
        <w:rPr>
          <w:i w:val="0"/>
          <w:color w:val="262626" w:themeColor="text1" w:themeTint="D9"/>
        </w:rPr>
        <w:t xml:space="preserve"> respectively. Displayed is a histogram showing the </w:t>
      </w:r>
      <w:r w:rsidR="00AB7080">
        <w:rPr>
          <w:i w:val="0"/>
          <w:color w:val="262626" w:themeColor="text1" w:themeTint="D9"/>
        </w:rPr>
        <w:t xml:space="preserve">range and </w:t>
      </w:r>
      <w:r w:rsidR="00075119">
        <w:rPr>
          <w:i w:val="0"/>
          <w:color w:val="262626" w:themeColor="text1" w:themeTint="D9"/>
        </w:rPr>
        <w:t xml:space="preserve">frequency of </w:t>
      </w:r>
      <w:r w:rsidR="00AB7080">
        <w:rPr>
          <w:i w:val="0"/>
          <w:color w:val="262626" w:themeColor="text1" w:themeTint="D9"/>
        </w:rPr>
        <w:t xml:space="preserve">the percentage of </w:t>
      </w:r>
      <w:proofErr w:type="spellStart"/>
      <w:r w:rsidR="00075119">
        <w:rPr>
          <w:i w:val="0"/>
          <w:color w:val="262626" w:themeColor="text1" w:themeTint="D9"/>
        </w:rPr>
        <w:t>fucosylated</w:t>
      </w:r>
      <w:proofErr w:type="spellEnd"/>
      <w:r w:rsidR="00075119">
        <w:rPr>
          <w:i w:val="0"/>
          <w:color w:val="262626" w:themeColor="text1" w:themeTint="D9"/>
        </w:rPr>
        <w:t xml:space="preserve"> Vi-antibodies</w:t>
      </w:r>
      <w:r w:rsidR="00E029BD">
        <w:rPr>
          <w:i w:val="0"/>
          <w:color w:val="262626" w:themeColor="text1" w:themeTint="D9"/>
        </w:rPr>
        <w:t xml:space="preserve"> across participants (n=24)</w:t>
      </w:r>
      <w:r w:rsidR="00075119">
        <w:rPr>
          <w:i w:val="0"/>
          <w:color w:val="262626" w:themeColor="text1" w:themeTint="D9"/>
        </w:rPr>
        <w:t xml:space="preserve">. </w:t>
      </w:r>
    </w:p>
    <w:p w14:paraId="1C1D39B3" w14:textId="4B113675" w:rsidR="00CC380A" w:rsidRDefault="00712B3C">
      <w:r>
        <w:br/>
      </w:r>
    </w:p>
    <w:sectPr w:rsidR="00CC380A" w:rsidSect="009347A8">
      <w:pgSz w:w="11906" w:h="16838"/>
      <w:pgMar w:top="1134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7B"/>
    <w:rsid w:val="00011D81"/>
    <w:rsid w:val="00016BB5"/>
    <w:rsid w:val="00075119"/>
    <w:rsid w:val="000A5B91"/>
    <w:rsid w:val="00116111"/>
    <w:rsid w:val="00155511"/>
    <w:rsid w:val="001B40E9"/>
    <w:rsid w:val="0022327B"/>
    <w:rsid w:val="00293C5B"/>
    <w:rsid w:val="002C1CFC"/>
    <w:rsid w:val="0033193F"/>
    <w:rsid w:val="0033367E"/>
    <w:rsid w:val="004F6C28"/>
    <w:rsid w:val="00572C30"/>
    <w:rsid w:val="005C1AED"/>
    <w:rsid w:val="0066109A"/>
    <w:rsid w:val="00712B3C"/>
    <w:rsid w:val="007C6FE2"/>
    <w:rsid w:val="00826903"/>
    <w:rsid w:val="008565B9"/>
    <w:rsid w:val="008967BC"/>
    <w:rsid w:val="0092168A"/>
    <w:rsid w:val="009252F3"/>
    <w:rsid w:val="009347A8"/>
    <w:rsid w:val="009D2843"/>
    <w:rsid w:val="009F16FE"/>
    <w:rsid w:val="00A7484B"/>
    <w:rsid w:val="00AB7080"/>
    <w:rsid w:val="00CC380A"/>
    <w:rsid w:val="00D003FB"/>
    <w:rsid w:val="00D479A2"/>
    <w:rsid w:val="00D56D01"/>
    <w:rsid w:val="00DA65D2"/>
    <w:rsid w:val="00E029BD"/>
    <w:rsid w:val="00E85DD9"/>
    <w:rsid w:val="00FB3162"/>
    <w:rsid w:val="00FB7B62"/>
    <w:rsid w:val="00FE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55C74"/>
  <w15:chartTrackingRefBased/>
  <w15:docId w15:val="{C4354043-B07D-4DDE-BC1C-0F7DC0B0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C380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3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38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80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80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BE27DB9E29244B4F84600A0F001DE" ma:contentTypeVersion="13" ma:contentTypeDescription="Create a new document." ma:contentTypeScope="" ma:versionID="9695ef00ec23c3ff75eaf882107299b1">
  <xsd:schema xmlns:xsd="http://www.w3.org/2001/XMLSchema" xmlns:xs="http://www.w3.org/2001/XMLSchema" xmlns:p="http://schemas.microsoft.com/office/2006/metadata/properties" xmlns:ns3="cf0dfbcc-b360-4cf7-9bf5-370ba522dbe9" xmlns:ns4="83c9eb58-c16a-4eef-9abf-4aeec758fe01" targetNamespace="http://schemas.microsoft.com/office/2006/metadata/properties" ma:root="true" ma:fieldsID="9e0c1f88f6e1c13e1fad6f2048e66ed1" ns3:_="" ns4:_="">
    <xsd:import namespace="cf0dfbcc-b360-4cf7-9bf5-370ba522dbe9"/>
    <xsd:import namespace="83c9eb58-c16a-4eef-9abf-4aeec758f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dfbcc-b360-4cf7-9bf5-370ba522d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9eb58-c16a-4eef-9abf-4aeec758f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2B06AE-555B-4EAA-8F86-5137D1159605}">
  <ds:schemaRefs>
    <ds:schemaRef ds:uri="83c9eb58-c16a-4eef-9abf-4aeec758fe01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f0dfbcc-b360-4cf7-9bf5-370ba522dbe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0F25C8-DF9D-4F14-94E8-52AAAE0CA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E4181E-E89B-4EDF-A523-3EFFC9FCD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dfbcc-b360-4cf7-9bf5-370ba522dbe9"/>
    <ds:schemaRef ds:uri="83c9eb58-c16a-4eef-9abf-4aeec758f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Johnson</dc:creator>
  <cp:keywords/>
  <dc:description/>
  <cp:lastModifiedBy>Mari Johnson</cp:lastModifiedBy>
  <cp:revision>2</cp:revision>
  <dcterms:created xsi:type="dcterms:W3CDTF">2021-09-09T11:37:00Z</dcterms:created>
  <dcterms:modified xsi:type="dcterms:W3CDTF">2021-09-09T11:37:00Z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0x0101008FCBE27DB9E29244B4F84600A0F001DE</vt:lpwstr>
  </property>
</Properties>
</file>