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D0A38" w14:textId="511B9554" w:rsidR="00BD0FB6" w:rsidRDefault="00BD0FB6" w:rsidP="00B346F0">
      <w:pPr>
        <w:ind w:left="-142"/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 w:rsidRPr="00BD0FB6">
        <w:rPr>
          <w:rFonts w:ascii="Arial" w:hAnsi="Arial" w:cs="Arial"/>
          <w:b/>
          <w:bCs/>
          <w:color w:val="000000" w:themeColor="text1"/>
          <w:lang w:val="en-US"/>
        </w:rPr>
        <w:t xml:space="preserve">Supplementary Table 1 </w:t>
      </w:r>
      <w:r w:rsidR="00BD204C">
        <w:rPr>
          <w:rFonts w:ascii="Arial" w:hAnsi="Arial" w:cs="Arial"/>
          <w:b/>
          <w:bCs/>
          <w:color w:val="000000" w:themeColor="text1"/>
          <w:lang w:val="en-US"/>
        </w:rPr>
        <w:t>(</w:t>
      </w:r>
      <w:r w:rsidRPr="00BD0FB6">
        <w:rPr>
          <w:rFonts w:ascii="Arial" w:hAnsi="Arial" w:cs="Arial"/>
          <w:b/>
          <w:bCs/>
          <w:color w:val="000000" w:themeColor="text1"/>
          <w:lang w:val="en-US"/>
        </w:rPr>
        <w:t>Related to Figure 1, 2 and 3</w:t>
      </w:r>
      <w:r w:rsidR="00BD204C">
        <w:rPr>
          <w:rFonts w:ascii="Arial" w:hAnsi="Arial" w:cs="Arial"/>
          <w:b/>
          <w:bCs/>
          <w:color w:val="000000" w:themeColor="text1"/>
          <w:lang w:val="en-US"/>
        </w:rPr>
        <w:t>)</w:t>
      </w:r>
      <w:r w:rsidRPr="00BD0FB6">
        <w:rPr>
          <w:rFonts w:ascii="Arial" w:hAnsi="Arial" w:cs="Arial"/>
          <w:b/>
          <w:bCs/>
          <w:color w:val="000000" w:themeColor="text1"/>
          <w:lang w:val="en-US"/>
        </w:rPr>
        <w:t>. Data show</w:t>
      </w:r>
      <w:r w:rsidR="00B346F0">
        <w:rPr>
          <w:rFonts w:ascii="Arial" w:hAnsi="Arial" w:cs="Arial"/>
          <w:b/>
          <w:bCs/>
          <w:color w:val="000000" w:themeColor="text1"/>
          <w:lang w:val="en-US"/>
        </w:rPr>
        <w:t>s</w:t>
      </w:r>
      <w:r w:rsidRPr="00BD0FB6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r w:rsidR="00B346F0">
        <w:rPr>
          <w:rFonts w:ascii="Arial" w:hAnsi="Arial" w:cs="Arial"/>
          <w:b/>
          <w:bCs/>
          <w:color w:val="000000" w:themeColor="text1"/>
          <w:lang w:val="en-US"/>
        </w:rPr>
        <w:t>the</w:t>
      </w:r>
      <w:r w:rsidRPr="00BD0FB6">
        <w:rPr>
          <w:rFonts w:ascii="Arial" w:hAnsi="Arial" w:cs="Arial"/>
          <w:b/>
          <w:bCs/>
          <w:color w:val="000000" w:themeColor="text1"/>
          <w:lang w:val="en-US"/>
        </w:rPr>
        <w:t xml:space="preserve"> reciprocal of antibody titers of S1 IgG, reciprocal antibody titer of neutralizing antibodies to RBD-SARS-CoV-2 (</w:t>
      </w:r>
      <w:proofErr w:type="spellStart"/>
      <w:r w:rsidRPr="00BD0FB6">
        <w:rPr>
          <w:rFonts w:ascii="Arial" w:hAnsi="Arial" w:cs="Arial"/>
          <w:b/>
          <w:bCs/>
          <w:color w:val="000000" w:themeColor="text1"/>
          <w:lang w:val="en-US"/>
        </w:rPr>
        <w:t>sVNT</w:t>
      </w:r>
      <w:proofErr w:type="spellEnd"/>
      <w:r w:rsidRPr="00BD0FB6">
        <w:rPr>
          <w:rFonts w:ascii="Arial" w:hAnsi="Arial" w:cs="Arial"/>
          <w:b/>
          <w:bCs/>
          <w:color w:val="000000" w:themeColor="text1"/>
          <w:lang w:val="en-US"/>
        </w:rPr>
        <w:t>) or live SARS-</w:t>
      </w:r>
      <w:proofErr w:type="spellStart"/>
      <w:r w:rsidRPr="00BD0FB6">
        <w:rPr>
          <w:rFonts w:ascii="Arial" w:hAnsi="Arial" w:cs="Arial"/>
          <w:b/>
          <w:bCs/>
          <w:color w:val="000000" w:themeColor="text1"/>
          <w:lang w:val="en-US"/>
        </w:rPr>
        <w:t>CoV</w:t>
      </w:r>
      <w:proofErr w:type="spellEnd"/>
      <w:r w:rsidRPr="00BD0FB6">
        <w:rPr>
          <w:rFonts w:ascii="Arial" w:hAnsi="Arial" w:cs="Arial"/>
          <w:b/>
          <w:bCs/>
          <w:color w:val="000000" w:themeColor="text1"/>
          <w:lang w:val="en-US"/>
        </w:rPr>
        <w:t xml:space="preserve"> 2 (</w:t>
      </w:r>
      <w:proofErr w:type="spellStart"/>
      <w:r w:rsidRPr="00BD0FB6">
        <w:rPr>
          <w:rFonts w:ascii="Arial" w:hAnsi="Arial" w:cs="Arial"/>
          <w:b/>
          <w:bCs/>
          <w:color w:val="000000" w:themeColor="text1"/>
          <w:lang w:val="en-US"/>
        </w:rPr>
        <w:t>cVNT</w:t>
      </w:r>
      <w:proofErr w:type="spellEnd"/>
      <w:r w:rsidRPr="00BD0FB6">
        <w:rPr>
          <w:rFonts w:ascii="Arial" w:hAnsi="Arial" w:cs="Arial"/>
          <w:b/>
          <w:bCs/>
          <w:color w:val="000000" w:themeColor="text1"/>
          <w:lang w:val="en-US"/>
        </w:rPr>
        <w:t>) and fold change of IFN-</w:t>
      </w:r>
      <w:r w:rsidRPr="00BD0FB6">
        <w:rPr>
          <w:rFonts w:ascii="Symbol" w:eastAsia="Symbol" w:hAnsi="Symbol" w:cs="Symbol"/>
          <w:b/>
          <w:bCs/>
          <w:color w:val="000000" w:themeColor="text1"/>
          <w:lang w:val="en-US"/>
        </w:rPr>
        <w:t></w:t>
      </w:r>
      <w:r w:rsidRPr="00BD0FB6">
        <w:rPr>
          <w:rFonts w:ascii="Arial" w:hAnsi="Arial" w:cs="Arial"/>
          <w:b/>
          <w:bCs/>
          <w:color w:val="000000" w:themeColor="text1"/>
          <w:vertAlign w:val="superscript"/>
          <w:lang w:val="en-US"/>
        </w:rPr>
        <w:t xml:space="preserve">+ </w:t>
      </w:r>
      <w:r w:rsidRPr="00BD0FB6">
        <w:rPr>
          <w:rFonts w:ascii="Arial" w:hAnsi="Arial" w:cs="Arial"/>
          <w:b/>
          <w:bCs/>
          <w:color w:val="000000" w:themeColor="text1"/>
          <w:lang w:val="en-US"/>
        </w:rPr>
        <w:t xml:space="preserve">spots forming cells (SFC) after stimulations with SARS-CoV-2 </w:t>
      </w:r>
      <w:proofErr w:type="spellStart"/>
      <w:r w:rsidRPr="00BD0FB6">
        <w:rPr>
          <w:rFonts w:ascii="Arial" w:hAnsi="Arial" w:cs="Arial"/>
          <w:b/>
          <w:bCs/>
          <w:color w:val="000000" w:themeColor="text1"/>
          <w:lang w:val="en-US"/>
        </w:rPr>
        <w:t>MegaPools</w:t>
      </w:r>
      <w:proofErr w:type="spellEnd"/>
      <w:r w:rsidRPr="00BD0FB6">
        <w:rPr>
          <w:rFonts w:ascii="Arial" w:hAnsi="Arial" w:cs="Arial"/>
          <w:b/>
          <w:bCs/>
          <w:color w:val="000000" w:themeColor="text1"/>
          <w:lang w:val="en-US"/>
        </w:rPr>
        <w:t>.</w:t>
      </w:r>
    </w:p>
    <w:p w14:paraId="2D0AA5AF" w14:textId="0C82FA74" w:rsidR="00BD0FB6" w:rsidRDefault="00BD0FB6" w:rsidP="00B346F0">
      <w:pPr>
        <w:ind w:left="-142"/>
        <w:jc w:val="both"/>
        <w:rPr>
          <w:rFonts w:ascii="Arial" w:hAnsi="Arial" w:cs="Arial"/>
          <w:b/>
          <w:bCs/>
          <w:color w:val="000000" w:themeColor="text1"/>
          <w:lang w:val="en-US"/>
        </w:rPr>
      </w:pPr>
    </w:p>
    <w:tbl>
      <w:tblPr>
        <w:tblStyle w:val="GridTable4"/>
        <w:tblpPr w:leftFromText="180" w:rightFromText="180" w:vertAnchor="text" w:tblpXSpec="center" w:tblpY="1"/>
        <w:tblOverlap w:val="never"/>
        <w:tblW w:w="9576" w:type="dxa"/>
        <w:jc w:val="center"/>
        <w:tblLook w:val="04A0" w:firstRow="1" w:lastRow="0" w:firstColumn="1" w:lastColumn="0" w:noHBand="0" w:noVBand="1"/>
      </w:tblPr>
      <w:tblGrid>
        <w:gridCol w:w="1379"/>
        <w:gridCol w:w="1447"/>
        <w:gridCol w:w="1199"/>
        <w:gridCol w:w="1096"/>
        <w:gridCol w:w="1091"/>
        <w:gridCol w:w="1006"/>
        <w:gridCol w:w="1044"/>
        <w:gridCol w:w="1314"/>
      </w:tblGrid>
      <w:tr w:rsidR="00BD0FB6" w:rsidRPr="00C706B1" w14:paraId="6134A1DB" w14:textId="77777777" w:rsidTr="00BD0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14:paraId="757642A4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6B1">
              <w:rPr>
                <w:rFonts w:ascii="Arial" w:hAnsi="Arial" w:cs="Arial"/>
                <w:sz w:val="16"/>
                <w:szCs w:val="16"/>
              </w:rPr>
              <w:t>Volunteer</w:t>
            </w:r>
          </w:p>
        </w:tc>
        <w:tc>
          <w:tcPr>
            <w:tcW w:w="1447" w:type="dxa"/>
            <w:noWrap/>
            <w:vAlign w:val="center"/>
            <w:hideMark/>
          </w:tcPr>
          <w:p w14:paraId="54E776B4" w14:textId="77777777" w:rsidR="00BD0FB6" w:rsidRPr="00C706B1" w:rsidRDefault="00BD0FB6" w:rsidP="00AA7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C706B1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Parameter</w:t>
            </w:r>
          </w:p>
        </w:tc>
        <w:tc>
          <w:tcPr>
            <w:tcW w:w="1199" w:type="dxa"/>
            <w:noWrap/>
            <w:vAlign w:val="center"/>
            <w:hideMark/>
          </w:tcPr>
          <w:p w14:paraId="4EC1AB3C" w14:textId="77777777" w:rsidR="00BD0FB6" w:rsidRPr="00C706B1" w:rsidRDefault="00BD0FB6" w:rsidP="00AA7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C706B1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Pre-immune</w:t>
            </w:r>
          </w:p>
        </w:tc>
        <w:tc>
          <w:tcPr>
            <w:tcW w:w="1096" w:type="dxa"/>
            <w:noWrap/>
            <w:vAlign w:val="center"/>
            <w:hideMark/>
          </w:tcPr>
          <w:p w14:paraId="76D30073" w14:textId="77777777" w:rsidR="00BD0FB6" w:rsidRPr="00C706B1" w:rsidRDefault="00BD0FB6" w:rsidP="00AA7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C706B1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1st dose + 2 or 4 weeks*</w:t>
            </w:r>
          </w:p>
        </w:tc>
        <w:tc>
          <w:tcPr>
            <w:tcW w:w="1091" w:type="dxa"/>
            <w:noWrap/>
            <w:vAlign w:val="center"/>
            <w:hideMark/>
          </w:tcPr>
          <w:p w14:paraId="17C52BF3" w14:textId="77777777" w:rsidR="00BD0FB6" w:rsidRPr="00C706B1" w:rsidRDefault="00BD0FB6" w:rsidP="00AA7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C706B1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2nd dose +2 weeks</w:t>
            </w:r>
          </w:p>
        </w:tc>
        <w:tc>
          <w:tcPr>
            <w:tcW w:w="1006" w:type="dxa"/>
            <w:noWrap/>
            <w:vAlign w:val="center"/>
            <w:hideMark/>
          </w:tcPr>
          <w:p w14:paraId="0233B99C" w14:textId="77777777" w:rsidR="00BD0FB6" w:rsidRPr="00C706B1" w:rsidRDefault="00BD0FB6" w:rsidP="00AA7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C706B1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2nd dose + 4 weeks</w:t>
            </w:r>
          </w:p>
        </w:tc>
        <w:tc>
          <w:tcPr>
            <w:tcW w:w="1044" w:type="dxa"/>
            <w:noWrap/>
            <w:vAlign w:val="center"/>
            <w:hideMark/>
          </w:tcPr>
          <w:p w14:paraId="15644F38" w14:textId="77777777" w:rsidR="00BD0FB6" w:rsidRPr="00C706B1" w:rsidRDefault="00BD0FB6" w:rsidP="00AA7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C706B1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Follow up 1</w:t>
            </w:r>
          </w:p>
        </w:tc>
        <w:tc>
          <w:tcPr>
            <w:tcW w:w="1314" w:type="dxa"/>
            <w:noWrap/>
            <w:vAlign w:val="center"/>
            <w:hideMark/>
          </w:tcPr>
          <w:p w14:paraId="443FDE01" w14:textId="77777777" w:rsidR="00BD0FB6" w:rsidRPr="00C706B1" w:rsidRDefault="00BD0FB6" w:rsidP="00AA7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C706B1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Follow up 2</w:t>
            </w:r>
          </w:p>
        </w:tc>
      </w:tr>
      <w:tr w:rsidR="00BD0FB6" w:rsidRPr="00C706B1" w14:paraId="26F20892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 w:val="restart"/>
            <w:vAlign w:val="center"/>
            <w:hideMark/>
          </w:tcPr>
          <w:p w14:paraId="3B323210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47" w:type="dxa"/>
            <w:noWrap/>
            <w:vAlign w:val="center"/>
            <w:hideMark/>
          </w:tcPr>
          <w:p w14:paraId="0FB7720C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anti-S1 IgG antibodies</w:t>
            </w:r>
          </w:p>
        </w:tc>
        <w:tc>
          <w:tcPr>
            <w:tcW w:w="1199" w:type="dxa"/>
            <w:noWrap/>
            <w:vAlign w:val="center"/>
            <w:hideMark/>
          </w:tcPr>
          <w:p w14:paraId="0B9EEEDC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96" w:type="dxa"/>
            <w:noWrap/>
            <w:vAlign w:val="center"/>
            <w:hideMark/>
          </w:tcPr>
          <w:p w14:paraId="6B3E1FBF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1600</w:t>
            </w:r>
          </w:p>
        </w:tc>
        <w:tc>
          <w:tcPr>
            <w:tcW w:w="1091" w:type="dxa"/>
            <w:noWrap/>
            <w:vAlign w:val="center"/>
            <w:hideMark/>
          </w:tcPr>
          <w:p w14:paraId="4954DA92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6400</w:t>
            </w:r>
          </w:p>
        </w:tc>
        <w:tc>
          <w:tcPr>
            <w:tcW w:w="1006" w:type="dxa"/>
            <w:noWrap/>
            <w:vAlign w:val="center"/>
            <w:hideMark/>
          </w:tcPr>
          <w:p w14:paraId="5751FA5D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6400</w:t>
            </w:r>
          </w:p>
        </w:tc>
        <w:tc>
          <w:tcPr>
            <w:tcW w:w="1044" w:type="dxa"/>
            <w:noWrap/>
            <w:vAlign w:val="center"/>
            <w:hideMark/>
          </w:tcPr>
          <w:p w14:paraId="7EFEAE21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6400</w:t>
            </w:r>
          </w:p>
        </w:tc>
        <w:tc>
          <w:tcPr>
            <w:tcW w:w="1314" w:type="dxa"/>
            <w:vAlign w:val="center"/>
            <w:hideMark/>
          </w:tcPr>
          <w:p w14:paraId="0B6B1ADB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</w:tc>
      </w:tr>
      <w:tr w:rsidR="00BD0FB6" w:rsidRPr="00C706B1" w14:paraId="77F2D42A" w14:textId="77777777" w:rsidTr="00BD0FB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2E3F87AE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5644F25B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Neutralizing antibodies (sVNT)</w:t>
            </w:r>
          </w:p>
        </w:tc>
        <w:tc>
          <w:tcPr>
            <w:tcW w:w="1199" w:type="dxa"/>
            <w:noWrap/>
            <w:vAlign w:val="center"/>
            <w:hideMark/>
          </w:tcPr>
          <w:p w14:paraId="2E12663A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96" w:type="dxa"/>
            <w:noWrap/>
            <w:vAlign w:val="center"/>
            <w:hideMark/>
          </w:tcPr>
          <w:p w14:paraId="12E87865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7B5F6C71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16D01C45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006" w:type="dxa"/>
            <w:noWrap/>
            <w:vAlign w:val="center"/>
            <w:hideMark/>
          </w:tcPr>
          <w:p w14:paraId="48D9483A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044" w:type="dxa"/>
            <w:noWrap/>
            <w:vAlign w:val="center"/>
            <w:hideMark/>
          </w:tcPr>
          <w:p w14:paraId="52B4A5A5" w14:textId="77777777" w:rsidR="00BD0FB6" w:rsidRPr="00C706B1" w:rsidRDefault="00BD0FB6" w:rsidP="00AA7C05">
            <w:pPr>
              <w:ind w:right="-3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128</w:t>
            </w:r>
          </w:p>
        </w:tc>
        <w:tc>
          <w:tcPr>
            <w:tcW w:w="1314" w:type="dxa"/>
            <w:vAlign w:val="center"/>
            <w:hideMark/>
          </w:tcPr>
          <w:p w14:paraId="77439D34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</w:tc>
      </w:tr>
      <w:tr w:rsidR="00BD0FB6" w:rsidRPr="00C706B1" w14:paraId="745E239A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39C24E43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6E4135AE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Neutralizing antibodies (cVNT)</w:t>
            </w:r>
          </w:p>
        </w:tc>
        <w:tc>
          <w:tcPr>
            <w:tcW w:w="1199" w:type="dxa"/>
            <w:noWrap/>
            <w:vAlign w:val="center"/>
            <w:hideMark/>
          </w:tcPr>
          <w:p w14:paraId="56B55024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96" w:type="dxa"/>
            <w:noWrap/>
            <w:vAlign w:val="center"/>
            <w:hideMark/>
          </w:tcPr>
          <w:p w14:paraId="04D05FB4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91" w:type="dxa"/>
            <w:noWrap/>
            <w:vAlign w:val="center"/>
            <w:hideMark/>
          </w:tcPr>
          <w:p w14:paraId="48F44213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006" w:type="dxa"/>
            <w:noWrap/>
            <w:vAlign w:val="center"/>
            <w:hideMark/>
          </w:tcPr>
          <w:p w14:paraId="5D97A9E5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44" w:type="dxa"/>
            <w:noWrap/>
            <w:vAlign w:val="center"/>
            <w:hideMark/>
          </w:tcPr>
          <w:p w14:paraId="1E5D8B9D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1314" w:type="dxa"/>
            <w:vAlign w:val="center"/>
            <w:hideMark/>
          </w:tcPr>
          <w:p w14:paraId="05C1BC36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</w:tc>
      </w:tr>
      <w:tr w:rsidR="00BD0FB6" w:rsidRPr="00C706B1" w14:paraId="0E3A79F6" w14:textId="77777777" w:rsidTr="00BD0FB6">
        <w:trPr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5A88CFCB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4D987A88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Fold change of IFN-g+ SFCs (15-mer)</w:t>
            </w:r>
          </w:p>
        </w:tc>
        <w:tc>
          <w:tcPr>
            <w:tcW w:w="1199" w:type="dxa"/>
            <w:noWrap/>
            <w:vAlign w:val="center"/>
            <w:hideMark/>
          </w:tcPr>
          <w:p w14:paraId="6DA1A0CD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96" w:type="dxa"/>
            <w:noWrap/>
            <w:vAlign w:val="center"/>
            <w:hideMark/>
          </w:tcPr>
          <w:p w14:paraId="6CA2B9CD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39BEEBE1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6C6BDAB2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24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06" w:type="dxa"/>
            <w:noWrap/>
            <w:vAlign w:val="center"/>
            <w:hideMark/>
          </w:tcPr>
          <w:p w14:paraId="00B1D534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44" w:type="dxa"/>
            <w:noWrap/>
            <w:vAlign w:val="center"/>
            <w:hideMark/>
          </w:tcPr>
          <w:p w14:paraId="414CED27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3F32D307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314" w:type="dxa"/>
            <w:vAlign w:val="center"/>
            <w:hideMark/>
          </w:tcPr>
          <w:p w14:paraId="1BD67B07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</w:tc>
      </w:tr>
      <w:tr w:rsidR="00BD0FB6" w:rsidRPr="00C706B1" w14:paraId="467D611E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7465919B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778FCCD5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Fold change of IFN-g+ SFCs (9 to 11-mer)</w:t>
            </w:r>
          </w:p>
        </w:tc>
        <w:tc>
          <w:tcPr>
            <w:tcW w:w="1199" w:type="dxa"/>
            <w:noWrap/>
            <w:vAlign w:val="center"/>
            <w:hideMark/>
          </w:tcPr>
          <w:p w14:paraId="62B20C60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96" w:type="dxa"/>
            <w:noWrap/>
            <w:vAlign w:val="center"/>
            <w:hideMark/>
          </w:tcPr>
          <w:p w14:paraId="6391A899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65FDDABC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56BD4060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142</w:t>
            </w:r>
          </w:p>
        </w:tc>
        <w:tc>
          <w:tcPr>
            <w:tcW w:w="1006" w:type="dxa"/>
            <w:noWrap/>
            <w:vAlign w:val="center"/>
            <w:hideMark/>
          </w:tcPr>
          <w:p w14:paraId="355B9A29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44" w:type="dxa"/>
            <w:noWrap/>
            <w:vAlign w:val="center"/>
            <w:hideMark/>
          </w:tcPr>
          <w:p w14:paraId="1635F755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2F5E2297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314" w:type="dxa"/>
            <w:vAlign w:val="center"/>
            <w:hideMark/>
          </w:tcPr>
          <w:p w14:paraId="4961C2DC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</w:tc>
      </w:tr>
      <w:tr w:rsidR="00BD0FB6" w:rsidRPr="00C706B1" w14:paraId="689BBE61" w14:textId="77777777" w:rsidTr="00BD0FB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 w:val="restart"/>
            <w:vAlign w:val="center"/>
            <w:hideMark/>
          </w:tcPr>
          <w:p w14:paraId="530384A7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47" w:type="dxa"/>
            <w:noWrap/>
            <w:vAlign w:val="center"/>
            <w:hideMark/>
          </w:tcPr>
          <w:p w14:paraId="4904E2D1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anti-S1 IgG antibodies</w:t>
            </w:r>
          </w:p>
        </w:tc>
        <w:tc>
          <w:tcPr>
            <w:tcW w:w="1199" w:type="dxa"/>
            <w:noWrap/>
            <w:vAlign w:val="center"/>
            <w:hideMark/>
          </w:tcPr>
          <w:p w14:paraId="5B7E5832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96" w:type="dxa"/>
            <w:noWrap/>
            <w:vAlign w:val="center"/>
            <w:hideMark/>
          </w:tcPr>
          <w:p w14:paraId="190A6210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91" w:type="dxa"/>
            <w:noWrap/>
            <w:vAlign w:val="center"/>
            <w:hideMark/>
          </w:tcPr>
          <w:p w14:paraId="3E60C8DE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06" w:type="dxa"/>
            <w:noWrap/>
            <w:vAlign w:val="center"/>
            <w:hideMark/>
          </w:tcPr>
          <w:p w14:paraId="2206CA50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44" w:type="dxa"/>
            <w:noWrap/>
            <w:vAlign w:val="center"/>
            <w:hideMark/>
          </w:tcPr>
          <w:p w14:paraId="798C147C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314" w:type="dxa"/>
            <w:noWrap/>
            <w:vAlign w:val="center"/>
            <w:hideMark/>
          </w:tcPr>
          <w:p w14:paraId="0DFAC672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</w:tr>
      <w:tr w:rsidR="00BD0FB6" w:rsidRPr="00C706B1" w14:paraId="03CC2DB5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39E38D91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69BAD6F4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Neutralizing antibodies (sVNT)</w:t>
            </w:r>
          </w:p>
        </w:tc>
        <w:tc>
          <w:tcPr>
            <w:tcW w:w="1199" w:type="dxa"/>
            <w:noWrap/>
            <w:vAlign w:val="center"/>
            <w:hideMark/>
          </w:tcPr>
          <w:p w14:paraId="3FD54255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96" w:type="dxa"/>
            <w:noWrap/>
            <w:vAlign w:val="center"/>
            <w:hideMark/>
          </w:tcPr>
          <w:p w14:paraId="735E7BBC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0ABDD8BB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3030341C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06" w:type="dxa"/>
            <w:noWrap/>
            <w:vAlign w:val="center"/>
            <w:hideMark/>
          </w:tcPr>
          <w:p w14:paraId="444BD629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44" w:type="dxa"/>
            <w:noWrap/>
            <w:vAlign w:val="center"/>
            <w:hideMark/>
          </w:tcPr>
          <w:p w14:paraId="2C63C161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14" w:type="dxa"/>
            <w:noWrap/>
            <w:vAlign w:val="center"/>
            <w:hideMark/>
          </w:tcPr>
          <w:p w14:paraId="09FE81F4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</w:tr>
      <w:tr w:rsidR="00BD0FB6" w:rsidRPr="00C706B1" w14:paraId="079B1361" w14:textId="77777777" w:rsidTr="00BD0FB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4B0237D8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2F253110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Neutralizing antibodies (cVNT)</w:t>
            </w:r>
          </w:p>
        </w:tc>
        <w:tc>
          <w:tcPr>
            <w:tcW w:w="1199" w:type="dxa"/>
            <w:noWrap/>
            <w:vAlign w:val="center"/>
            <w:hideMark/>
          </w:tcPr>
          <w:p w14:paraId="40D7F340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96" w:type="dxa"/>
            <w:noWrap/>
            <w:vAlign w:val="center"/>
            <w:hideMark/>
          </w:tcPr>
          <w:p w14:paraId="379BC02F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6D288E0F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47DEBE20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06" w:type="dxa"/>
            <w:noWrap/>
            <w:vAlign w:val="center"/>
            <w:hideMark/>
          </w:tcPr>
          <w:p w14:paraId="4730A206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44" w:type="dxa"/>
            <w:noWrap/>
            <w:vAlign w:val="center"/>
            <w:hideMark/>
          </w:tcPr>
          <w:p w14:paraId="2FC49633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314" w:type="dxa"/>
            <w:noWrap/>
            <w:vAlign w:val="center"/>
            <w:hideMark/>
          </w:tcPr>
          <w:p w14:paraId="23C2EA16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32</w:t>
            </w:r>
          </w:p>
        </w:tc>
      </w:tr>
      <w:tr w:rsidR="00BD0FB6" w:rsidRPr="00C706B1" w14:paraId="685A9CD4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63432B5B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22E327F7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Fold change of IFN-g+ SFCs (15-mer)</w:t>
            </w:r>
          </w:p>
        </w:tc>
        <w:tc>
          <w:tcPr>
            <w:tcW w:w="1199" w:type="dxa"/>
            <w:noWrap/>
            <w:vAlign w:val="center"/>
            <w:hideMark/>
          </w:tcPr>
          <w:p w14:paraId="7F80E367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96" w:type="dxa"/>
            <w:noWrap/>
            <w:vAlign w:val="center"/>
            <w:hideMark/>
          </w:tcPr>
          <w:p w14:paraId="0EA0DADC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4BF8E7E3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26E4D19F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06" w:type="dxa"/>
            <w:noWrap/>
            <w:vAlign w:val="center"/>
            <w:hideMark/>
          </w:tcPr>
          <w:p w14:paraId="334A98A7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044" w:type="dxa"/>
            <w:noWrap/>
            <w:vAlign w:val="center"/>
            <w:hideMark/>
          </w:tcPr>
          <w:p w14:paraId="4FCF1AFB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574AE0A1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4" w:type="dxa"/>
            <w:noWrap/>
            <w:vAlign w:val="center"/>
            <w:hideMark/>
          </w:tcPr>
          <w:p w14:paraId="6E986B55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02</w:t>
            </w:r>
          </w:p>
        </w:tc>
      </w:tr>
      <w:tr w:rsidR="00BD0FB6" w:rsidRPr="00C706B1" w14:paraId="50DCA790" w14:textId="77777777" w:rsidTr="00BD0FB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773F6214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55A29D23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Fold change of IFN-g+ SFCs (9 to 11-mer)</w:t>
            </w:r>
          </w:p>
        </w:tc>
        <w:tc>
          <w:tcPr>
            <w:tcW w:w="1199" w:type="dxa"/>
            <w:noWrap/>
            <w:vAlign w:val="center"/>
            <w:hideMark/>
          </w:tcPr>
          <w:p w14:paraId="5A733BED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96" w:type="dxa"/>
            <w:noWrap/>
            <w:vAlign w:val="center"/>
            <w:hideMark/>
          </w:tcPr>
          <w:p w14:paraId="11CEE8BD" w14:textId="77777777" w:rsidR="00BD0FB6" w:rsidRPr="00AA7C05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7C05">
              <w:rPr>
                <w:sz w:val="16"/>
                <w:szCs w:val="16"/>
              </w:rPr>
              <w:t>··</w:t>
            </w:r>
          </w:p>
          <w:p w14:paraId="49C354E1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659C1ABF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006" w:type="dxa"/>
            <w:noWrap/>
            <w:vAlign w:val="center"/>
            <w:hideMark/>
          </w:tcPr>
          <w:p w14:paraId="30BAF784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044" w:type="dxa"/>
            <w:noWrap/>
            <w:vAlign w:val="center"/>
            <w:hideMark/>
          </w:tcPr>
          <w:p w14:paraId="0FB64C89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5FA2E57B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4" w:type="dxa"/>
            <w:noWrap/>
            <w:vAlign w:val="center"/>
            <w:hideMark/>
          </w:tcPr>
          <w:p w14:paraId="074A84FE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05</w:t>
            </w:r>
          </w:p>
        </w:tc>
      </w:tr>
      <w:tr w:rsidR="00BD0FB6" w:rsidRPr="00C706B1" w14:paraId="6AC986BC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 w:val="restart"/>
            <w:vAlign w:val="center"/>
            <w:hideMark/>
          </w:tcPr>
          <w:p w14:paraId="3C152E5B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47" w:type="dxa"/>
            <w:noWrap/>
            <w:vAlign w:val="center"/>
            <w:hideMark/>
          </w:tcPr>
          <w:p w14:paraId="13A03A3E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anti-S1 IgG antibodies</w:t>
            </w:r>
          </w:p>
        </w:tc>
        <w:tc>
          <w:tcPr>
            <w:tcW w:w="1199" w:type="dxa"/>
            <w:noWrap/>
            <w:vAlign w:val="center"/>
            <w:hideMark/>
          </w:tcPr>
          <w:p w14:paraId="04E7268E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96" w:type="dxa"/>
            <w:noWrap/>
            <w:vAlign w:val="center"/>
            <w:hideMark/>
          </w:tcPr>
          <w:p w14:paraId="32BEDABF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91" w:type="dxa"/>
            <w:noWrap/>
            <w:vAlign w:val="center"/>
            <w:hideMark/>
          </w:tcPr>
          <w:p w14:paraId="5EDA9DF6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1200</w:t>
            </w:r>
          </w:p>
        </w:tc>
        <w:tc>
          <w:tcPr>
            <w:tcW w:w="1006" w:type="dxa"/>
            <w:noWrap/>
            <w:vAlign w:val="center"/>
            <w:hideMark/>
          </w:tcPr>
          <w:p w14:paraId="03EAD8A3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3200</w:t>
            </w:r>
          </w:p>
        </w:tc>
        <w:tc>
          <w:tcPr>
            <w:tcW w:w="1044" w:type="dxa"/>
            <w:noWrap/>
            <w:vAlign w:val="center"/>
            <w:hideMark/>
          </w:tcPr>
          <w:p w14:paraId="638598C3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6400</w:t>
            </w:r>
          </w:p>
        </w:tc>
        <w:tc>
          <w:tcPr>
            <w:tcW w:w="1314" w:type="dxa"/>
            <w:noWrap/>
            <w:vAlign w:val="center"/>
            <w:hideMark/>
          </w:tcPr>
          <w:p w14:paraId="17426FD9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6400</w:t>
            </w:r>
          </w:p>
        </w:tc>
      </w:tr>
      <w:tr w:rsidR="00BD0FB6" w:rsidRPr="00C706B1" w14:paraId="699232AA" w14:textId="77777777" w:rsidTr="00BD0FB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5042CF42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2E1605A6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Neutralizing antibodies (sVNT)</w:t>
            </w:r>
          </w:p>
        </w:tc>
        <w:tc>
          <w:tcPr>
            <w:tcW w:w="1199" w:type="dxa"/>
            <w:noWrap/>
            <w:vAlign w:val="center"/>
            <w:hideMark/>
          </w:tcPr>
          <w:p w14:paraId="1DE36FA6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96" w:type="dxa"/>
            <w:noWrap/>
            <w:vAlign w:val="center"/>
            <w:hideMark/>
          </w:tcPr>
          <w:p w14:paraId="393EEB94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3DE0500D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616BE0E8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06" w:type="dxa"/>
            <w:noWrap/>
            <w:vAlign w:val="center"/>
            <w:hideMark/>
          </w:tcPr>
          <w:p w14:paraId="02A00A7D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44" w:type="dxa"/>
            <w:noWrap/>
            <w:vAlign w:val="center"/>
            <w:hideMark/>
          </w:tcPr>
          <w:p w14:paraId="50BF0798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512</w:t>
            </w:r>
          </w:p>
        </w:tc>
        <w:tc>
          <w:tcPr>
            <w:tcW w:w="1314" w:type="dxa"/>
            <w:noWrap/>
            <w:vAlign w:val="center"/>
            <w:hideMark/>
          </w:tcPr>
          <w:p w14:paraId="4B93362D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512</w:t>
            </w:r>
          </w:p>
        </w:tc>
      </w:tr>
      <w:tr w:rsidR="00BD0FB6" w:rsidRPr="00C706B1" w14:paraId="3D1DBD3C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28AE8730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4A8517B3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Neutralizing antibodies (cVNT)</w:t>
            </w:r>
          </w:p>
        </w:tc>
        <w:tc>
          <w:tcPr>
            <w:tcW w:w="1199" w:type="dxa"/>
            <w:noWrap/>
            <w:vAlign w:val="center"/>
            <w:hideMark/>
          </w:tcPr>
          <w:p w14:paraId="6EEB1101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96" w:type="dxa"/>
            <w:noWrap/>
            <w:vAlign w:val="center"/>
            <w:hideMark/>
          </w:tcPr>
          <w:p w14:paraId="4AF8518B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335D16D7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15420BAD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006" w:type="dxa"/>
            <w:noWrap/>
            <w:vAlign w:val="center"/>
            <w:hideMark/>
          </w:tcPr>
          <w:p w14:paraId="21C6AFF6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044" w:type="dxa"/>
            <w:noWrap/>
            <w:vAlign w:val="center"/>
            <w:hideMark/>
          </w:tcPr>
          <w:p w14:paraId="5E59281D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128</w:t>
            </w:r>
          </w:p>
        </w:tc>
        <w:tc>
          <w:tcPr>
            <w:tcW w:w="1314" w:type="dxa"/>
            <w:noWrap/>
            <w:vAlign w:val="center"/>
            <w:hideMark/>
          </w:tcPr>
          <w:p w14:paraId="1D64BFC5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512</w:t>
            </w:r>
          </w:p>
        </w:tc>
      </w:tr>
      <w:tr w:rsidR="00BD0FB6" w:rsidRPr="00C706B1" w14:paraId="79B71F3F" w14:textId="77777777" w:rsidTr="00BD0FB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38F18A61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25566E14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Fold change of IFN-g+ SFCs (15-mer)</w:t>
            </w:r>
          </w:p>
        </w:tc>
        <w:tc>
          <w:tcPr>
            <w:tcW w:w="1199" w:type="dxa"/>
            <w:noWrap/>
            <w:vAlign w:val="center"/>
            <w:hideMark/>
          </w:tcPr>
          <w:p w14:paraId="7FC9A9A3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96" w:type="dxa"/>
            <w:noWrap/>
            <w:vAlign w:val="center"/>
            <w:hideMark/>
          </w:tcPr>
          <w:p w14:paraId="767DD124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53CD46E4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05257991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006" w:type="dxa"/>
            <w:noWrap/>
            <w:vAlign w:val="center"/>
            <w:hideMark/>
          </w:tcPr>
          <w:p w14:paraId="09B54FE6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44" w:type="dxa"/>
            <w:noWrap/>
            <w:vAlign w:val="center"/>
            <w:hideMark/>
          </w:tcPr>
          <w:p w14:paraId="0BC6E214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14" w:type="dxa"/>
            <w:noWrap/>
            <w:vAlign w:val="center"/>
            <w:hideMark/>
          </w:tcPr>
          <w:p w14:paraId="67DBE398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40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</w:tr>
      <w:tr w:rsidR="00BD0FB6" w:rsidRPr="00C706B1" w14:paraId="4AB735B8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0136BCB6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2BF2394E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Fold change of IFN-g+ SFCs (9 to 11-mer)</w:t>
            </w:r>
          </w:p>
        </w:tc>
        <w:tc>
          <w:tcPr>
            <w:tcW w:w="1199" w:type="dxa"/>
            <w:noWrap/>
            <w:vAlign w:val="center"/>
            <w:hideMark/>
          </w:tcPr>
          <w:p w14:paraId="068D3F1B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96" w:type="dxa"/>
            <w:noWrap/>
            <w:vAlign w:val="center"/>
            <w:hideMark/>
          </w:tcPr>
          <w:p w14:paraId="73BA9EA6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59653276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1A4DCD88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1006" w:type="dxa"/>
            <w:noWrap/>
            <w:vAlign w:val="center"/>
            <w:hideMark/>
          </w:tcPr>
          <w:p w14:paraId="35D2AD21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1044" w:type="dxa"/>
            <w:noWrap/>
            <w:vAlign w:val="center"/>
            <w:hideMark/>
          </w:tcPr>
          <w:p w14:paraId="6E4892D8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314" w:type="dxa"/>
            <w:noWrap/>
            <w:vAlign w:val="center"/>
            <w:hideMark/>
          </w:tcPr>
          <w:p w14:paraId="713649B9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</w:tr>
      <w:tr w:rsidR="00BD0FB6" w:rsidRPr="00C706B1" w14:paraId="6C3D27CF" w14:textId="77777777" w:rsidTr="00BD0FB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 w:val="restart"/>
            <w:vAlign w:val="center"/>
            <w:hideMark/>
          </w:tcPr>
          <w:p w14:paraId="7194A2E4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47" w:type="dxa"/>
            <w:noWrap/>
            <w:vAlign w:val="center"/>
            <w:hideMark/>
          </w:tcPr>
          <w:p w14:paraId="6E39F6DE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anti-S1 IgG antibodies</w:t>
            </w:r>
          </w:p>
        </w:tc>
        <w:tc>
          <w:tcPr>
            <w:tcW w:w="1199" w:type="dxa"/>
            <w:noWrap/>
            <w:vAlign w:val="center"/>
            <w:hideMark/>
          </w:tcPr>
          <w:p w14:paraId="40C08E2C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96" w:type="dxa"/>
            <w:noWrap/>
            <w:vAlign w:val="center"/>
            <w:hideMark/>
          </w:tcPr>
          <w:p w14:paraId="361AFAA3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91" w:type="dxa"/>
            <w:noWrap/>
            <w:vAlign w:val="center"/>
            <w:hideMark/>
          </w:tcPr>
          <w:p w14:paraId="440E1216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06" w:type="dxa"/>
            <w:noWrap/>
            <w:vAlign w:val="center"/>
            <w:hideMark/>
          </w:tcPr>
          <w:p w14:paraId="6AD8ABC8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44" w:type="dxa"/>
            <w:noWrap/>
            <w:vAlign w:val="center"/>
            <w:hideMark/>
          </w:tcPr>
          <w:p w14:paraId="1543170A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6400</w:t>
            </w:r>
          </w:p>
        </w:tc>
        <w:tc>
          <w:tcPr>
            <w:tcW w:w="1314" w:type="dxa"/>
            <w:noWrap/>
            <w:vAlign w:val="center"/>
            <w:hideMark/>
          </w:tcPr>
          <w:p w14:paraId="49D78604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6400</w:t>
            </w:r>
          </w:p>
        </w:tc>
      </w:tr>
      <w:tr w:rsidR="00BD0FB6" w:rsidRPr="00C706B1" w14:paraId="240F20A4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012D20AC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3B4B0C53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Neutralizing antibodies (sVNT)</w:t>
            </w:r>
          </w:p>
        </w:tc>
        <w:tc>
          <w:tcPr>
            <w:tcW w:w="1199" w:type="dxa"/>
            <w:noWrap/>
            <w:vAlign w:val="center"/>
            <w:hideMark/>
          </w:tcPr>
          <w:p w14:paraId="49249B94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96" w:type="dxa"/>
            <w:noWrap/>
            <w:vAlign w:val="center"/>
            <w:hideMark/>
          </w:tcPr>
          <w:p w14:paraId="1C715063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4225B4B7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3B92A6A6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06" w:type="dxa"/>
            <w:noWrap/>
            <w:vAlign w:val="center"/>
            <w:hideMark/>
          </w:tcPr>
          <w:p w14:paraId="041003CD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44" w:type="dxa"/>
            <w:noWrap/>
            <w:vAlign w:val="center"/>
            <w:hideMark/>
          </w:tcPr>
          <w:p w14:paraId="756E8C9C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1024</w:t>
            </w:r>
          </w:p>
        </w:tc>
        <w:tc>
          <w:tcPr>
            <w:tcW w:w="1314" w:type="dxa"/>
            <w:noWrap/>
            <w:vAlign w:val="center"/>
            <w:hideMark/>
          </w:tcPr>
          <w:p w14:paraId="2D154545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2048</w:t>
            </w:r>
          </w:p>
        </w:tc>
      </w:tr>
      <w:tr w:rsidR="00BD0FB6" w:rsidRPr="00C706B1" w14:paraId="6A35D930" w14:textId="77777777" w:rsidTr="00BD0FB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7363EC5F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5B6FEC93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Neutralizing antibodies (cVNT)</w:t>
            </w:r>
          </w:p>
        </w:tc>
        <w:tc>
          <w:tcPr>
            <w:tcW w:w="1199" w:type="dxa"/>
            <w:noWrap/>
            <w:vAlign w:val="center"/>
            <w:hideMark/>
          </w:tcPr>
          <w:p w14:paraId="6FD3AB2D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96" w:type="dxa"/>
            <w:noWrap/>
            <w:vAlign w:val="center"/>
            <w:hideMark/>
          </w:tcPr>
          <w:p w14:paraId="265ACD24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047CB839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3FB40387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06" w:type="dxa"/>
            <w:noWrap/>
            <w:vAlign w:val="center"/>
            <w:hideMark/>
          </w:tcPr>
          <w:p w14:paraId="77F81AF2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44" w:type="dxa"/>
            <w:noWrap/>
            <w:vAlign w:val="center"/>
            <w:hideMark/>
          </w:tcPr>
          <w:p w14:paraId="042EAC01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512</w:t>
            </w:r>
          </w:p>
        </w:tc>
        <w:tc>
          <w:tcPr>
            <w:tcW w:w="1314" w:type="dxa"/>
            <w:noWrap/>
            <w:vAlign w:val="center"/>
            <w:hideMark/>
          </w:tcPr>
          <w:p w14:paraId="0D896008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512</w:t>
            </w:r>
          </w:p>
        </w:tc>
      </w:tr>
      <w:tr w:rsidR="00BD0FB6" w:rsidRPr="00C706B1" w14:paraId="3C56EFD7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2ED9EED0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79AB7C5F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Fold change of IFN-g+ SFCs (15-mer)</w:t>
            </w:r>
          </w:p>
        </w:tc>
        <w:tc>
          <w:tcPr>
            <w:tcW w:w="1199" w:type="dxa"/>
            <w:noWrap/>
            <w:vAlign w:val="center"/>
            <w:hideMark/>
          </w:tcPr>
          <w:p w14:paraId="42CF4E69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96" w:type="dxa"/>
            <w:noWrap/>
            <w:vAlign w:val="center"/>
            <w:hideMark/>
          </w:tcPr>
          <w:p w14:paraId="25FFDC66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63B70F1E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00CBD87B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06" w:type="dxa"/>
            <w:noWrap/>
            <w:vAlign w:val="center"/>
            <w:hideMark/>
          </w:tcPr>
          <w:p w14:paraId="273C8D59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0.3</w:t>
            </w:r>
          </w:p>
        </w:tc>
        <w:tc>
          <w:tcPr>
            <w:tcW w:w="1044" w:type="dxa"/>
            <w:noWrap/>
            <w:vAlign w:val="center"/>
            <w:hideMark/>
          </w:tcPr>
          <w:p w14:paraId="59075EAE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314" w:type="dxa"/>
            <w:noWrap/>
            <w:vAlign w:val="center"/>
            <w:hideMark/>
          </w:tcPr>
          <w:p w14:paraId="0AC82C44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95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</w:tr>
      <w:tr w:rsidR="00BD0FB6" w:rsidRPr="00C706B1" w14:paraId="1A4E321E" w14:textId="77777777" w:rsidTr="00BD0FB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6E3BDB5A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095AFA25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Fold change of IFN-g+ SFCs (9 to 11-mer)</w:t>
            </w:r>
          </w:p>
        </w:tc>
        <w:tc>
          <w:tcPr>
            <w:tcW w:w="1199" w:type="dxa"/>
            <w:noWrap/>
            <w:vAlign w:val="center"/>
            <w:hideMark/>
          </w:tcPr>
          <w:p w14:paraId="023B0708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96" w:type="dxa"/>
            <w:noWrap/>
            <w:vAlign w:val="center"/>
            <w:hideMark/>
          </w:tcPr>
          <w:p w14:paraId="2D896A1E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0BB8BAD3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48E3E46D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06" w:type="dxa"/>
            <w:noWrap/>
            <w:vAlign w:val="center"/>
            <w:hideMark/>
          </w:tcPr>
          <w:p w14:paraId="69BF1724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44" w:type="dxa"/>
            <w:noWrap/>
            <w:vAlign w:val="center"/>
            <w:hideMark/>
          </w:tcPr>
          <w:p w14:paraId="62E7AF58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314" w:type="dxa"/>
            <w:noWrap/>
            <w:vAlign w:val="center"/>
            <w:hideMark/>
          </w:tcPr>
          <w:p w14:paraId="6D3EB90E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</w:tr>
      <w:tr w:rsidR="00BD0FB6" w:rsidRPr="00C706B1" w14:paraId="010D11DB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 w:val="restart"/>
            <w:vAlign w:val="center"/>
            <w:hideMark/>
          </w:tcPr>
          <w:p w14:paraId="44E56F42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47" w:type="dxa"/>
            <w:noWrap/>
            <w:vAlign w:val="center"/>
            <w:hideMark/>
          </w:tcPr>
          <w:p w14:paraId="30E9FFF5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anti-S1 IgG antibodies</w:t>
            </w:r>
          </w:p>
        </w:tc>
        <w:tc>
          <w:tcPr>
            <w:tcW w:w="1199" w:type="dxa"/>
            <w:noWrap/>
            <w:vAlign w:val="center"/>
            <w:hideMark/>
          </w:tcPr>
          <w:p w14:paraId="1C0D30B3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96" w:type="dxa"/>
            <w:noWrap/>
            <w:vAlign w:val="center"/>
            <w:hideMark/>
          </w:tcPr>
          <w:p w14:paraId="4111FC93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800</w:t>
            </w:r>
          </w:p>
        </w:tc>
        <w:tc>
          <w:tcPr>
            <w:tcW w:w="1091" w:type="dxa"/>
            <w:noWrap/>
            <w:vAlign w:val="center"/>
            <w:hideMark/>
          </w:tcPr>
          <w:p w14:paraId="6A135A0F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6400</w:t>
            </w:r>
          </w:p>
        </w:tc>
        <w:tc>
          <w:tcPr>
            <w:tcW w:w="1006" w:type="dxa"/>
            <w:noWrap/>
            <w:vAlign w:val="center"/>
            <w:hideMark/>
          </w:tcPr>
          <w:p w14:paraId="0372D64F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6400</w:t>
            </w:r>
          </w:p>
        </w:tc>
        <w:tc>
          <w:tcPr>
            <w:tcW w:w="1044" w:type="dxa"/>
            <w:noWrap/>
            <w:vAlign w:val="center"/>
            <w:hideMark/>
          </w:tcPr>
          <w:p w14:paraId="6794348B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6400</w:t>
            </w:r>
          </w:p>
        </w:tc>
        <w:tc>
          <w:tcPr>
            <w:tcW w:w="1314" w:type="dxa"/>
            <w:noWrap/>
            <w:vAlign w:val="center"/>
            <w:hideMark/>
          </w:tcPr>
          <w:p w14:paraId="3BB099E7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6400</w:t>
            </w:r>
          </w:p>
        </w:tc>
      </w:tr>
      <w:tr w:rsidR="00BD0FB6" w:rsidRPr="00C706B1" w14:paraId="4B6B03E8" w14:textId="77777777" w:rsidTr="00BD0FB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6D72B75A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64F0EBC2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Neutralizing antibodies (sVNT)</w:t>
            </w:r>
          </w:p>
        </w:tc>
        <w:tc>
          <w:tcPr>
            <w:tcW w:w="1199" w:type="dxa"/>
            <w:noWrap/>
            <w:vAlign w:val="center"/>
            <w:hideMark/>
          </w:tcPr>
          <w:p w14:paraId="099164CB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96" w:type="dxa"/>
            <w:noWrap/>
            <w:vAlign w:val="center"/>
            <w:hideMark/>
          </w:tcPr>
          <w:p w14:paraId="29D48821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59771F4C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49F8811F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1006" w:type="dxa"/>
            <w:noWrap/>
            <w:vAlign w:val="center"/>
            <w:hideMark/>
          </w:tcPr>
          <w:p w14:paraId="5D7E6C49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1044" w:type="dxa"/>
            <w:noWrap/>
            <w:vAlign w:val="center"/>
            <w:hideMark/>
          </w:tcPr>
          <w:p w14:paraId="560D072F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512</w:t>
            </w:r>
          </w:p>
        </w:tc>
        <w:tc>
          <w:tcPr>
            <w:tcW w:w="1314" w:type="dxa"/>
            <w:noWrap/>
            <w:vAlign w:val="center"/>
            <w:hideMark/>
          </w:tcPr>
          <w:p w14:paraId="4CD967AC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1024</w:t>
            </w:r>
          </w:p>
        </w:tc>
      </w:tr>
      <w:tr w:rsidR="00BD0FB6" w:rsidRPr="00C706B1" w14:paraId="6E621DBC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6381ADA0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00EEC4DF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Neutralizing antibodies (cVNT)</w:t>
            </w:r>
          </w:p>
        </w:tc>
        <w:tc>
          <w:tcPr>
            <w:tcW w:w="1199" w:type="dxa"/>
            <w:noWrap/>
            <w:vAlign w:val="center"/>
            <w:hideMark/>
          </w:tcPr>
          <w:p w14:paraId="63034825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96" w:type="dxa"/>
            <w:noWrap/>
            <w:vAlign w:val="center"/>
            <w:hideMark/>
          </w:tcPr>
          <w:p w14:paraId="0FF3A8EF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11A49093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714B1045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06" w:type="dxa"/>
            <w:noWrap/>
            <w:vAlign w:val="center"/>
            <w:hideMark/>
          </w:tcPr>
          <w:p w14:paraId="67BC2219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44" w:type="dxa"/>
            <w:noWrap/>
            <w:vAlign w:val="center"/>
            <w:hideMark/>
          </w:tcPr>
          <w:p w14:paraId="3774FCD0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1314" w:type="dxa"/>
            <w:noWrap/>
            <w:vAlign w:val="center"/>
            <w:hideMark/>
          </w:tcPr>
          <w:p w14:paraId="1E138856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512</w:t>
            </w:r>
          </w:p>
        </w:tc>
      </w:tr>
      <w:tr w:rsidR="00BD0FB6" w:rsidRPr="00C706B1" w14:paraId="1A4D9FC2" w14:textId="77777777" w:rsidTr="00BD0FB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451BB4FA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52FAA214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Fold change of IFN-g+ SFCs (15-mer)</w:t>
            </w:r>
          </w:p>
        </w:tc>
        <w:tc>
          <w:tcPr>
            <w:tcW w:w="1199" w:type="dxa"/>
            <w:noWrap/>
            <w:vAlign w:val="center"/>
            <w:hideMark/>
          </w:tcPr>
          <w:p w14:paraId="7428A923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96" w:type="dxa"/>
            <w:noWrap/>
            <w:vAlign w:val="center"/>
            <w:hideMark/>
          </w:tcPr>
          <w:p w14:paraId="56ED95AE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739418B0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13840809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1006" w:type="dxa"/>
            <w:noWrap/>
            <w:vAlign w:val="center"/>
            <w:hideMark/>
          </w:tcPr>
          <w:p w14:paraId="4B34EA8E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1044" w:type="dxa"/>
            <w:noWrap/>
            <w:vAlign w:val="center"/>
            <w:hideMark/>
          </w:tcPr>
          <w:p w14:paraId="481726A6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1314" w:type="dxa"/>
            <w:noWrap/>
            <w:vAlign w:val="center"/>
            <w:hideMark/>
          </w:tcPr>
          <w:p w14:paraId="3B3278B6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38</w:t>
            </w:r>
          </w:p>
        </w:tc>
      </w:tr>
      <w:tr w:rsidR="00BD0FB6" w:rsidRPr="00C706B1" w14:paraId="45B2469F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2EF68D73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439D428E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Fold change of IFN-g+ SFCs (9 to 11-mer)</w:t>
            </w:r>
          </w:p>
        </w:tc>
        <w:tc>
          <w:tcPr>
            <w:tcW w:w="1199" w:type="dxa"/>
            <w:noWrap/>
            <w:vAlign w:val="center"/>
            <w:hideMark/>
          </w:tcPr>
          <w:p w14:paraId="030F09E5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96" w:type="dxa"/>
            <w:noWrap/>
            <w:vAlign w:val="center"/>
            <w:hideMark/>
          </w:tcPr>
          <w:p w14:paraId="72FB5487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2EE6C40B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65FBB448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006" w:type="dxa"/>
            <w:noWrap/>
            <w:vAlign w:val="center"/>
            <w:hideMark/>
          </w:tcPr>
          <w:p w14:paraId="044029A4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44" w:type="dxa"/>
            <w:noWrap/>
            <w:vAlign w:val="center"/>
            <w:hideMark/>
          </w:tcPr>
          <w:p w14:paraId="2C8A393E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14" w:type="dxa"/>
            <w:noWrap/>
            <w:vAlign w:val="center"/>
            <w:hideMark/>
          </w:tcPr>
          <w:p w14:paraId="4DC2CFFF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67</w:t>
            </w:r>
          </w:p>
        </w:tc>
      </w:tr>
      <w:tr w:rsidR="00BD0FB6" w:rsidRPr="00C706B1" w14:paraId="336C696F" w14:textId="77777777" w:rsidTr="00BD0FB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 w:val="restart"/>
            <w:vAlign w:val="center"/>
            <w:hideMark/>
          </w:tcPr>
          <w:p w14:paraId="634C2B8F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47" w:type="dxa"/>
            <w:noWrap/>
            <w:vAlign w:val="center"/>
            <w:hideMark/>
          </w:tcPr>
          <w:p w14:paraId="7C2FF911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anti-S1 IgG antibodies</w:t>
            </w:r>
          </w:p>
        </w:tc>
        <w:tc>
          <w:tcPr>
            <w:tcW w:w="1199" w:type="dxa"/>
            <w:noWrap/>
            <w:vAlign w:val="center"/>
            <w:hideMark/>
          </w:tcPr>
          <w:p w14:paraId="57730580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96" w:type="dxa"/>
            <w:noWrap/>
            <w:vAlign w:val="center"/>
            <w:hideMark/>
          </w:tcPr>
          <w:p w14:paraId="72A6D0F2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91" w:type="dxa"/>
            <w:noWrap/>
            <w:vAlign w:val="center"/>
            <w:hideMark/>
          </w:tcPr>
          <w:p w14:paraId="04AABEC4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06" w:type="dxa"/>
            <w:noWrap/>
            <w:vAlign w:val="center"/>
            <w:hideMark/>
          </w:tcPr>
          <w:p w14:paraId="25651994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44" w:type="dxa"/>
            <w:noWrap/>
            <w:vAlign w:val="center"/>
            <w:hideMark/>
          </w:tcPr>
          <w:p w14:paraId="32931B55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314" w:type="dxa"/>
            <w:noWrap/>
            <w:vAlign w:val="center"/>
            <w:hideMark/>
          </w:tcPr>
          <w:p w14:paraId="508C5A2E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</w:tr>
      <w:tr w:rsidR="00BD0FB6" w:rsidRPr="00C706B1" w14:paraId="63E3ADF9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61158F2E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1322B8F9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Neutralizing antibodies (sVNT)</w:t>
            </w:r>
          </w:p>
        </w:tc>
        <w:tc>
          <w:tcPr>
            <w:tcW w:w="1199" w:type="dxa"/>
            <w:noWrap/>
            <w:vAlign w:val="center"/>
            <w:hideMark/>
          </w:tcPr>
          <w:p w14:paraId="361ED318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96" w:type="dxa"/>
            <w:noWrap/>
            <w:vAlign w:val="center"/>
            <w:hideMark/>
          </w:tcPr>
          <w:p w14:paraId="579500C1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0A4ADF6E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756A4757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06" w:type="dxa"/>
            <w:noWrap/>
            <w:vAlign w:val="center"/>
            <w:hideMark/>
          </w:tcPr>
          <w:p w14:paraId="093FC048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44" w:type="dxa"/>
            <w:noWrap/>
            <w:vAlign w:val="center"/>
            <w:hideMark/>
          </w:tcPr>
          <w:p w14:paraId="6DC03E61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14" w:type="dxa"/>
            <w:noWrap/>
            <w:vAlign w:val="center"/>
            <w:hideMark/>
          </w:tcPr>
          <w:p w14:paraId="0326003C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</w:tr>
      <w:tr w:rsidR="00BD0FB6" w:rsidRPr="00C706B1" w14:paraId="2F53007E" w14:textId="77777777" w:rsidTr="00BD0FB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309621CC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0A9B4EA7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Neutralizing antibodies (cVNT)</w:t>
            </w:r>
          </w:p>
        </w:tc>
        <w:tc>
          <w:tcPr>
            <w:tcW w:w="1199" w:type="dxa"/>
            <w:noWrap/>
            <w:vAlign w:val="center"/>
            <w:hideMark/>
          </w:tcPr>
          <w:p w14:paraId="03251159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96" w:type="dxa"/>
            <w:noWrap/>
            <w:vAlign w:val="center"/>
            <w:hideMark/>
          </w:tcPr>
          <w:p w14:paraId="40172B0B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53DB292D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19C78E93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06" w:type="dxa"/>
            <w:noWrap/>
            <w:vAlign w:val="center"/>
            <w:hideMark/>
          </w:tcPr>
          <w:p w14:paraId="17B54E1C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44" w:type="dxa"/>
            <w:noWrap/>
            <w:vAlign w:val="center"/>
            <w:hideMark/>
          </w:tcPr>
          <w:p w14:paraId="21823E33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14" w:type="dxa"/>
            <w:noWrap/>
            <w:vAlign w:val="center"/>
            <w:hideMark/>
          </w:tcPr>
          <w:p w14:paraId="1C98DC95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</w:tr>
      <w:tr w:rsidR="00BD0FB6" w:rsidRPr="00C706B1" w14:paraId="4A6D2378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1E46BCBD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1AC365C5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Fold change of IFN-g+ SFCs (15-mer)</w:t>
            </w:r>
          </w:p>
        </w:tc>
        <w:tc>
          <w:tcPr>
            <w:tcW w:w="1199" w:type="dxa"/>
            <w:noWrap/>
            <w:vAlign w:val="center"/>
            <w:hideMark/>
          </w:tcPr>
          <w:p w14:paraId="5523F881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96" w:type="dxa"/>
            <w:noWrap/>
            <w:vAlign w:val="center"/>
            <w:hideMark/>
          </w:tcPr>
          <w:p w14:paraId="600140B5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2B1C4369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7652DCF2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06" w:type="dxa"/>
            <w:noWrap/>
            <w:vAlign w:val="center"/>
            <w:hideMark/>
          </w:tcPr>
          <w:p w14:paraId="63F32CE5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044" w:type="dxa"/>
            <w:noWrap/>
            <w:vAlign w:val="center"/>
            <w:hideMark/>
          </w:tcPr>
          <w:p w14:paraId="030E2623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39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14" w:type="dxa"/>
            <w:noWrap/>
            <w:vAlign w:val="center"/>
            <w:hideMark/>
          </w:tcPr>
          <w:p w14:paraId="50D9B121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31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</w:tr>
      <w:tr w:rsidR="00BD0FB6" w:rsidRPr="00C706B1" w14:paraId="7E57C2E8" w14:textId="77777777" w:rsidTr="00BD0FB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57F69353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297EC41A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Fold change of IFN-g+ SFCs (9 to 11-mer)</w:t>
            </w:r>
          </w:p>
        </w:tc>
        <w:tc>
          <w:tcPr>
            <w:tcW w:w="1199" w:type="dxa"/>
            <w:noWrap/>
            <w:vAlign w:val="center"/>
            <w:hideMark/>
          </w:tcPr>
          <w:p w14:paraId="7F35D0F7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96" w:type="dxa"/>
            <w:noWrap/>
            <w:vAlign w:val="center"/>
            <w:hideMark/>
          </w:tcPr>
          <w:p w14:paraId="4E9E846C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324B0445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02EF872A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06" w:type="dxa"/>
            <w:noWrap/>
            <w:vAlign w:val="center"/>
            <w:hideMark/>
          </w:tcPr>
          <w:p w14:paraId="3A20FD4C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44" w:type="dxa"/>
            <w:noWrap/>
            <w:vAlign w:val="center"/>
            <w:hideMark/>
          </w:tcPr>
          <w:p w14:paraId="1EA21871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14" w:type="dxa"/>
            <w:noWrap/>
            <w:vAlign w:val="center"/>
            <w:hideMark/>
          </w:tcPr>
          <w:p w14:paraId="4B906AA3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BD0FB6" w:rsidRPr="00C706B1" w14:paraId="0E0E5188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 w:val="restart"/>
            <w:vAlign w:val="center"/>
            <w:hideMark/>
          </w:tcPr>
          <w:p w14:paraId="07DD3A5E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447" w:type="dxa"/>
            <w:noWrap/>
            <w:vAlign w:val="center"/>
            <w:hideMark/>
          </w:tcPr>
          <w:p w14:paraId="4D14D3D5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anti-S1 IgG antibodies</w:t>
            </w:r>
          </w:p>
        </w:tc>
        <w:tc>
          <w:tcPr>
            <w:tcW w:w="1199" w:type="dxa"/>
            <w:noWrap/>
            <w:vAlign w:val="center"/>
            <w:hideMark/>
          </w:tcPr>
          <w:p w14:paraId="330F683F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96" w:type="dxa"/>
            <w:noWrap/>
            <w:vAlign w:val="center"/>
            <w:hideMark/>
          </w:tcPr>
          <w:p w14:paraId="711F18DE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91" w:type="dxa"/>
            <w:noWrap/>
            <w:vAlign w:val="center"/>
            <w:hideMark/>
          </w:tcPr>
          <w:p w14:paraId="5109F0A3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06" w:type="dxa"/>
            <w:noWrap/>
            <w:vAlign w:val="center"/>
            <w:hideMark/>
          </w:tcPr>
          <w:p w14:paraId="05617DF3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044" w:type="dxa"/>
            <w:noWrap/>
            <w:vAlign w:val="center"/>
            <w:hideMark/>
          </w:tcPr>
          <w:p w14:paraId="082999DD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6400</w:t>
            </w:r>
          </w:p>
        </w:tc>
        <w:tc>
          <w:tcPr>
            <w:tcW w:w="1314" w:type="dxa"/>
            <w:noWrap/>
            <w:vAlign w:val="center"/>
            <w:hideMark/>
          </w:tcPr>
          <w:p w14:paraId="3F006ACF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6400</w:t>
            </w:r>
          </w:p>
        </w:tc>
      </w:tr>
      <w:tr w:rsidR="00BD0FB6" w:rsidRPr="00C706B1" w14:paraId="58109DAA" w14:textId="77777777" w:rsidTr="00BD0FB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565A8913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6A49805B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Neutralizing antibodies (sVNT)</w:t>
            </w:r>
          </w:p>
        </w:tc>
        <w:tc>
          <w:tcPr>
            <w:tcW w:w="1199" w:type="dxa"/>
            <w:noWrap/>
            <w:vAlign w:val="center"/>
            <w:hideMark/>
          </w:tcPr>
          <w:p w14:paraId="20CE16D3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96" w:type="dxa"/>
            <w:noWrap/>
            <w:vAlign w:val="center"/>
            <w:hideMark/>
          </w:tcPr>
          <w:p w14:paraId="1D4E687B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640B09A1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167D4241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06" w:type="dxa"/>
            <w:noWrap/>
            <w:vAlign w:val="center"/>
            <w:hideMark/>
          </w:tcPr>
          <w:p w14:paraId="5E636624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44" w:type="dxa"/>
            <w:noWrap/>
            <w:vAlign w:val="center"/>
            <w:hideMark/>
          </w:tcPr>
          <w:p w14:paraId="26526B91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1024</w:t>
            </w:r>
          </w:p>
        </w:tc>
        <w:tc>
          <w:tcPr>
            <w:tcW w:w="1314" w:type="dxa"/>
            <w:noWrap/>
            <w:vAlign w:val="center"/>
            <w:hideMark/>
          </w:tcPr>
          <w:p w14:paraId="42F55026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1024</w:t>
            </w:r>
          </w:p>
        </w:tc>
      </w:tr>
      <w:tr w:rsidR="00BD0FB6" w:rsidRPr="00C706B1" w14:paraId="3E9323C1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107D7720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384FBD79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Neutralizing antibodies (cVNT)</w:t>
            </w:r>
          </w:p>
        </w:tc>
        <w:tc>
          <w:tcPr>
            <w:tcW w:w="1199" w:type="dxa"/>
            <w:noWrap/>
            <w:vAlign w:val="center"/>
            <w:hideMark/>
          </w:tcPr>
          <w:p w14:paraId="6624A34C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96" w:type="dxa"/>
            <w:noWrap/>
            <w:vAlign w:val="center"/>
            <w:hideMark/>
          </w:tcPr>
          <w:p w14:paraId="26997A5F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68F8473B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17D18F88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06" w:type="dxa"/>
            <w:noWrap/>
            <w:vAlign w:val="center"/>
            <w:hideMark/>
          </w:tcPr>
          <w:p w14:paraId="5D7C19DD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44" w:type="dxa"/>
            <w:noWrap/>
            <w:vAlign w:val="center"/>
            <w:hideMark/>
          </w:tcPr>
          <w:p w14:paraId="7CF91BBB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1314" w:type="dxa"/>
            <w:noWrap/>
            <w:vAlign w:val="center"/>
            <w:hideMark/>
          </w:tcPr>
          <w:p w14:paraId="7BA9DD13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256</w:t>
            </w:r>
          </w:p>
        </w:tc>
      </w:tr>
      <w:tr w:rsidR="00BD0FB6" w:rsidRPr="00C706B1" w14:paraId="2DEFC590" w14:textId="77777777" w:rsidTr="00BD0FB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2DCF74B6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0ABD3C8B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Fold change of IFN-g+ SFCs (15-mer)</w:t>
            </w:r>
          </w:p>
        </w:tc>
        <w:tc>
          <w:tcPr>
            <w:tcW w:w="1199" w:type="dxa"/>
            <w:noWrap/>
            <w:vAlign w:val="center"/>
            <w:hideMark/>
          </w:tcPr>
          <w:p w14:paraId="18C84C7B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96" w:type="dxa"/>
            <w:noWrap/>
            <w:vAlign w:val="center"/>
            <w:hideMark/>
          </w:tcPr>
          <w:p w14:paraId="572AD60F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2162F350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6C1D132F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54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06" w:type="dxa"/>
            <w:noWrap/>
            <w:vAlign w:val="center"/>
            <w:hideMark/>
          </w:tcPr>
          <w:p w14:paraId="3275EB16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38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44" w:type="dxa"/>
            <w:noWrap/>
            <w:vAlign w:val="center"/>
            <w:hideMark/>
          </w:tcPr>
          <w:p w14:paraId="70C86BF4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14" w:type="dxa"/>
            <w:noWrap/>
            <w:vAlign w:val="center"/>
            <w:hideMark/>
          </w:tcPr>
          <w:p w14:paraId="53E25BFC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48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BD0FB6" w:rsidRPr="00C706B1" w14:paraId="47BFCAA8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627AF82E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228FF8DF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Fold change of IFN-g+ SFCs (9 to 11-mer)</w:t>
            </w:r>
          </w:p>
        </w:tc>
        <w:tc>
          <w:tcPr>
            <w:tcW w:w="1199" w:type="dxa"/>
            <w:noWrap/>
            <w:vAlign w:val="center"/>
            <w:hideMark/>
          </w:tcPr>
          <w:p w14:paraId="084B35AB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96" w:type="dxa"/>
            <w:noWrap/>
            <w:vAlign w:val="center"/>
            <w:hideMark/>
          </w:tcPr>
          <w:p w14:paraId="48568C81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3B591139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62F681CF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06" w:type="dxa"/>
            <w:noWrap/>
            <w:vAlign w:val="center"/>
            <w:hideMark/>
          </w:tcPr>
          <w:p w14:paraId="25DED4B1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44" w:type="dxa"/>
            <w:noWrap/>
            <w:vAlign w:val="center"/>
            <w:hideMark/>
          </w:tcPr>
          <w:p w14:paraId="709252C1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14" w:type="dxa"/>
            <w:noWrap/>
            <w:vAlign w:val="center"/>
            <w:hideMark/>
          </w:tcPr>
          <w:p w14:paraId="387DA8C1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BD0FB6" w:rsidRPr="00C706B1" w14:paraId="13C39FE7" w14:textId="77777777" w:rsidTr="00BD0FB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 w:val="restart"/>
            <w:vAlign w:val="center"/>
            <w:hideMark/>
          </w:tcPr>
          <w:p w14:paraId="23CE6101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47" w:type="dxa"/>
            <w:noWrap/>
            <w:vAlign w:val="center"/>
            <w:hideMark/>
          </w:tcPr>
          <w:p w14:paraId="3F6C3243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anti-S1 IgG antibodies</w:t>
            </w:r>
          </w:p>
        </w:tc>
        <w:tc>
          <w:tcPr>
            <w:tcW w:w="1199" w:type="dxa"/>
            <w:noWrap/>
            <w:vAlign w:val="center"/>
            <w:hideMark/>
          </w:tcPr>
          <w:p w14:paraId="34D11872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96" w:type="dxa"/>
            <w:noWrap/>
            <w:vAlign w:val="center"/>
            <w:hideMark/>
          </w:tcPr>
          <w:p w14:paraId="54A39AAA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91" w:type="dxa"/>
            <w:noWrap/>
            <w:vAlign w:val="center"/>
            <w:hideMark/>
          </w:tcPr>
          <w:p w14:paraId="23715004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006" w:type="dxa"/>
            <w:noWrap/>
            <w:vAlign w:val="center"/>
            <w:hideMark/>
          </w:tcPr>
          <w:p w14:paraId="4D175E47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1600</w:t>
            </w:r>
          </w:p>
        </w:tc>
        <w:tc>
          <w:tcPr>
            <w:tcW w:w="1044" w:type="dxa"/>
            <w:noWrap/>
            <w:vAlign w:val="center"/>
            <w:hideMark/>
          </w:tcPr>
          <w:p w14:paraId="1488A5CF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6400</w:t>
            </w:r>
          </w:p>
        </w:tc>
        <w:tc>
          <w:tcPr>
            <w:tcW w:w="1314" w:type="dxa"/>
            <w:noWrap/>
            <w:vAlign w:val="center"/>
            <w:hideMark/>
          </w:tcPr>
          <w:p w14:paraId="594DABC6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1600</w:t>
            </w:r>
          </w:p>
        </w:tc>
      </w:tr>
      <w:tr w:rsidR="00BD0FB6" w:rsidRPr="00C706B1" w14:paraId="6137453D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52DA13A5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133079A9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Neutralizing antibodies (sVNT)</w:t>
            </w:r>
          </w:p>
        </w:tc>
        <w:tc>
          <w:tcPr>
            <w:tcW w:w="1199" w:type="dxa"/>
            <w:noWrap/>
            <w:vAlign w:val="center"/>
            <w:hideMark/>
          </w:tcPr>
          <w:p w14:paraId="45B7FE45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96" w:type="dxa"/>
            <w:noWrap/>
            <w:vAlign w:val="center"/>
            <w:hideMark/>
          </w:tcPr>
          <w:p w14:paraId="3EA2678C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776B2E76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65E26571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1006" w:type="dxa"/>
            <w:noWrap/>
            <w:vAlign w:val="center"/>
            <w:hideMark/>
          </w:tcPr>
          <w:p w14:paraId="395A9491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1044" w:type="dxa"/>
            <w:noWrap/>
            <w:vAlign w:val="center"/>
            <w:hideMark/>
          </w:tcPr>
          <w:p w14:paraId="63024375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1314" w:type="dxa"/>
            <w:noWrap/>
            <w:vAlign w:val="center"/>
            <w:hideMark/>
          </w:tcPr>
          <w:p w14:paraId="68E2D5F7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32</w:t>
            </w:r>
          </w:p>
        </w:tc>
      </w:tr>
      <w:tr w:rsidR="00BD0FB6" w:rsidRPr="00C706B1" w14:paraId="523A7C44" w14:textId="77777777" w:rsidTr="00BD0FB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20680D34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52CF47C6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Neutralizing antibodies (cVNT)</w:t>
            </w:r>
          </w:p>
        </w:tc>
        <w:tc>
          <w:tcPr>
            <w:tcW w:w="1199" w:type="dxa"/>
            <w:noWrap/>
            <w:vAlign w:val="center"/>
            <w:hideMark/>
          </w:tcPr>
          <w:p w14:paraId="7501667F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96" w:type="dxa"/>
            <w:noWrap/>
            <w:vAlign w:val="center"/>
            <w:hideMark/>
          </w:tcPr>
          <w:p w14:paraId="51C601BC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343D5CD8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311F9240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006" w:type="dxa"/>
            <w:noWrap/>
            <w:vAlign w:val="center"/>
            <w:hideMark/>
          </w:tcPr>
          <w:p w14:paraId="233A7B8A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44" w:type="dxa"/>
            <w:noWrap/>
            <w:vAlign w:val="center"/>
            <w:hideMark/>
          </w:tcPr>
          <w:p w14:paraId="15A23241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128</w:t>
            </w:r>
          </w:p>
        </w:tc>
        <w:tc>
          <w:tcPr>
            <w:tcW w:w="1314" w:type="dxa"/>
            <w:noWrap/>
            <w:vAlign w:val="center"/>
            <w:hideMark/>
          </w:tcPr>
          <w:p w14:paraId="0A6EA848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128</w:t>
            </w:r>
          </w:p>
        </w:tc>
      </w:tr>
      <w:tr w:rsidR="00BD0FB6" w:rsidRPr="00C706B1" w14:paraId="259A6A84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28BE19B1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1FEC5EBD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Fold change of IFN-g+ SFCs (15-mer)</w:t>
            </w:r>
          </w:p>
        </w:tc>
        <w:tc>
          <w:tcPr>
            <w:tcW w:w="1199" w:type="dxa"/>
            <w:noWrap/>
            <w:vAlign w:val="center"/>
            <w:hideMark/>
          </w:tcPr>
          <w:p w14:paraId="49FB3E6B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96" w:type="dxa"/>
            <w:noWrap/>
            <w:vAlign w:val="center"/>
            <w:hideMark/>
          </w:tcPr>
          <w:p w14:paraId="46966CD5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13D9F8AE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2C25E1C3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152</w:t>
            </w:r>
          </w:p>
        </w:tc>
        <w:tc>
          <w:tcPr>
            <w:tcW w:w="1006" w:type="dxa"/>
            <w:noWrap/>
            <w:vAlign w:val="center"/>
            <w:hideMark/>
          </w:tcPr>
          <w:p w14:paraId="4452B24F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44" w:type="dxa"/>
            <w:noWrap/>
            <w:vAlign w:val="center"/>
            <w:hideMark/>
          </w:tcPr>
          <w:p w14:paraId="338F4A94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51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14" w:type="dxa"/>
            <w:noWrap/>
            <w:vAlign w:val="center"/>
            <w:hideMark/>
          </w:tcPr>
          <w:p w14:paraId="1B2CED5B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122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</w:tr>
      <w:tr w:rsidR="00BD0FB6" w:rsidRPr="00C706B1" w14:paraId="46C1C99E" w14:textId="77777777" w:rsidTr="00BD0FB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2FF5151C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68378DC4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Fold change of IFN-g+ SFCs (9 to 11-mer)</w:t>
            </w:r>
          </w:p>
        </w:tc>
        <w:tc>
          <w:tcPr>
            <w:tcW w:w="1199" w:type="dxa"/>
            <w:noWrap/>
            <w:vAlign w:val="center"/>
            <w:hideMark/>
          </w:tcPr>
          <w:p w14:paraId="364673B1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96" w:type="dxa"/>
            <w:noWrap/>
            <w:vAlign w:val="center"/>
            <w:hideMark/>
          </w:tcPr>
          <w:p w14:paraId="47D11ED3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3C98501B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14:paraId="3A45F247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006" w:type="dxa"/>
            <w:noWrap/>
            <w:vAlign w:val="center"/>
            <w:hideMark/>
          </w:tcPr>
          <w:p w14:paraId="286C58CC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1044" w:type="dxa"/>
            <w:noWrap/>
            <w:vAlign w:val="center"/>
            <w:hideMark/>
          </w:tcPr>
          <w:p w14:paraId="5F975D21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14" w:type="dxa"/>
            <w:noWrap/>
            <w:vAlign w:val="center"/>
            <w:hideMark/>
          </w:tcPr>
          <w:p w14:paraId="4CDC9EB8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32</w:t>
            </w:r>
          </w:p>
        </w:tc>
      </w:tr>
      <w:tr w:rsidR="00BD0FB6" w:rsidRPr="00C706B1" w14:paraId="33C290E0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 w:val="restart"/>
            <w:vAlign w:val="center"/>
            <w:hideMark/>
          </w:tcPr>
          <w:p w14:paraId="136084E6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447" w:type="dxa"/>
            <w:noWrap/>
            <w:vAlign w:val="center"/>
            <w:hideMark/>
          </w:tcPr>
          <w:p w14:paraId="78D71E81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anti-S1 IgG antibodies</w:t>
            </w:r>
          </w:p>
        </w:tc>
        <w:tc>
          <w:tcPr>
            <w:tcW w:w="1199" w:type="dxa"/>
            <w:noWrap/>
            <w:vAlign w:val="center"/>
            <w:hideMark/>
          </w:tcPr>
          <w:p w14:paraId="6FBA287B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96" w:type="dxa"/>
            <w:noWrap/>
            <w:vAlign w:val="center"/>
            <w:hideMark/>
          </w:tcPr>
          <w:p w14:paraId="53AFECFF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800</w:t>
            </w:r>
          </w:p>
        </w:tc>
        <w:tc>
          <w:tcPr>
            <w:tcW w:w="1091" w:type="dxa"/>
            <w:vAlign w:val="center"/>
            <w:hideMark/>
          </w:tcPr>
          <w:p w14:paraId="1F23C549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14:paraId="3A544268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6400</w:t>
            </w:r>
          </w:p>
        </w:tc>
        <w:tc>
          <w:tcPr>
            <w:tcW w:w="1044" w:type="dxa"/>
            <w:noWrap/>
            <w:vAlign w:val="center"/>
            <w:hideMark/>
          </w:tcPr>
          <w:p w14:paraId="4D847529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6400</w:t>
            </w:r>
          </w:p>
        </w:tc>
        <w:tc>
          <w:tcPr>
            <w:tcW w:w="1314" w:type="dxa"/>
            <w:noWrap/>
            <w:vAlign w:val="center"/>
            <w:hideMark/>
          </w:tcPr>
          <w:p w14:paraId="6D8F7684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6400</w:t>
            </w:r>
          </w:p>
        </w:tc>
      </w:tr>
      <w:tr w:rsidR="00BD0FB6" w:rsidRPr="00C706B1" w14:paraId="48774F58" w14:textId="77777777" w:rsidTr="00BD0FB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4A3CC302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1811F135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Neutralizing antibodies (sVNT)</w:t>
            </w:r>
          </w:p>
        </w:tc>
        <w:tc>
          <w:tcPr>
            <w:tcW w:w="1199" w:type="dxa"/>
            <w:noWrap/>
            <w:vAlign w:val="center"/>
            <w:hideMark/>
          </w:tcPr>
          <w:p w14:paraId="035F2AB1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96" w:type="dxa"/>
            <w:noWrap/>
            <w:vAlign w:val="center"/>
            <w:hideMark/>
          </w:tcPr>
          <w:p w14:paraId="74F570C2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06F3C5FB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  <w:hideMark/>
          </w:tcPr>
          <w:p w14:paraId="50FED944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006" w:type="dxa"/>
            <w:noWrap/>
            <w:vAlign w:val="center"/>
            <w:hideMark/>
          </w:tcPr>
          <w:p w14:paraId="5BE1F08D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128</w:t>
            </w:r>
          </w:p>
        </w:tc>
        <w:tc>
          <w:tcPr>
            <w:tcW w:w="1044" w:type="dxa"/>
            <w:noWrap/>
            <w:vAlign w:val="center"/>
            <w:hideMark/>
          </w:tcPr>
          <w:p w14:paraId="05D62BD1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1314" w:type="dxa"/>
            <w:noWrap/>
            <w:vAlign w:val="center"/>
            <w:hideMark/>
          </w:tcPr>
          <w:p w14:paraId="045B9532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256</w:t>
            </w:r>
          </w:p>
        </w:tc>
      </w:tr>
      <w:tr w:rsidR="00BD0FB6" w:rsidRPr="00C706B1" w14:paraId="6CDEE008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242BB4F1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3BC95073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Neutralizing antibodies (cVNT)</w:t>
            </w:r>
          </w:p>
        </w:tc>
        <w:tc>
          <w:tcPr>
            <w:tcW w:w="1199" w:type="dxa"/>
            <w:noWrap/>
            <w:vAlign w:val="center"/>
            <w:hideMark/>
          </w:tcPr>
          <w:p w14:paraId="35202FE2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96" w:type="dxa"/>
            <w:noWrap/>
            <w:vAlign w:val="center"/>
            <w:hideMark/>
          </w:tcPr>
          <w:p w14:paraId="2ED9BE5B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726866F2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  <w:hideMark/>
          </w:tcPr>
          <w:p w14:paraId="2A425377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006" w:type="dxa"/>
            <w:noWrap/>
            <w:vAlign w:val="center"/>
            <w:hideMark/>
          </w:tcPr>
          <w:p w14:paraId="4D88D851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044" w:type="dxa"/>
            <w:noWrap/>
            <w:vAlign w:val="center"/>
            <w:hideMark/>
          </w:tcPr>
          <w:p w14:paraId="15DF7E56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1314" w:type="dxa"/>
            <w:noWrap/>
            <w:vAlign w:val="center"/>
            <w:hideMark/>
          </w:tcPr>
          <w:p w14:paraId="39FE53BA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128</w:t>
            </w:r>
          </w:p>
        </w:tc>
      </w:tr>
      <w:tr w:rsidR="00BD0FB6" w:rsidRPr="00C706B1" w14:paraId="34C529AC" w14:textId="77777777" w:rsidTr="00BD0FB6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3D458E77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307732F0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Fold change of IFN-g+ SFCs (15-mer)</w:t>
            </w:r>
          </w:p>
        </w:tc>
        <w:tc>
          <w:tcPr>
            <w:tcW w:w="1199" w:type="dxa"/>
            <w:noWrap/>
            <w:vAlign w:val="center"/>
            <w:hideMark/>
          </w:tcPr>
          <w:p w14:paraId="67E9F481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96" w:type="dxa"/>
            <w:noWrap/>
            <w:vAlign w:val="center"/>
            <w:hideMark/>
          </w:tcPr>
          <w:p w14:paraId="1555F878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1E29D3E2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  <w:hideMark/>
          </w:tcPr>
          <w:p w14:paraId="45B25919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006" w:type="dxa"/>
            <w:noWrap/>
            <w:vAlign w:val="center"/>
            <w:hideMark/>
          </w:tcPr>
          <w:p w14:paraId="6610DF4F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44" w:type="dxa"/>
            <w:noWrap/>
            <w:vAlign w:val="center"/>
            <w:hideMark/>
          </w:tcPr>
          <w:p w14:paraId="3053C1A0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314" w:type="dxa"/>
            <w:noWrap/>
            <w:vAlign w:val="center"/>
            <w:hideMark/>
          </w:tcPr>
          <w:p w14:paraId="1837EE7F" w14:textId="77777777" w:rsidR="00BD0FB6" w:rsidRPr="00C706B1" w:rsidRDefault="00BD0FB6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</w:tr>
      <w:tr w:rsidR="00BD0FB6" w:rsidRPr="00C706B1" w14:paraId="011EA45E" w14:textId="77777777" w:rsidTr="00BD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vAlign w:val="center"/>
            <w:hideMark/>
          </w:tcPr>
          <w:p w14:paraId="0ADC736B" w14:textId="77777777" w:rsidR="00BD0FB6" w:rsidRPr="00C706B1" w:rsidRDefault="00BD0FB6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14:paraId="464491BC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Fold change of IFN-g+ SFCs (9 to 11-mer)</w:t>
            </w:r>
          </w:p>
        </w:tc>
        <w:tc>
          <w:tcPr>
            <w:tcW w:w="1199" w:type="dxa"/>
            <w:noWrap/>
            <w:vAlign w:val="center"/>
            <w:hideMark/>
          </w:tcPr>
          <w:p w14:paraId="4F97A62C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96" w:type="dxa"/>
            <w:noWrap/>
            <w:vAlign w:val="center"/>
            <w:hideMark/>
          </w:tcPr>
          <w:p w14:paraId="07CECDC4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06B1">
              <w:rPr>
                <w:sz w:val="16"/>
                <w:szCs w:val="16"/>
              </w:rPr>
              <w:t>··</w:t>
            </w:r>
          </w:p>
          <w:p w14:paraId="23B87B46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  <w:hideMark/>
          </w:tcPr>
          <w:p w14:paraId="775DE034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006" w:type="dxa"/>
            <w:noWrap/>
            <w:vAlign w:val="center"/>
            <w:hideMark/>
          </w:tcPr>
          <w:p w14:paraId="676F186F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44" w:type="dxa"/>
            <w:noWrap/>
            <w:vAlign w:val="center"/>
            <w:hideMark/>
          </w:tcPr>
          <w:p w14:paraId="2C0949BE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7C05">
              <w:rPr>
                <w:sz w:val="16"/>
                <w:szCs w:val="16"/>
              </w:rPr>
              <w:t>·</w:t>
            </w:r>
          </w:p>
        </w:tc>
        <w:tc>
          <w:tcPr>
            <w:tcW w:w="1314" w:type="dxa"/>
            <w:noWrap/>
            <w:vAlign w:val="center"/>
            <w:hideMark/>
          </w:tcPr>
          <w:p w14:paraId="7B5EDBAE" w14:textId="77777777" w:rsidR="00BD0FB6" w:rsidRPr="00C706B1" w:rsidRDefault="00BD0FB6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n-CL"/>
              </w:rPr>
              <w:t>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</w:tr>
    </w:tbl>
    <w:p w14:paraId="17CED962" w14:textId="77777777" w:rsidR="00BD0FB6" w:rsidRPr="00BD0FB6" w:rsidRDefault="00BD0FB6" w:rsidP="00BD0FB6">
      <w:pPr>
        <w:jc w:val="both"/>
        <w:rPr>
          <w:rFonts w:ascii="Arial" w:hAnsi="Arial" w:cs="Arial"/>
          <w:b/>
          <w:bCs/>
        </w:rPr>
      </w:pPr>
    </w:p>
    <w:sectPr w:rsidR="00BD0FB6" w:rsidRPr="00BD0F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B6"/>
    <w:rsid w:val="00B346F0"/>
    <w:rsid w:val="00BD0FB6"/>
    <w:rsid w:val="00B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CD3DD7"/>
  <w15:chartTrackingRefBased/>
  <w15:docId w15:val="{533ED364-941B-8344-95D4-95CA78FF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BD0FB6"/>
    <w:rPr>
      <w:sz w:val="22"/>
      <w:szCs w:val="22"/>
      <w:lang w:val="es-C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duarte peñaloza</dc:creator>
  <cp:keywords/>
  <dc:description/>
  <cp:lastModifiedBy>luisa fernanda duarte peñaloza</cp:lastModifiedBy>
  <cp:revision>3</cp:revision>
  <dcterms:created xsi:type="dcterms:W3CDTF">2021-07-15T05:31:00Z</dcterms:created>
  <dcterms:modified xsi:type="dcterms:W3CDTF">2021-08-23T17:05:00Z</dcterms:modified>
</cp:coreProperties>
</file>