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F9BA6" w14:textId="0465ED88" w:rsidR="00607486" w:rsidRPr="00A538CF" w:rsidRDefault="00607486" w:rsidP="00A538CF">
      <w:pPr>
        <w:jc w:val="both"/>
        <w:rPr>
          <w:rFonts w:ascii="Times New Roman" w:hAnsi="Times New Roman" w:cs="Times New Roman"/>
          <w:b/>
          <w:bCs/>
          <w:sz w:val="24"/>
          <w:szCs w:val="24"/>
        </w:rPr>
      </w:pPr>
      <w:r w:rsidRPr="00A538CF">
        <w:rPr>
          <w:rFonts w:ascii="Times New Roman" w:hAnsi="Times New Roman" w:cs="Times New Roman"/>
          <w:b/>
          <w:bCs/>
          <w:sz w:val="24"/>
          <w:szCs w:val="24"/>
        </w:rPr>
        <w:t>Supplemental methods</w:t>
      </w:r>
    </w:p>
    <w:p w14:paraId="0C51F7E0" w14:textId="77777777" w:rsidR="00607486" w:rsidRPr="00A538CF" w:rsidRDefault="00607486" w:rsidP="00A538CF">
      <w:pPr>
        <w:jc w:val="both"/>
        <w:rPr>
          <w:rFonts w:ascii="Times New Roman" w:hAnsi="Times New Roman" w:cs="Times New Roman"/>
          <w:i/>
          <w:sz w:val="24"/>
          <w:szCs w:val="24"/>
        </w:rPr>
      </w:pPr>
      <w:r w:rsidRPr="00A538CF">
        <w:rPr>
          <w:rFonts w:ascii="Times New Roman" w:hAnsi="Times New Roman" w:cs="Times New Roman"/>
          <w:i/>
          <w:sz w:val="24"/>
          <w:szCs w:val="24"/>
        </w:rPr>
        <w:t xml:space="preserve">Target sequencing using </w:t>
      </w:r>
      <w:bookmarkStart w:id="0" w:name="_Hlk42130094"/>
      <w:r w:rsidRPr="00A538CF">
        <w:rPr>
          <w:rFonts w:ascii="Times New Roman" w:hAnsi="Times New Roman" w:cs="Times New Roman"/>
          <w:i/>
          <w:sz w:val="24"/>
          <w:szCs w:val="24"/>
        </w:rPr>
        <w:t>Amplicon-seq VHIO-Card panel</w:t>
      </w:r>
      <w:bookmarkEnd w:id="0"/>
    </w:p>
    <w:p w14:paraId="3F9F0027" w14:textId="77777777" w:rsidR="00607486" w:rsidRPr="00A538CF" w:rsidRDefault="00607486" w:rsidP="00A538CF">
      <w:pPr>
        <w:jc w:val="both"/>
        <w:rPr>
          <w:rFonts w:ascii="Times New Roman" w:hAnsi="Times New Roman" w:cs="Times New Roman"/>
          <w:sz w:val="24"/>
          <w:szCs w:val="24"/>
        </w:rPr>
      </w:pPr>
      <w:r w:rsidRPr="00A538CF">
        <w:rPr>
          <w:rFonts w:ascii="Times New Roman" w:hAnsi="Times New Roman" w:cs="Times New Roman"/>
          <w:sz w:val="24"/>
          <w:szCs w:val="24"/>
        </w:rPr>
        <w:t xml:space="preserve">DNA extraction from FFPE tumor samples was performed using the Maxwell FFPE Tissue LEV DNA Purification Kit, following the manufacturer’s instructions. The minimum tumor content was set to 20%, to ensure </w:t>
      </w:r>
      <w:proofErr w:type="spellStart"/>
      <w:r w:rsidRPr="00A538CF">
        <w:rPr>
          <w:rFonts w:ascii="Times New Roman" w:hAnsi="Times New Roman" w:cs="Times New Roman"/>
          <w:sz w:val="24"/>
          <w:szCs w:val="24"/>
        </w:rPr>
        <w:t>subclonal</w:t>
      </w:r>
      <w:proofErr w:type="spellEnd"/>
      <w:r w:rsidRPr="00A538CF">
        <w:rPr>
          <w:rFonts w:ascii="Times New Roman" w:hAnsi="Times New Roman" w:cs="Times New Roman"/>
          <w:sz w:val="24"/>
          <w:szCs w:val="24"/>
        </w:rPr>
        <w:t xml:space="preserve"> somatic mutations identification or calling.</w:t>
      </w:r>
    </w:p>
    <w:p w14:paraId="51D59F59" w14:textId="696CA2DA" w:rsidR="00607486" w:rsidRPr="00A538CF" w:rsidRDefault="00607486" w:rsidP="00A538CF">
      <w:pPr>
        <w:jc w:val="both"/>
        <w:rPr>
          <w:rFonts w:ascii="Times New Roman" w:hAnsi="Times New Roman" w:cs="Times New Roman"/>
          <w:sz w:val="24"/>
          <w:szCs w:val="24"/>
        </w:rPr>
      </w:pPr>
      <w:r w:rsidRPr="00A538CF">
        <w:rPr>
          <w:rFonts w:ascii="Times New Roman" w:hAnsi="Times New Roman" w:cs="Times New Roman"/>
          <w:sz w:val="24"/>
          <w:szCs w:val="24"/>
        </w:rPr>
        <w:t>An initial multiplex-PCR with a proof-reading polymerase was performed on samples using a panel of over 800 primer pairs targeting frequent mutations in oncogenes and several tumor suppressors. A total of 61 genes were analyzed (</w:t>
      </w:r>
      <w:r w:rsidRPr="00A4749A">
        <w:rPr>
          <w:rFonts w:ascii="Times New Roman" w:hAnsi="Times New Roman" w:cs="Times New Roman"/>
          <w:b/>
          <w:bCs/>
          <w:sz w:val="24"/>
          <w:szCs w:val="24"/>
        </w:rPr>
        <w:t>Supplemental Table S</w:t>
      </w:r>
      <w:r w:rsidR="00A4749A">
        <w:rPr>
          <w:rFonts w:ascii="Times New Roman" w:hAnsi="Times New Roman" w:cs="Times New Roman"/>
          <w:b/>
          <w:bCs/>
          <w:sz w:val="24"/>
          <w:szCs w:val="24"/>
        </w:rPr>
        <w:t>1</w:t>
      </w:r>
      <w:r w:rsidRPr="00A538CF">
        <w:rPr>
          <w:rFonts w:ascii="Times New Roman" w:hAnsi="Times New Roman" w:cs="Times New Roman"/>
          <w:sz w:val="24"/>
          <w:szCs w:val="24"/>
        </w:rPr>
        <w:t xml:space="preserve">). </w:t>
      </w:r>
    </w:p>
    <w:p w14:paraId="0B4F089B" w14:textId="77777777" w:rsidR="00607486" w:rsidRPr="00A538CF" w:rsidRDefault="00607486" w:rsidP="00A538CF">
      <w:pPr>
        <w:jc w:val="both"/>
        <w:rPr>
          <w:rFonts w:ascii="Times New Roman" w:hAnsi="Times New Roman" w:cs="Times New Roman"/>
          <w:sz w:val="24"/>
          <w:szCs w:val="24"/>
        </w:rPr>
      </w:pPr>
      <w:r w:rsidRPr="00A538CF">
        <w:rPr>
          <w:rFonts w:ascii="Times New Roman" w:hAnsi="Times New Roman" w:cs="Times New Roman"/>
          <w:sz w:val="24"/>
          <w:szCs w:val="24"/>
        </w:rPr>
        <w:t xml:space="preserve">Indexed libraries were pooled and loaded onto a </w:t>
      </w:r>
      <w:proofErr w:type="spellStart"/>
      <w:r w:rsidRPr="00A538CF">
        <w:rPr>
          <w:rFonts w:ascii="Times New Roman" w:hAnsi="Times New Roman" w:cs="Times New Roman"/>
          <w:sz w:val="24"/>
          <w:szCs w:val="24"/>
        </w:rPr>
        <w:t>MiSeq</w:t>
      </w:r>
      <w:proofErr w:type="spellEnd"/>
      <w:r w:rsidRPr="00A538CF">
        <w:rPr>
          <w:rFonts w:ascii="Times New Roman" w:hAnsi="Times New Roman" w:cs="Times New Roman"/>
          <w:sz w:val="24"/>
          <w:szCs w:val="24"/>
        </w:rPr>
        <w:t xml:space="preserve"> instrument and sequencing performed (2X100). The initial alignment was performed with BWA after primer sequence clipping and variant calling performed with the GATK Unified </w:t>
      </w:r>
      <w:proofErr w:type="spellStart"/>
      <w:r w:rsidRPr="00A538CF">
        <w:rPr>
          <w:rFonts w:ascii="Times New Roman" w:hAnsi="Times New Roman" w:cs="Times New Roman"/>
          <w:sz w:val="24"/>
          <w:szCs w:val="24"/>
        </w:rPr>
        <w:t>Genotyper</w:t>
      </w:r>
      <w:proofErr w:type="spellEnd"/>
      <w:r w:rsidRPr="00A538CF">
        <w:rPr>
          <w:rFonts w:ascii="Times New Roman" w:hAnsi="Times New Roman" w:cs="Times New Roman"/>
          <w:sz w:val="24"/>
          <w:szCs w:val="24"/>
        </w:rPr>
        <w:t xml:space="preserve"> and VarScan2 followed by ANNOVAR annotation. Mutations were called at a minimum of 3% allele frequency. SNPs were filtered out with </w:t>
      </w:r>
      <w:proofErr w:type="spellStart"/>
      <w:r w:rsidRPr="00A538CF">
        <w:rPr>
          <w:rFonts w:ascii="Times New Roman" w:hAnsi="Times New Roman" w:cs="Times New Roman"/>
          <w:sz w:val="24"/>
          <w:szCs w:val="24"/>
        </w:rPr>
        <w:t>dbSNP</w:t>
      </w:r>
      <w:proofErr w:type="spellEnd"/>
      <w:r w:rsidRPr="00A538CF">
        <w:rPr>
          <w:rFonts w:ascii="Times New Roman" w:hAnsi="Times New Roman" w:cs="Times New Roman"/>
          <w:sz w:val="24"/>
          <w:szCs w:val="24"/>
        </w:rPr>
        <w:t xml:space="preserve"> and 1000 genome datasets (MAF&gt;0.05). All detected variants were manually checked.</w:t>
      </w:r>
    </w:p>
    <w:p w14:paraId="7209CBAB" w14:textId="77777777" w:rsidR="00607486" w:rsidRPr="00A538CF" w:rsidRDefault="00607486" w:rsidP="00A538CF">
      <w:pPr>
        <w:jc w:val="both"/>
        <w:rPr>
          <w:rFonts w:ascii="Times New Roman" w:hAnsi="Times New Roman" w:cs="Times New Roman"/>
          <w:sz w:val="24"/>
          <w:szCs w:val="24"/>
        </w:rPr>
      </w:pPr>
    </w:p>
    <w:p w14:paraId="7CD74326" w14:textId="77777777" w:rsidR="00607486" w:rsidRPr="00A538CF" w:rsidRDefault="00607486" w:rsidP="00A538CF">
      <w:pPr>
        <w:jc w:val="both"/>
        <w:rPr>
          <w:rFonts w:ascii="Times New Roman" w:hAnsi="Times New Roman" w:cs="Times New Roman"/>
          <w:i/>
          <w:sz w:val="24"/>
          <w:szCs w:val="24"/>
        </w:rPr>
      </w:pPr>
      <w:r w:rsidRPr="00A538CF">
        <w:rPr>
          <w:rFonts w:ascii="Times New Roman" w:hAnsi="Times New Roman" w:cs="Times New Roman"/>
          <w:i/>
          <w:sz w:val="24"/>
          <w:szCs w:val="24"/>
        </w:rPr>
        <w:t xml:space="preserve">Target gene sequencing using </w:t>
      </w:r>
      <w:bookmarkStart w:id="1" w:name="_Hlk42130119"/>
      <w:r w:rsidRPr="00A538CF">
        <w:rPr>
          <w:rFonts w:ascii="Times New Roman" w:hAnsi="Times New Roman" w:cs="Times New Roman"/>
          <w:i/>
          <w:sz w:val="24"/>
          <w:szCs w:val="24"/>
        </w:rPr>
        <w:t>Ion torrent Research Institute 12 Octubre panel (i+12)</w:t>
      </w:r>
      <w:bookmarkEnd w:id="1"/>
    </w:p>
    <w:p w14:paraId="6937F586" w14:textId="77777777" w:rsidR="00607486" w:rsidRPr="00A538CF" w:rsidRDefault="00607486" w:rsidP="00A538CF">
      <w:pPr>
        <w:jc w:val="both"/>
        <w:rPr>
          <w:rFonts w:ascii="Times New Roman" w:hAnsi="Times New Roman" w:cs="Times New Roman"/>
          <w:sz w:val="24"/>
          <w:szCs w:val="24"/>
        </w:rPr>
      </w:pPr>
      <w:r w:rsidRPr="00A538CF">
        <w:rPr>
          <w:rFonts w:ascii="Times New Roman" w:hAnsi="Times New Roman" w:cs="Times New Roman"/>
          <w:sz w:val="24"/>
          <w:szCs w:val="24"/>
        </w:rPr>
        <w:t xml:space="preserve">DNA was extracted from FFPE tissues using </w:t>
      </w:r>
      <w:proofErr w:type="spellStart"/>
      <w:r w:rsidRPr="00A538CF">
        <w:rPr>
          <w:rFonts w:ascii="Times New Roman" w:hAnsi="Times New Roman" w:cs="Times New Roman"/>
          <w:sz w:val="24"/>
          <w:szCs w:val="24"/>
        </w:rPr>
        <w:t>QIAamp</w:t>
      </w:r>
      <w:proofErr w:type="spellEnd"/>
      <w:r w:rsidRPr="00A538CF">
        <w:rPr>
          <w:rFonts w:ascii="Times New Roman" w:hAnsi="Times New Roman" w:cs="Times New Roman"/>
          <w:sz w:val="24"/>
          <w:szCs w:val="24"/>
        </w:rPr>
        <w:t xml:space="preserve"> DNA FFPE Tissue Kit from Qiagen (Hilden, Germany) following the manufacturer’s instructions. The minimum tumor content was set to 20%, to ensure </w:t>
      </w:r>
      <w:proofErr w:type="spellStart"/>
      <w:r w:rsidRPr="00A538CF">
        <w:rPr>
          <w:rFonts w:ascii="Times New Roman" w:hAnsi="Times New Roman" w:cs="Times New Roman"/>
          <w:sz w:val="24"/>
          <w:szCs w:val="24"/>
        </w:rPr>
        <w:t>subclonal</w:t>
      </w:r>
      <w:proofErr w:type="spellEnd"/>
      <w:r w:rsidRPr="00A538CF">
        <w:rPr>
          <w:rFonts w:ascii="Times New Roman" w:hAnsi="Times New Roman" w:cs="Times New Roman"/>
          <w:sz w:val="24"/>
          <w:szCs w:val="24"/>
        </w:rPr>
        <w:t xml:space="preserve"> somatic mutations identification or calling. </w:t>
      </w:r>
    </w:p>
    <w:p w14:paraId="22D3051A" w14:textId="77777777" w:rsidR="00607486" w:rsidRPr="00A538CF" w:rsidRDefault="00607486" w:rsidP="00A538CF">
      <w:pPr>
        <w:jc w:val="both"/>
        <w:rPr>
          <w:rFonts w:ascii="Times New Roman" w:hAnsi="Times New Roman" w:cs="Times New Roman"/>
          <w:sz w:val="24"/>
          <w:szCs w:val="24"/>
        </w:rPr>
      </w:pPr>
      <w:r w:rsidRPr="00A538CF">
        <w:rPr>
          <w:rFonts w:ascii="Times New Roman" w:hAnsi="Times New Roman" w:cs="Times New Roman"/>
          <w:sz w:val="24"/>
          <w:szCs w:val="24"/>
        </w:rPr>
        <w:t xml:space="preserve">Massive sequencing was carried out with Ion Torrent Proton sequencer (Thermo Fisher Scientific, Waltham, MA, USA). </w:t>
      </w:r>
    </w:p>
    <w:p w14:paraId="14776DBF" w14:textId="0B35A6E4" w:rsidR="00607486" w:rsidRPr="00A538CF" w:rsidRDefault="00607486" w:rsidP="00A538CF">
      <w:pPr>
        <w:jc w:val="both"/>
        <w:rPr>
          <w:rFonts w:ascii="Times New Roman" w:hAnsi="Times New Roman" w:cs="Times New Roman"/>
          <w:sz w:val="24"/>
          <w:szCs w:val="24"/>
        </w:rPr>
      </w:pPr>
      <w:r w:rsidRPr="00A538CF">
        <w:rPr>
          <w:rFonts w:ascii="Times New Roman" w:hAnsi="Times New Roman" w:cs="Times New Roman"/>
          <w:sz w:val="24"/>
          <w:szCs w:val="24"/>
        </w:rPr>
        <w:t xml:space="preserve">Ion </w:t>
      </w:r>
      <w:proofErr w:type="spellStart"/>
      <w:r w:rsidRPr="00A538CF">
        <w:rPr>
          <w:rFonts w:ascii="Times New Roman" w:hAnsi="Times New Roman" w:cs="Times New Roman"/>
          <w:sz w:val="24"/>
          <w:szCs w:val="24"/>
        </w:rPr>
        <w:t>Ampliseq</w:t>
      </w:r>
      <w:proofErr w:type="spellEnd"/>
      <w:r w:rsidRPr="00A538CF">
        <w:rPr>
          <w:rFonts w:ascii="Times New Roman" w:hAnsi="Times New Roman" w:cs="Times New Roman"/>
          <w:sz w:val="24"/>
          <w:szCs w:val="24"/>
        </w:rPr>
        <w:t xml:space="preserve"> custom panel which covered the coding and splicing regions of 14 genes and the hotspot regions of 22 genes frequently mutated in breast cancer (</w:t>
      </w:r>
      <w:r w:rsidRPr="00A4749A">
        <w:rPr>
          <w:rFonts w:ascii="Times New Roman" w:hAnsi="Times New Roman" w:cs="Times New Roman"/>
          <w:b/>
          <w:bCs/>
          <w:sz w:val="24"/>
          <w:szCs w:val="24"/>
        </w:rPr>
        <w:t>Supplemental table S</w:t>
      </w:r>
      <w:r w:rsidR="00A4749A" w:rsidRPr="00A4749A">
        <w:rPr>
          <w:rFonts w:ascii="Times New Roman" w:hAnsi="Times New Roman" w:cs="Times New Roman"/>
          <w:b/>
          <w:bCs/>
          <w:sz w:val="24"/>
          <w:szCs w:val="24"/>
        </w:rPr>
        <w:t>1</w:t>
      </w:r>
      <w:r w:rsidRPr="00A538CF">
        <w:rPr>
          <w:rFonts w:ascii="Times New Roman" w:hAnsi="Times New Roman" w:cs="Times New Roman"/>
          <w:sz w:val="24"/>
          <w:szCs w:val="24"/>
        </w:rPr>
        <w:t xml:space="preserve">). A total of 419 amplicons were generated from genomic DNA. Following the manufacturer’s protocol, sequencing libraries (each one carrying a unique barcode) were elaborated in duplicate using Ion </w:t>
      </w:r>
      <w:proofErr w:type="spellStart"/>
      <w:r w:rsidRPr="00A538CF">
        <w:rPr>
          <w:rFonts w:ascii="Times New Roman" w:hAnsi="Times New Roman" w:cs="Times New Roman"/>
          <w:sz w:val="24"/>
          <w:szCs w:val="24"/>
        </w:rPr>
        <w:t>AmpliSeq</w:t>
      </w:r>
      <w:proofErr w:type="spellEnd"/>
      <w:r w:rsidRPr="00A538CF">
        <w:rPr>
          <w:rFonts w:ascii="Times New Roman" w:hAnsi="Times New Roman" w:cs="Times New Roman"/>
          <w:sz w:val="24"/>
          <w:szCs w:val="24"/>
        </w:rPr>
        <w:t xml:space="preserve"> Library Kit 2.0 (Thermo Fisher Scientific). Then, a reaction filter created millions of micro reactions in microspheres in which clonal amplification occurs. The product was transferred to an Ion PI Chip v3 (Thermo Fisher Scientific) for sequencing at a target coverage of 500X. Data analyses were performed by the software Ion Reporter 4.0 (Thermo Fisher Scientific) which identified single nucleotide polymorphisms (SNPs) and indels.</w:t>
      </w:r>
    </w:p>
    <w:p w14:paraId="44B9EDD0" w14:textId="031BE9A7" w:rsidR="00607486" w:rsidRDefault="00607486" w:rsidP="00A538CF">
      <w:pPr>
        <w:jc w:val="both"/>
        <w:rPr>
          <w:rFonts w:ascii="Times New Roman" w:hAnsi="Times New Roman" w:cs="Times New Roman"/>
          <w:i/>
          <w:sz w:val="24"/>
          <w:szCs w:val="24"/>
        </w:rPr>
      </w:pPr>
    </w:p>
    <w:p w14:paraId="60DF4F1B" w14:textId="77777777" w:rsidR="00F36EFB" w:rsidRPr="00A538CF" w:rsidRDefault="00F36EFB" w:rsidP="00A538CF">
      <w:pPr>
        <w:jc w:val="both"/>
        <w:rPr>
          <w:rFonts w:ascii="Times New Roman" w:hAnsi="Times New Roman" w:cs="Times New Roman"/>
          <w:i/>
          <w:sz w:val="24"/>
          <w:szCs w:val="24"/>
        </w:rPr>
      </w:pPr>
    </w:p>
    <w:p w14:paraId="2BE50B99" w14:textId="77777777" w:rsidR="00607486" w:rsidRPr="00A538CF" w:rsidRDefault="00607486" w:rsidP="00A538CF">
      <w:pPr>
        <w:jc w:val="both"/>
        <w:rPr>
          <w:rFonts w:ascii="Times New Roman" w:hAnsi="Times New Roman" w:cs="Times New Roman"/>
          <w:i/>
          <w:sz w:val="24"/>
          <w:szCs w:val="24"/>
        </w:rPr>
      </w:pPr>
      <w:r w:rsidRPr="00A538CF">
        <w:rPr>
          <w:rFonts w:ascii="Times New Roman" w:hAnsi="Times New Roman" w:cs="Times New Roman"/>
          <w:i/>
          <w:sz w:val="24"/>
          <w:szCs w:val="24"/>
        </w:rPr>
        <w:lastRenderedPageBreak/>
        <w:t xml:space="preserve">Target gene sequencing using </w:t>
      </w:r>
      <w:bookmarkStart w:id="2" w:name="_Hlk42130217"/>
      <w:proofErr w:type="spellStart"/>
      <w:r w:rsidRPr="00A538CF">
        <w:rPr>
          <w:rFonts w:ascii="Times New Roman" w:hAnsi="Times New Roman" w:cs="Times New Roman"/>
          <w:i/>
          <w:sz w:val="24"/>
          <w:szCs w:val="24"/>
        </w:rPr>
        <w:t>Sequenom</w:t>
      </w:r>
      <w:proofErr w:type="spellEnd"/>
      <w:r w:rsidRPr="00A538CF">
        <w:rPr>
          <w:rFonts w:ascii="Times New Roman" w:hAnsi="Times New Roman" w:cs="Times New Roman"/>
          <w:i/>
          <w:sz w:val="24"/>
          <w:szCs w:val="24"/>
        </w:rPr>
        <w:t xml:space="preserve"> </w:t>
      </w:r>
      <w:proofErr w:type="spellStart"/>
      <w:r w:rsidRPr="00A538CF">
        <w:rPr>
          <w:rFonts w:ascii="Times New Roman" w:hAnsi="Times New Roman" w:cs="Times New Roman"/>
          <w:i/>
          <w:sz w:val="24"/>
          <w:szCs w:val="24"/>
        </w:rPr>
        <w:t>MassARRAY</w:t>
      </w:r>
      <w:proofErr w:type="spellEnd"/>
      <w:r w:rsidRPr="00A538CF">
        <w:rPr>
          <w:rFonts w:ascii="Times New Roman" w:hAnsi="Times New Roman" w:cs="Times New Roman"/>
          <w:i/>
          <w:sz w:val="24"/>
          <w:szCs w:val="24"/>
        </w:rPr>
        <w:t xml:space="preserve"> somatic mutation genotyping, INCLIVA</w:t>
      </w:r>
    </w:p>
    <w:bookmarkEnd w:id="2"/>
    <w:p w14:paraId="0CFAA78E" w14:textId="6233C73E" w:rsidR="00607486" w:rsidRPr="00A538CF" w:rsidRDefault="00A4749A" w:rsidP="00A538CF">
      <w:pPr>
        <w:jc w:val="both"/>
        <w:rPr>
          <w:rFonts w:ascii="Times New Roman" w:hAnsi="Times New Roman" w:cs="Times New Roman"/>
          <w:sz w:val="24"/>
          <w:szCs w:val="24"/>
        </w:rPr>
      </w:pPr>
      <w:r w:rsidRPr="00A4749A">
        <w:rPr>
          <w:rFonts w:ascii="Times New Roman" w:hAnsi="Times New Roman" w:cs="Times New Roman"/>
          <w:sz w:val="24"/>
          <w:szCs w:val="24"/>
        </w:rPr>
        <w:t>DNA was extracted from FFPE tissues</w:t>
      </w:r>
      <w:r w:rsidR="00607486" w:rsidRPr="00A538CF">
        <w:rPr>
          <w:rFonts w:ascii="Times New Roman" w:hAnsi="Times New Roman" w:cs="Times New Roman"/>
          <w:sz w:val="24"/>
          <w:szCs w:val="24"/>
        </w:rPr>
        <w:t xml:space="preserve">. The minimum tumor content was set to 30%, to ensure </w:t>
      </w:r>
      <w:proofErr w:type="spellStart"/>
      <w:r w:rsidR="00607486" w:rsidRPr="00A538CF">
        <w:rPr>
          <w:rFonts w:ascii="Times New Roman" w:hAnsi="Times New Roman" w:cs="Times New Roman"/>
          <w:sz w:val="24"/>
          <w:szCs w:val="24"/>
        </w:rPr>
        <w:t>subclonal</w:t>
      </w:r>
      <w:proofErr w:type="spellEnd"/>
      <w:r w:rsidR="00607486" w:rsidRPr="00A538CF">
        <w:rPr>
          <w:rFonts w:ascii="Times New Roman" w:hAnsi="Times New Roman" w:cs="Times New Roman"/>
          <w:sz w:val="24"/>
          <w:szCs w:val="24"/>
        </w:rPr>
        <w:t xml:space="preserve"> somatic mutations identification or calling.</w:t>
      </w:r>
    </w:p>
    <w:p w14:paraId="06FAA431" w14:textId="77777777" w:rsidR="00607486" w:rsidRPr="00A538CF" w:rsidRDefault="00607486" w:rsidP="00A538CF">
      <w:pPr>
        <w:jc w:val="both"/>
        <w:rPr>
          <w:rFonts w:ascii="Times New Roman" w:hAnsi="Times New Roman" w:cs="Times New Roman"/>
          <w:sz w:val="24"/>
          <w:szCs w:val="24"/>
        </w:rPr>
      </w:pPr>
      <w:r w:rsidRPr="00A538CF">
        <w:rPr>
          <w:rFonts w:ascii="Times New Roman" w:hAnsi="Times New Roman" w:cs="Times New Roman"/>
          <w:sz w:val="24"/>
          <w:szCs w:val="24"/>
        </w:rPr>
        <w:t xml:space="preserve">The </w:t>
      </w:r>
      <w:proofErr w:type="spellStart"/>
      <w:r w:rsidRPr="00A538CF">
        <w:rPr>
          <w:rFonts w:ascii="Times New Roman" w:hAnsi="Times New Roman" w:cs="Times New Roman"/>
          <w:sz w:val="24"/>
          <w:szCs w:val="24"/>
        </w:rPr>
        <w:t>Sequenom</w:t>
      </w:r>
      <w:proofErr w:type="spellEnd"/>
      <w:r w:rsidRPr="00A538CF">
        <w:rPr>
          <w:rFonts w:ascii="Times New Roman" w:hAnsi="Times New Roman" w:cs="Times New Roman"/>
          <w:sz w:val="24"/>
          <w:szCs w:val="24"/>
        </w:rPr>
        <w:t xml:space="preserve"> </w:t>
      </w:r>
      <w:proofErr w:type="spellStart"/>
      <w:r w:rsidRPr="00A538CF">
        <w:rPr>
          <w:rFonts w:ascii="Times New Roman" w:hAnsi="Times New Roman" w:cs="Times New Roman"/>
          <w:sz w:val="24"/>
          <w:szCs w:val="24"/>
        </w:rPr>
        <w:t>MassARRAY</w:t>
      </w:r>
      <w:proofErr w:type="spellEnd"/>
      <w:r w:rsidRPr="00A538CF">
        <w:rPr>
          <w:rFonts w:ascii="Times New Roman" w:hAnsi="Times New Roman" w:cs="Times New Roman"/>
          <w:sz w:val="24"/>
          <w:szCs w:val="24"/>
        </w:rPr>
        <w:t xml:space="preserve"> and </w:t>
      </w:r>
      <w:proofErr w:type="spellStart"/>
      <w:r w:rsidRPr="00A538CF">
        <w:rPr>
          <w:rFonts w:ascii="Times New Roman" w:hAnsi="Times New Roman" w:cs="Times New Roman"/>
          <w:sz w:val="24"/>
          <w:szCs w:val="24"/>
        </w:rPr>
        <w:t>OncoCarta</w:t>
      </w:r>
      <w:proofErr w:type="spellEnd"/>
      <w:r w:rsidRPr="00A538CF">
        <w:rPr>
          <w:rFonts w:ascii="Times New Roman" w:hAnsi="Times New Roman" w:cs="Times New Roman"/>
          <w:sz w:val="24"/>
          <w:szCs w:val="24"/>
        </w:rPr>
        <w:t xml:space="preserve"> Panel v1.0 were used following the manufacturer's protocol (</w:t>
      </w:r>
      <w:proofErr w:type="spellStart"/>
      <w:r w:rsidRPr="00A538CF">
        <w:rPr>
          <w:rFonts w:ascii="Times New Roman" w:hAnsi="Times New Roman" w:cs="Times New Roman"/>
          <w:sz w:val="24"/>
          <w:szCs w:val="24"/>
        </w:rPr>
        <w:t>Sequenom</w:t>
      </w:r>
      <w:proofErr w:type="spellEnd"/>
      <w:r w:rsidRPr="00A538CF">
        <w:rPr>
          <w:rFonts w:ascii="Times New Roman" w:hAnsi="Times New Roman" w:cs="Times New Roman"/>
          <w:sz w:val="24"/>
          <w:szCs w:val="24"/>
        </w:rPr>
        <w:t xml:space="preserve">, San Diego, CA, USA; </w:t>
      </w:r>
      <w:hyperlink r:id="rId8" w:history="1">
        <w:r w:rsidRPr="00A538CF">
          <w:rPr>
            <w:rStyle w:val="Hipervnculo"/>
            <w:rFonts w:ascii="Times New Roman" w:hAnsi="Times New Roman" w:cs="Times New Roman"/>
            <w:sz w:val="24"/>
            <w:szCs w:val="24"/>
            <w:u w:val="none"/>
          </w:rPr>
          <w:t>http://agenabio.com/oncocarta-panel</w:t>
        </w:r>
      </w:hyperlink>
      <w:r w:rsidRPr="00A538CF">
        <w:rPr>
          <w:rFonts w:ascii="Times New Roman" w:hAnsi="Times New Roman" w:cs="Times New Roman"/>
          <w:sz w:val="24"/>
          <w:szCs w:val="24"/>
        </w:rPr>
        <w:t xml:space="preserve">). The panel consisted of 24 multiplex assays capable of detecting 238 mutations in 19 oncogenes. DNA was amplified using the </w:t>
      </w:r>
      <w:proofErr w:type="spellStart"/>
      <w:r w:rsidRPr="00A538CF">
        <w:rPr>
          <w:rFonts w:ascii="Times New Roman" w:hAnsi="Times New Roman" w:cs="Times New Roman"/>
          <w:sz w:val="24"/>
          <w:szCs w:val="24"/>
        </w:rPr>
        <w:t>OncoCarta</w:t>
      </w:r>
      <w:proofErr w:type="spellEnd"/>
      <w:r w:rsidRPr="00A538CF">
        <w:rPr>
          <w:rFonts w:ascii="Times New Roman" w:hAnsi="Times New Roman" w:cs="Times New Roman"/>
          <w:sz w:val="24"/>
          <w:szCs w:val="24"/>
        </w:rPr>
        <w:t xml:space="preserve"> PCR primer pools. Unincorporated nucleotides were inactivated by shrimp alkaline phosphatase (SAP), and a single base extension reaction was performed using extension primers that hybridize immediately adjacent to the mutations and a custom mixture of nucleotides. Salts were removed by the addition of a cation exchange resin. Multiplexed reactions were spotted onto </w:t>
      </w:r>
      <w:proofErr w:type="spellStart"/>
      <w:r w:rsidRPr="00A538CF">
        <w:rPr>
          <w:rFonts w:ascii="Times New Roman" w:hAnsi="Times New Roman" w:cs="Times New Roman"/>
          <w:sz w:val="24"/>
          <w:szCs w:val="24"/>
        </w:rPr>
        <w:t>SpectroCHIP</w:t>
      </w:r>
      <w:proofErr w:type="spellEnd"/>
      <w:r w:rsidRPr="00A538CF">
        <w:rPr>
          <w:rFonts w:ascii="Times New Roman" w:hAnsi="Times New Roman" w:cs="Times New Roman"/>
          <w:sz w:val="24"/>
          <w:szCs w:val="24"/>
        </w:rPr>
        <w:t xml:space="preserve"> II arrays, and DNA fragments were resolved by MALDI-TOF on the Compact Mass Spectrometer (</w:t>
      </w:r>
      <w:proofErr w:type="spellStart"/>
      <w:r w:rsidRPr="00A538CF">
        <w:rPr>
          <w:rFonts w:ascii="Times New Roman" w:hAnsi="Times New Roman" w:cs="Times New Roman"/>
          <w:sz w:val="24"/>
          <w:szCs w:val="24"/>
        </w:rPr>
        <w:t>Sequenom</w:t>
      </w:r>
      <w:proofErr w:type="spellEnd"/>
      <w:r w:rsidRPr="00A538CF">
        <w:rPr>
          <w:rFonts w:ascii="Times New Roman" w:hAnsi="Times New Roman" w:cs="Times New Roman"/>
          <w:sz w:val="24"/>
          <w:szCs w:val="24"/>
        </w:rPr>
        <w:t xml:space="preserve">, San Diego, CA). </w:t>
      </w:r>
    </w:p>
    <w:p w14:paraId="5879A8B7" w14:textId="14ADA8C5" w:rsidR="00607486" w:rsidRPr="00A538CF" w:rsidRDefault="00607486" w:rsidP="00A538CF">
      <w:pPr>
        <w:jc w:val="both"/>
        <w:rPr>
          <w:rFonts w:ascii="Times New Roman" w:hAnsi="Times New Roman" w:cs="Times New Roman"/>
          <w:sz w:val="24"/>
          <w:szCs w:val="24"/>
        </w:rPr>
      </w:pPr>
      <w:r w:rsidRPr="00A538CF">
        <w:rPr>
          <w:rFonts w:ascii="Times New Roman" w:hAnsi="Times New Roman" w:cs="Times New Roman"/>
          <w:sz w:val="24"/>
          <w:szCs w:val="24"/>
        </w:rPr>
        <w:t>Two additional customized mutation panels were used. These panels were designed in collaboration with the Cancer Genomics Group at the VHIO and included, in 12 multiplexes, a total of 107 somatic mutations in 15 genes. These two panels included 49 additional positions in 6 additional genes. Therefore, a total of 287 different positions in 25 oncogenes were checked (</w:t>
      </w:r>
      <w:r w:rsidRPr="00A4749A">
        <w:rPr>
          <w:rFonts w:ascii="Times New Roman" w:hAnsi="Times New Roman" w:cs="Times New Roman"/>
          <w:b/>
          <w:bCs/>
          <w:sz w:val="24"/>
          <w:szCs w:val="24"/>
        </w:rPr>
        <w:t>Supplemental Table S</w:t>
      </w:r>
      <w:r w:rsidR="00A4749A" w:rsidRPr="00A4749A">
        <w:rPr>
          <w:rFonts w:ascii="Times New Roman" w:hAnsi="Times New Roman" w:cs="Times New Roman"/>
          <w:b/>
          <w:bCs/>
          <w:sz w:val="24"/>
          <w:szCs w:val="24"/>
        </w:rPr>
        <w:t>1</w:t>
      </w:r>
      <w:r w:rsidRPr="00A538CF">
        <w:rPr>
          <w:rFonts w:ascii="Times New Roman" w:hAnsi="Times New Roman" w:cs="Times New Roman"/>
          <w:sz w:val="24"/>
          <w:szCs w:val="24"/>
        </w:rPr>
        <w:t>).</w:t>
      </w:r>
    </w:p>
    <w:p w14:paraId="4E4A682B" w14:textId="1DFC13E6" w:rsidR="00607486" w:rsidRDefault="00607486" w:rsidP="00A538CF">
      <w:pPr>
        <w:jc w:val="both"/>
        <w:rPr>
          <w:rFonts w:ascii="Times New Roman" w:hAnsi="Times New Roman" w:cs="Times New Roman"/>
          <w:sz w:val="24"/>
          <w:szCs w:val="24"/>
        </w:rPr>
      </w:pPr>
      <w:r w:rsidRPr="00A538CF">
        <w:rPr>
          <w:rFonts w:ascii="Times New Roman" w:hAnsi="Times New Roman" w:cs="Times New Roman"/>
          <w:sz w:val="24"/>
          <w:szCs w:val="24"/>
        </w:rPr>
        <w:t xml:space="preserve">Data were analyzed using the </w:t>
      </w:r>
      <w:proofErr w:type="spellStart"/>
      <w:r w:rsidRPr="00A538CF">
        <w:rPr>
          <w:rFonts w:ascii="Times New Roman" w:hAnsi="Times New Roman" w:cs="Times New Roman"/>
          <w:sz w:val="24"/>
          <w:szCs w:val="24"/>
        </w:rPr>
        <w:t>Sequenom</w:t>
      </w:r>
      <w:proofErr w:type="spellEnd"/>
      <w:r w:rsidRPr="00A538CF">
        <w:rPr>
          <w:rFonts w:ascii="Times New Roman" w:hAnsi="Times New Roman" w:cs="Times New Roman"/>
          <w:sz w:val="24"/>
          <w:szCs w:val="24"/>
        </w:rPr>
        <w:t xml:space="preserve"> </w:t>
      </w:r>
      <w:proofErr w:type="spellStart"/>
      <w:r w:rsidRPr="00A538CF">
        <w:rPr>
          <w:rFonts w:ascii="Times New Roman" w:hAnsi="Times New Roman" w:cs="Times New Roman"/>
          <w:sz w:val="24"/>
          <w:szCs w:val="24"/>
        </w:rPr>
        <w:t>MassARRAY</w:t>
      </w:r>
      <w:proofErr w:type="spellEnd"/>
      <w:r w:rsidRPr="00A538CF">
        <w:rPr>
          <w:rFonts w:ascii="Times New Roman" w:hAnsi="Times New Roman" w:cs="Times New Roman"/>
          <w:sz w:val="24"/>
          <w:szCs w:val="24"/>
        </w:rPr>
        <w:t xml:space="preserve"> </w:t>
      </w:r>
      <w:proofErr w:type="spellStart"/>
      <w:r w:rsidRPr="00A538CF">
        <w:rPr>
          <w:rFonts w:ascii="Times New Roman" w:hAnsi="Times New Roman" w:cs="Times New Roman"/>
          <w:sz w:val="24"/>
          <w:szCs w:val="24"/>
        </w:rPr>
        <w:t>Typer</w:t>
      </w:r>
      <w:proofErr w:type="spellEnd"/>
      <w:r w:rsidRPr="00A538CF">
        <w:rPr>
          <w:rFonts w:ascii="Times New Roman" w:hAnsi="Times New Roman" w:cs="Times New Roman"/>
          <w:sz w:val="24"/>
          <w:szCs w:val="24"/>
        </w:rPr>
        <w:t xml:space="preserve"> </w:t>
      </w:r>
      <w:proofErr w:type="spellStart"/>
      <w:r w:rsidRPr="00A538CF">
        <w:rPr>
          <w:rFonts w:ascii="Times New Roman" w:hAnsi="Times New Roman" w:cs="Times New Roman"/>
          <w:sz w:val="24"/>
          <w:szCs w:val="24"/>
        </w:rPr>
        <w:t>Analyser</w:t>
      </w:r>
      <w:proofErr w:type="spellEnd"/>
      <w:r w:rsidRPr="00A538CF">
        <w:rPr>
          <w:rFonts w:ascii="Times New Roman" w:hAnsi="Times New Roman" w:cs="Times New Roman"/>
          <w:sz w:val="24"/>
          <w:szCs w:val="24"/>
        </w:rPr>
        <w:t xml:space="preserve"> 4.0 Software to visualize the mass spectra for mutations and to determine the frequency of mutant and wild-type alleles. The lower threshold for mutation detection was set at 10%</w:t>
      </w:r>
      <w:r w:rsidRPr="00A538CF">
        <w:rPr>
          <w:rFonts w:ascii="Times New Roman" w:hAnsi="Times New Roman" w:cs="Times New Roman"/>
          <w:sz w:val="24"/>
          <w:szCs w:val="24"/>
        </w:rPr>
        <w:fldChar w:fldCharType="begin" w:fldLock="1"/>
      </w:r>
      <w:r w:rsidRPr="00A538CF">
        <w:rPr>
          <w:rFonts w:ascii="Times New Roman" w:hAnsi="Times New Roman" w:cs="Times New Roman"/>
          <w:sz w:val="24"/>
          <w:szCs w:val="24"/>
        </w:rPr>
        <w:instrText>ADDIN CSL_CITATION {"citationItems":[{"id":"ITEM-1","itemData":{"DOI":"10.1186/1471-2407-10-101","ISSN":"14712407","abstract":"Background: An increasing number of studies show that genetic markers can aid in refining prognostic information and predicting the benefit from systemic therapy. Our goal was to develop a high throughput, cost-effective and simple methodology for the detection of clinically relevant hot spot mutations in colon cancer.Methods: The Maldi-Tof mass spectrometry platform and OncoCarta panel from Sequenom were used to profile 239 colon cancers and 39 metastatic lymph nodes from NSABP clinical trial C-07 utilizing routinely processed FFPET (formalin-fixed paraffin-embedded tissue).Results: Among the 238 common hot-spot cancer mutations in 19 genes interrogated by the OncoCarta panel, mutations were detected in 7 different genes at 26 different nucleotide positions in our colon cancer samples. Twenty-four assays that detected mutations in more than 1% of the samples were reconfigured into a new multiplexed panel, termed here as ColoCarta. Mutation profiling was repeated on 32 mutant samples using ColoCarta and the results were identical to results with OncoCarta, demonstrating that this methodology was reproducible. Further evidence demonstrating the validity of the data was the fact that the mutation frequencies of the most common colon cancer mutations were similar to the COSMIC (Catalog of Somatic Mutations in Cancer) database. The frequencies were 43.5% for KRAS, 20.1% for PIK3CA, and 12.1% for BRAF. In addition, infrequent mutations in NRAS, AKT1, ABL1, and MET were detected. Mutation profiling of metastatic lymph nodes and their corresponding primary tumors showed that they were 89.7% concordant. All mutations found in the lymph nodes were also found in the corresponding primary tumors, but in 4 cases a mutation was present in the primary tumor only.Conclusions: This study describes a high throughput technology that can be used to interrogate DNAs isolated from routinely processed FFPET and identifies the specific mutations that are common to colon cancer. The development of this technology and the ColoCarta panel may provide a mechanism for rapid screening of mutations in clinically relevant genes like KRAS, PIK3CA, and BRAF.Trial Registration: ClinicalTrials.gov: NSABP C-07: NCT00004931. © 2010 Fumagalli et al; licensee BioMed Central Ltd.","author":[{"dropping-particle":"","family":"Fumagalli","given":"Debora","non-dropping-particle":"","parse-names":false,"suffix":""},{"dropping-particle":"","family":"Gavin","given":"Patrick G.","non-dropping-particle":"","parse-names":false,"suffix":""},{"dropping-particle":"","family":"Taniyama","given":"Yusuke","non-dropping-particle":"","parse-names":false,"suffix":""},{"dropping-particle":"Il","family":"Kim","given":"Seung","non-dropping-particle":"","parse-names":false,"suffix":""},{"dropping-particle":"","family":"Choi","given":"Hyun Joo","non-dropping-particle":"","parse-names":false,"suffix":""},{"dropping-particle":"","family":"Paik","given":"Soonmyung","non-dropping-particle":"","parse-names":false,"suffix":""},{"dropping-particle":"","family":"Pogue-Geile","given":"Katherine L.","non-dropping-particle":"","parse-names":false,"suffix":""}],"container-title":"BMC Cancer","id":"ITEM-1","issue":"1","issued":{"date-parts":[["2010","3","16"]]},"page":"101","publisher":"BioMed Central","title":"A rapid, sensitive, reproducible and cost-effective method for mutation profiling of colon cancer and metastatic lymph nodes","type":"article-journal","volume":"10"},"uris":["http://www.mendeley.com/documents/?uuid=a95e8ff2-ed9e-31ca-bcb7-4959a22a46d9"]},{"id":"ITEM-2","itemData":{"DOI":"10.1371/journal.pone.0067258","ISSN":"19326203","abstract":"PIK3CA (phosphoinositide-3-kinase, catalytic, alpha polypeptide) mutations can help predict the antitumor activity of phosphatidylinositol-3-kinase (PI3K)/mammalian target of rapamycin (mTOR) pathway inhibitors in both preclinical and clinical settings. In light of the recent discovery of tumor-initiating cancer stem cells (CSCs) in various tumor types, we developed an in vitro CSC model from xenograft tumors established in mice from a colorectal cancer patient tumor in which the CD133+/EpCAM+ population represented tumor-initiating cells. CD133+/EpCAM+ CSCs were enriched under stem cell culture conditions and formed 3-dimensional tumor spheroids. Tumor spheroid cells exhibited CSC properties, including the capability for differentiation and self-renewal, higher tumorigenic potential and chemo-resistance. Genetic analysis using an OncoCarta™ panel revealed a PIK3CA (H1047R) mutation in these cells. Using a dual PI3K/mTOR inhibitor, PF-04691502, we then showed that blockage of the PI3K/mTOR pathway inhibited the in vitro proliferation of CSCs and in vivo xenograft tumor growth with manageable toxicity. Tumor growth inhibition in mice was accompanied by a significant reduction of phosphorylated Akt (pAKT) (S473), a well-established surrogate biomarker of PI3K/mTOR signaling pathway inhibition. Collectively, our data suggest that PF-04691502 exhibits potent anticancer activity in colorectal cancer by targeting both PIK3CA (H1047R) mutant CSCs and their derivatives. These results may assist in the clinical development of PF-04691502 for the treatment of a subpopulation of colorectal cancer patients with poor outcomes. © 2013 Fang et al.","author":[{"dropping-particle":"","family":"Fang","given":"Douglas D.","non-dropping-particle":"","parse-names":false,"suffix":""},{"dropping-particle":"","family":"Zhang","given":"Cathy C.","non-dropping-particle":"","parse-names":false,"suffix":""},{"dropping-particle":"","family":"Gu","given":"Yin","non-dropping-particle":"","parse-names":false,"suffix":""},{"dropping-particle":"","family":"Jani","given":"Jitesh P.","non-dropping-particle":"","parse-names":false,"suffix":""},{"dropping-particle":"","family":"Cao","given":"Joan","non-dropping-particle":"","parse-names":false,"suffix":""},{"dropping-particle":"","family":"Tsaparikos","given":"Konstantinos","non-dropping-particle":"","parse-names":false,"suffix":""},{"dropping-particle":"","family":"Yuan","given":"Jing","non-dropping-particle":"","parse-names":false,"suffix":""},{"dropping-particle":"","family":"Thiel","given":"Melissa","non-dropping-particle":"","parse-names":false,"suffix":""},{"dropping-particle":"","family":"Jackson-Fisher","given":"Amy","non-dropping-particle":"","parse-names":false,"suffix":""},{"dropping-particle":"","family":"Zong","given":"Qing","non-dropping-particle":"","parse-names":false,"suffix":""},{"dropping-particle":"","family":"Lappin","given":"Patrick B.","non-dropping-particle":"","parse-names":false,"suffix":""},{"dropping-particle":"","family":"Hayashi","given":"Tomoko","non-dropping-particle":"","parse-names":false,"suffix":""},{"dropping-particle":"","family":"Schwab","given":"Richard B.","non-dropping-particle":"","parse-names":false,"suffix":""},{"dropping-particle":"","family":"Wong","given":"Anthony","non-dropping-particle":"","parse-names":false,"suffix":""},{"dropping-particle":"","family":"John-Baptiste","given":"Annette","non-dropping-particle":"","parse-names":false,"suffix":""},{"dropping-particle":"","family":"Bagrodia","given":"Shubha","non-dropping-particle":"","parse-names":false,"suffix":""},{"dropping-particle":"","family":"Los","given":"Geritt","non-dropping-particle":"","parse-names":false,"suffix":""},{"dropping-particle":"","family":"Bender","given":"Steve","non-dropping-particle":"","parse-names":false,"suffix":""},{"dropping-particle":"","family":"Christensen","given":"James","non-dropping-particle":"","parse-names":false,"suffix":""},{"dropping-particle":"","family":"VanArsdale","given":"Todd","non-dropping-particle":"","parse-names":false,"suffix":""}],"container-title":"PLoS ONE","id":"ITEM-2","issue":"6","issued":{"date-parts":[["2013","6","27"]]},"publisher":"Public Library of Science","title":"Antitumor Efficacy of the Dual PI3K/mTOR Inhibitor PF-04691502 in a Human Xenograft Tumor Model Derived from Colorectal Cancer Stem Cells Harboring a PIK3CA Mutation","type":"article-journal","volume":"8"},"uris":["http://www.mendeley.com/documents/?uuid=8d50b4eb-7c45-3ac4-bda7-1706358104cb"]},{"id":"ITEM-3","itemData":{"DOI":"10.1158/1535-7163.MCT-11-0676","ISSN":"15357163","abstract":"Success with molecular-based targeted drugs in the treatment of cancer has ignited extensive research efforts within the field of personalized therapeutics. However, successful application of such therapies is dependent on the presence or absence of mutations within the patient's tumor that can confer clinical efficacy or drug resistance. Building on these findings, we developed a high-throughput mutation panel for the identification of frequently occurring and clinically relevant mutations in melanoma. An extensive literature search and interrogation of the Catalogue of Somatic Mutations in Cancer database identified more than 1,000 melanoma mutations. Applying a filtering strategy to focus on mutations amenable to the development of targeted drugs, we initially screened 120 known mutations in 271 samples using the Sequenom MassARRAY system.Atotal of 252 mutations were detected in 17 genes, the highest frequency occurred in BRAF (n = 154, 57%), NRAS (n = 55, 20%), CDK4 (n = 8, 3%), PTK2B (n = 7, 2.5%), and ERBB4 (n = 5, 2%). Based on this initial discovery screen, a total of 46 assays interrogating 39 mutations in 20 genes were designed to develop a melanoma-specific panel. These assays were distributed in multiplexes over 8 wells using strict assay design parameters optimized for sensitive mutation detection. The final melanoma-specific mutation panel is a cost effective, sensitive, high-throughput approach for identifying mutations of clinical relevance to molecular-based therapeutics for the treatment of melanoma. When used in a clinical research setting, the panel may rapidly and accurately identify potentially effective treatment strategies using novel or existing molecularly targeted drugs. ©2012 AACR.","author":[{"dropping-particle":"","family":"Dutton-Regester","given":"Ken","non-dropping-particle":"","parse-names":false,"suffix":""},{"dropping-particle":"","family":"Irwin","given":"Darryl","non-dropping-particle":"","parse-names":false,"suffix":""},{"dropping-particle":"","family":"Hunt","given":"Priscilla","non-dropping-particle":"","parse-names":false,"suffix":""},{"dropping-particle":"","family":"Aoude","given":"Lauren G.","non-dropping-particle":"","parse-names":false,"suffix":""},{"dropping-particle":"","family":"Tembe","given":"Varsha","non-dropping-particle":"","parse-names":false,"suffix":""},{"dropping-particle":"","family":"Pupo","given":"Gulietta M.","non-dropping-particle":"","parse-names":false,"suffix":""},{"dropping-particle":"","family":"Lanagan","given":"Cathy","non-dropping-particle":"","parse-names":false,"suffix":""},{"dropping-particle":"","family":"Carter","given":"Candace D.","non-dropping-particle":"","parse-names":false,"suffix":""},{"dropping-particle":"","family":"O'Connor","given":"Linda","non-dropping-particle":"","parse-names":false,"suffix":""},{"dropping-particle":"","family":"O'Rourke","given":"Michael","non-dropping-particle":"","parse-names":false,"suffix":""},{"dropping-particle":"","family":"Scolyer","given":"Richard A.","non-dropping-particle":"","parse-names":false,"suffix":""},{"dropping-particle":"","family":"Mann","given":"Graham J.","non-dropping-particle":"","parse-names":false,"suffix":""},{"dropping-particle":"","family":"Schmidt","given":"Christopher W.","non-dropping-particle":"","parse-names":false,"suffix":""},{"dropping-particle":"","family":"Herington","given":"Adrian","non-dropping-particle":"","parse-names":false,"suffix":""},{"dropping-particle":"","family":"Hayward","given":"Nicholas K.","non-dropping-particle":"","parse-names":false,"suffix":""}],"container-title":"Molecular Cancer Therapeutics","id":"ITEM-3","issue":"4","issued":{"date-parts":[["2012"]]},"page":"888-897","title":"A high-throughput panel for identifying clinically relevant mutation profiles in melanoma","type":"article-journal","volume":"11"},"uris":["http://www.mendeley.com/documents/?uuid=9720211b-d95d-3722-b34e-7b85e18e8691"]}],"mendeley":{"formattedCitation":"&lt;sup&gt;14–16&lt;/sup&gt;","plainTextFormattedCitation":"14–16","previouslyFormattedCitation":"&lt;sup&gt;14–16&lt;/sup&gt;"},"properties":{"noteIndex":0},"schema":"https://github.com/citation-style-language/schema/raw/master/csl-citation.json"}</w:instrText>
      </w:r>
      <w:r w:rsidRPr="00A538CF">
        <w:rPr>
          <w:rFonts w:ascii="Times New Roman" w:hAnsi="Times New Roman" w:cs="Times New Roman"/>
          <w:sz w:val="24"/>
          <w:szCs w:val="24"/>
        </w:rPr>
        <w:fldChar w:fldCharType="separate"/>
      </w:r>
      <w:r w:rsidRPr="00A538CF">
        <w:rPr>
          <w:rFonts w:ascii="Times New Roman" w:hAnsi="Times New Roman" w:cs="Times New Roman"/>
          <w:sz w:val="24"/>
          <w:szCs w:val="24"/>
          <w:vertAlign w:val="superscript"/>
        </w:rPr>
        <w:t>14–16</w:t>
      </w:r>
      <w:r w:rsidRPr="00A538CF">
        <w:rPr>
          <w:rFonts w:ascii="Times New Roman" w:hAnsi="Times New Roman" w:cs="Times New Roman"/>
          <w:sz w:val="24"/>
          <w:szCs w:val="24"/>
        </w:rPr>
        <w:fldChar w:fldCharType="end"/>
      </w:r>
      <w:r w:rsidRPr="00A538CF">
        <w:rPr>
          <w:rFonts w:ascii="Times New Roman" w:hAnsi="Times New Roman" w:cs="Times New Roman"/>
          <w:sz w:val="24"/>
          <w:szCs w:val="24"/>
        </w:rPr>
        <w:t>. Mutations were manually reviewed using visual and raw spectrum patterns. Two different personnel in the laboratory scored mutations.</w:t>
      </w:r>
    </w:p>
    <w:p w14:paraId="6A9432B2" w14:textId="5269D631" w:rsidR="00233D49" w:rsidRDefault="00233D49" w:rsidP="00A538CF">
      <w:pPr>
        <w:jc w:val="both"/>
        <w:rPr>
          <w:rFonts w:ascii="Times New Roman" w:hAnsi="Times New Roman" w:cs="Times New Roman"/>
          <w:sz w:val="24"/>
          <w:szCs w:val="24"/>
        </w:rPr>
      </w:pPr>
    </w:p>
    <w:p w14:paraId="414AF57C" w14:textId="65E816AA" w:rsidR="00233D49" w:rsidRPr="0034468B" w:rsidRDefault="00233D49" w:rsidP="0034468B">
      <w:pPr>
        <w:spacing w:line="360" w:lineRule="auto"/>
        <w:jc w:val="both"/>
        <w:rPr>
          <w:rFonts w:ascii="Times New Roman" w:hAnsi="Times New Roman" w:cs="Times New Roman"/>
          <w:bCs/>
          <w:i/>
          <w:iCs/>
          <w:sz w:val="24"/>
          <w:szCs w:val="24"/>
        </w:rPr>
      </w:pPr>
      <w:r w:rsidRPr="0034468B">
        <w:rPr>
          <w:rFonts w:ascii="Times New Roman" w:hAnsi="Times New Roman" w:cs="Times New Roman"/>
          <w:bCs/>
          <w:i/>
          <w:iCs/>
          <w:sz w:val="24"/>
          <w:szCs w:val="24"/>
        </w:rPr>
        <w:t>Average depth</w:t>
      </w:r>
    </w:p>
    <w:p w14:paraId="7E51E6C1" w14:textId="77777777" w:rsidR="00233D49" w:rsidRDefault="00233D49" w:rsidP="0034468B">
      <w:pPr>
        <w:jc w:val="both"/>
        <w:rPr>
          <w:rFonts w:ascii="Times New Roman" w:hAnsi="Times New Roman" w:cs="Times New Roman"/>
          <w:sz w:val="24"/>
          <w:szCs w:val="24"/>
        </w:rPr>
      </w:pPr>
      <w:r w:rsidRPr="0034468B">
        <w:rPr>
          <w:rFonts w:ascii="Times New Roman" w:hAnsi="Times New Roman" w:cs="Times New Roman"/>
          <w:sz w:val="24"/>
          <w:szCs w:val="24"/>
        </w:rPr>
        <w:t>The targeted regions were covered on average at 2,355.98 (143-17641) of sequencing deep. Nonsynonymous somatic mutations were called from the clinical cancer panels in regions covered by at least &gt;300X sequencing depth and a fixed threshold of 2.5 to 10% variant allele fraction (VAF).</w:t>
      </w:r>
    </w:p>
    <w:p w14:paraId="7A54B04B" w14:textId="77777777" w:rsidR="00233D49" w:rsidRPr="00A538CF" w:rsidRDefault="00233D49" w:rsidP="00A538CF">
      <w:pPr>
        <w:jc w:val="both"/>
        <w:rPr>
          <w:rFonts w:ascii="Times New Roman" w:hAnsi="Times New Roman" w:cs="Times New Roman"/>
          <w:b/>
          <w:bCs/>
          <w:sz w:val="24"/>
          <w:szCs w:val="24"/>
        </w:rPr>
      </w:pPr>
    </w:p>
    <w:p w14:paraId="3D9FFD3D" w14:textId="77777777" w:rsidR="002F7094" w:rsidRPr="00FF79FF" w:rsidRDefault="002F7094" w:rsidP="00A538CF">
      <w:pPr>
        <w:spacing w:line="360" w:lineRule="auto"/>
        <w:jc w:val="both"/>
        <w:rPr>
          <w:rFonts w:ascii="Times New Roman" w:hAnsi="Times New Roman" w:cs="Times New Roman"/>
          <w:bCs/>
          <w:i/>
          <w:iCs/>
          <w:sz w:val="24"/>
          <w:szCs w:val="24"/>
        </w:rPr>
      </w:pPr>
      <w:r w:rsidRPr="00FF79FF">
        <w:rPr>
          <w:rFonts w:ascii="Times New Roman" w:hAnsi="Times New Roman" w:cs="Times New Roman"/>
          <w:bCs/>
          <w:i/>
          <w:iCs/>
          <w:sz w:val="24"/>
          <w:szCs w:val="24"/>
        </w:rPr>
        <w:t>Gene expression analysis</w:t>
      </w:r>
    </w:p>
    <w:p w14:paraId="069F24C3" w14:textId="12E0D7BE" w:rsidR="00607486" w:rsidRPr="00A538CF" w:rsidRDefault="002F7094" w:rsidP="00A538CF">
      <w:pPr>
        <w:jc w:val="both"/>
        <w:rPr>
          <w:rFonts w:ascii="Times New Roman" w:hAnsi="Times New Roman" w:cs="Times New Roman"/>
          <w:b/>
          <w:bCs/>
          <w:sz w:val="24"/>
          <w:szCs w:val="24"/>
        </w:rPr>
      </w:pPr>
      <w:r w:rsidRPr="00A538CF">
        <w:rPr>
          <w:rFonts w:ascii="Times New Roman" w:hAnsi="Times New Roman" w:cs="Times New Roman"/>
          <w:sz w:val="24"/>
          <w:szCs w:val="24"/>
        </w:rPr>
        <w:t xml:space="preserve">A section of FFPE breast tissue was first examined with hematoxylin and eosin staining from the same core biopsy than the one used for nucleic acid extraction and molecular analysis to confirm the presence of invasive tumor cells (≥10%) and to determine the minimum tumor surface area (10 mm2). For RNA purification (High Pure FFPET RNA isolation kit, Roche, Indianapolis, IN, USA) at least two 10μm FFPE slides were used. </w:t>
      </w:r>
      <w:proofErr w:type="spellStart"/>
      <w:r w:rsidRPr="00A538CF">
        <w:rPr>
          <w:rFonts w:ascii="Times New Roman" w:hAnsi="Times New Roman" w:cs="Times New Roman"/>
          <w:sz w:val="24"/>
          <w:szCs w:val="24"/>
        </w:rPr>
        <w:lastRenderedPageBreak/>
        <w:t>Macrodissection</w:t>
      </w:r>
      <w:proofErr w:type="spellEnd"/>
      <w:r w:rsidRPr="00A538CF">
        <w:rPr>
          <w:rFonts w:ascii="Times New Roman" w:hAnsi="Times New Roman" w:cs="Times New Roman"/>
          <w:sz w:val="24"/>
          <w:szCs w:val="24"/>
        </w:rPr>
        <w:t xml:space="preserve"> was performed to avoid contamination with normal tissue. A minimum of </w:t>
      </w:r>
      <w:r w:rsidRPr="00A538CF">
        <w:rPr>
          <w:rFonts w:ascii="Times New Roman" w:hAnsi="Times New Roman" w:cs="Times New Roman"/>
          <w:sz w:val="24"/>
          <w:szCs w:val="24"/>
        </w:rPr>
        <w:sym w:font="Symbol" w:char="F07E"/>
      </w:r>
      <w:r w:rsidRPr="00A538CF">
        <w:rPr>
          <w:rFonts w:ascii="Times New Roman" w:hAnsi="Times New Roman" w:cs="Times New Roman"/>
          <w:sz w:val="24"/>
          <w:szCs w:val="24"/>
        </w:rPr>
        <w:t xml:space="preserve">125 ng of total RNA was used to measure the expression of 55 breast cancer-related genes using the </w:t>
      </w:r>
      <w:proofErr w:type="spellStart"/>
      <w:r w:rsidRPr="00A538CF">
        <w:rPr>
          <w:rFonts w:ascii="Times New Roman" w:hAnsi="Times New Roman" w:cs="Times New Roman"/>
          <w:sz w:val="24"/>
          <w:szCs w:val="24"/>
        </w:rPr>
        <w:t>nCounter</w:t>
      </w:r>
      <w:proofErr w:type="spellEnd"/>
      <w:r w:rsidRPr="00A538CF">
        <w:rPr>
          <w:rFonts w:ascii="Times New Roman" w:hAnsi="Times New Roman" w:cs="Times New Roman"/>
          <w:sz w:val="24"/>
          <w:szCs w:val="24"/>
        </w:rPr>
        <w:t xml:space="preserve"> platform (</w:t>
      </w:r>
      <w:proofErr w:type="spellStart"/>
      <w:r w:rsidRPr="00A538CF">
        <w:rPr>
          <w:rFonts w:ascii="Times New Roman" w:hAnsi="Times New Roman" w:cs="Times New Roman"/>
          <w:sz w:val="24"/>
          <w:szCs w:val="24"/>
        </w:rPr>
        <w:t>Nanostring</w:t>
      </w:r>
      <w:proofErr w:type="spellEnd"/>
      <w:r w:rsidRPr="00A538CF">
        <w:rPr>
          <w:rFonts w:ascii="Times New Roman" w:hAnsi="Times New Roman" w:cs="Times New Roman"/>
          <w:sz w:val="24"/>
          <w:szCs w:val="24"/>
        </w:rPr>
        <w:t xml:space="preserve"> Technologies, Seattle, WA, USA), including the 50 genes of the PAM50 subtype predictor, androgen receptor and 4 immune genes (</w:t>
      </w:r>
      <w:r w:rsidRPr="00A538CF">
        <w:rPr>
          <w:rFonts w:ascii="Times New Roman" w:hAnsi="Times New Roman" w:cs="Times New Roman"/>
          <w:i/>
          <w:sz w:val="24"/>
          <w:szCs w:val="24"/>
        </w:rPr>
        <w:t xml:space="preserve">CD4, CD8, PD1 </w:t>
      </w:r>
      <w:r w:rsidRPr="00A538CF">
        <w:rPr>
          <w:rFonts w:ascii="Times New Roman" w:hAnsi="Times New Roman" w:cs="Times New Roman"/>
          <w:sz w:val="24"/>
          <w:szCs w:val="24"/>
        </w:rPr>
        <w:t>and</w:t>
      </w:r>
      <w:r w:rsidRPr="00A538CF">
        <w:rPr>
          <w:rFonts w:ascii="Times New Roman" w:hAnsi="Times New Roman" w:cs="Times New Roman"/>
          <w:i/>
          <w:sz w:val="24"/>
          <w:szCs w:val="24"/>
        </w:rPr>
        <w:t xml:space="preserve"> PDL1</w:t>
      </w:r>
      <w:r w:rsidRPr="00A538CF">
        <w:rPr>
          <w:rFonts w:ascii="Times New Roman" w:hAnsi="Times New Roman" w:cs="Times New Roman"/>
          <w:sz w:val="24"/>
          <w:szCs w:val="24"/>
        </w:rPr>
        <w:t>). Data were normalized using 5 housekeeping genes (</w:t>
      </w:r>
      <w:r w:rsidRPr="00A538CF">
        <w:rPr>
          <w:rFonts w:ascii="Times New Roman" w:hAnsi="Times New Roman" w:cs="Times New Roman"/>
          <w:i/>
          <w:sz w:val="24"/>
          <w:szCs w:val="24"/>
        </w:rPr>
        <w:t xml:space="preserve">ACTB, MRPL19, PSMC4, RPLP0, </w:t>
      </w:r>
      <w:r w:rsidRPr="00A538CF">
        <w:rPr>
          <w:rFonts w:ascii="Times New Roman" w:hAnsi="Times New Roman" w:cs="Times New Roman"/>
          <w:sz w:val="24"/>
          <w:szCs w:val="24"/>
        </w:rPr>
        <w:t>and</w:t>
      </w:r>
      <w:r w:rsidRPr="00A538CF">
        <w:rPr>
          <w:rFonts w:ascii="Times New Roman" w:hAnsi="Times New Roman" w:cs="Times New Roman"/>
          <w:i/>
          <w:sz w:val="24"/>
          <w:szCs w:val="24"/>
        </w:rPr>
        <w:t xml:space="preserve"> SF3A1</w:t>
      </w:r>
      <w:r w:rsidRPr="00A538CF">
        <w:rPr>
          <w:rFonts w:ascii="Times New Roman" w:hAnsi="Times New Roman" w:cs="Times New Roman"/>
          <w:sz w:val="24"/>
          <w:szCs w:val="24"/>
        </w:rPr>
        <w:t>), and log2 transformed (</w:t>
      </w:r>
      <w:r w:rsidRPr="00A538CF">
        <w:rPr>
          <w:rFonts w:ascii="Times New Roman" w:hAnsi="Times New Roman" w:cs="Times New Roman"/>
          <w:b/>
          <w:sz w:val="24"/>
          <w:szCs w:val="24"/>
        </w:rPr>
        <w:t>Additional file 2</w:t>
      </w:r>
      <w:r w:rsidRPr="00A538CF">
        <w:rPr>
          <w:rFonts w:ascii="Times New Roman" w:hAnsi="Times New Roman" w:cs="Times New Roman"/>
          <w:sz w:val="24"/>
          <w:szCs w:val="24"/>
        </w:rPr>
        <w:t>).</w:t>
      </w:r>
    </w:p>
    <w:p w14:paraId="3C9B6F5A" w14:textId="77777777" w:rsidR="00607486" w:rsidRDefault="00607486" w:rsidP="00A538CF">
      <w:pPr>
        <w:jc w:val="both"/>
        <w:rPr>
          <w:rFonts w:ascii="TimesNewRomanPSMT" w:hAnsi="TimesNewRomanPSMT" w:cs="TimesNewRomanPSMT"/>
          <w:b/>
          <w:bCs/>
          <w:u w:val="single"/>
        </w:rPr>
      </w:pPr>
    </w:p>
    <w:p w14:paraId="0C79D6CD" w14:textId="3AD50118" w:rsidR="001C76C9" w:rsidRPr="00825FFA" w:rsidRDefault="001C76C9" w:rsidP="000343D1">
      <w:pPr>
        <w:rPr>
          <w:rFonts w:ascii="TimesNewRomanPSMT" w:hAnsi="TimesNewRomanPSMT" w:cs="TimesNewRomanPSMT"/>
          <w:b/>
          <w:bCs/>
          <w:u w:val="single"/>
        </w:rPr>
      </w:pPr>
      <w:r w:rsidRPr="00825FFA">
        <w:rPr>
          <w:rFonts w:ascii="TimesNewRomanPSMT" w:hAnsi="TimesNewRomanPSMT" w:cs="TimesNewRomanPSMT"/>
          <w:b/>
          <w:bCs/>
          <w:u w:val="single"/>
        </w:rPr>
        <w:t>Supplemental material</w:t>
      </w:r>
    </w:p>
    <w:p w14:paraId="42B0551E" w14:textId="2AFB79BB" w:rsidR="000343D1" w:rsidRDefault="00F91DBD" w:rsidP="000343D1">
      <w:r w:rsidRPr="000A225C">
        <w:rPr>
          <w:rFonts w:ascii="TimesNewRomanPSMT" w:hAnsi="TimesNewRomanPSMT" w:cs="TimesNewRomanPSMT"/>
          <w:b/>
          <w:bCs/>
        </w:rPr>
        <w:t xml:space="preserve">Table S1 – </w:t>
      </w:r>
      <w:r w:rsidRPr="000A225C">
        <w:rPr>
          <w:rFonts w:ascii="TimesNewRomanPSMT" w:hAnsi="TimesNewRomanPSMT" w:cs="TimesNewRomanPSMT"/>
        </w:rPr>
        <w:t>Detailed gene panels used in AGATA per genomic center</w:t>
      </w:r>
    </w:p>
    <w:p w14:paraId="40916BBE" w14:textId="42566D68" w:rsidR="00F91DBD" w:rsidRDefault="000343D1" w:rsidP="00825FFA">
      <w:pPr>
        <w:jc w:val="center"/>
      </w:pPr>
      <w:r w:rsidRPr="000343D1">
        <w:rPr>
          <w:noProof/>
        </w:rPr>
        <w:drawing>
          <wp:inline distT="0" distB="0" distL="0" distR="0" wp14:anchorId="16242482" wp14:editId="03994807">
            <wp:extent cx="2920626" cy="3864387"/>
            <wp:effectExtent l="0" t="0" r="0" b="3175"/>
            <wp:docPr id="11" name="Imagen 10">
              <a:extLst xmlns:a="http://schemas.openxmlformats.org/drawingml/2006/main">
                <a:ext uri="{FF2B5EF4-FFF2-40B4-BE49-F238E27FC236}">
                  <a16:creationId xmlns:a16="http://schemas.microsoft.com/office/drawing/2014/main" id="{0528B9DC-01B6-41B6-B937-D6E88E2474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0528B9DC-01B6-41B6-B937-D6E88E2474B0}"/>
                        </a:ext>
                      </a:extLst>
                    </pic:cNvPr>
                    <pic:cNvPicPr>
                      <a:picLocks noChangeAspect="1"/>
                    </pic:cNvPicPr>
                  </pic:nvPicPr>
                  <pic:blipFill>
                    <a:blip r:embed="rId9"/>
                    <a:stretch>
                      <a:fillRect/>
                    </a:stretch>
                  </pic:blipFill>
                  <pic:spPr>
                    <a:xfrm>
                      <a:off x="0" y="0"/>
                      <a:ext cx="2920626" cy="3864387"/>
                    </a:xfrm>
                    <a:prstGeom prst="rect">
                      <a:avLst/>
                    </a:prstGeom>
                  </pic:spPr>
                </pic:pic>
              </a:graphicData>
            </a:graphic>
          </wp:inline>
        </w:drawing>
      </w:r>
    </w:p>
    <w:p w14:paraId="05339E04" w14:textId="1C5D9C3B" w:rsidR="002143D6" w:rsidRDefault="002143D6">
      <w:pPr>
        <w:rPr>
          <w:b/>
          <w:bCs/>
        </w:rPr>
      </w:pPr>
    </w:p>
    <w:p w14:paraId="190F9020" w14:textId="698A9F10" w:rsidR="00FF79FF" w:rsidRPr="00FF79FF" w:rsidRDefault="00FF79FF" w:rsidP="00FF79FF">
      <w:r w:rsidRPr="00FF79FF">
        <w:rPr>
          <w:b/>
          <w:bCs/>
        </w:rPr>
        <w:t>Table S</w:t>
      </w:r>
      <w:r>
        <w:rPr>
          <w:b/>
          <w:bCs/>
        </w:rPr>
        <w:t>2</w:t>
      </w:r>
      <w:r w:rsidRPr="00FF79FF">
        <w:rPr>
          <w:b/>
          <w:bCs/>
        </w:rPr>
        <w:t xml:space="preserve"> </w:t>
      </w:r>
      <w:r w:rsidRPr="00FF79FF">
        <w:t>– Number of the somatic mutation in the 260 evaluated patients</w:t>
      </w:r>
    </w:p>
    <w:p w14:paraId="0518D613" w14:textId="77777777" w:rsidR="00FF79FF" w:rsidRPr="00FF79FF" w:rsidRDefault="00FF79FF" w:rsidP="00FF79FF"/>
    <w:tbl>
      <w:tblPr>
        <w:tblW w:w="7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3"/>
        <w:gridCol w:w="865"/>
        <w:gridCol w:w="865"/>
        <w:gridCol w:w="865"/>
        <w:gridCol w:w="865"/>
        <w:gridCol w:w="865"/>
        <w:gridCol w:w="865"/>
        <w:gridCol w:w="865"/>
      </w:tblGrid>
      <w:tr w:rsidR="00FF79FF" w:rsidRPr="00FF79FF" w14:paraId="4D37005D" w14:textId="77777777" w:rsidTr="00CB7C79">
        <w:trPr>
          <w:trHeight w:val="490"/>
        </w:trPr>
        <w:tc>
          <w:tcPr>
            <w:tcW w:w="1543" w:type="dxa"/>
            <w:shd w:val="clear" w:color="auto" w:fill="auto"/>
            <w:noWrap/>
            <w:vAlign w:val="center"/>
            <w:hideMark/>
          </w:tcPr>
          <w:p w14:paraId="24D93E18" w14:textId="77777777" w:rsidR="00FF79FF" w:rsidRPr="00FF79FF" w:rsidRDefault="00FF79FF" w:rsidP="00FF79FF">
            <w:pPr>
              <w:rPr>
                <w:b/>
                <w:bCs/>
                <w:lang w:val="es-ES"/>
              </w:rPr>
            </w:pPr>
            <w:proofErr w:type="spellStart"/>
            <w:r w:rsidRPr="00FF79FF">
              <w:rPr>
                <w:b/>
                <w:bCs/>
                <w:lang w:val="es-ES"/>
              </w:rPr>
              <w:t>Number</w:t>
            </w:r>
            <w:proofErr w:type="spellEnd"/>
            <w:r w:rsidRPr="00FF79FF">
              <w:rPr>
                <w:b/>
                <w:bCs/>
                <w:lang w:val="es-ES"/>
              </w:rPr>
              <w:t xml:space="preserve"> of </w:t>
            </w:r>
            <w:proofErr w:type="spellStart"/>
            <w:r w:rsidRPr="00FF79FF">
              <w:rPr>
                <w:b/>
                <w:bCs/>
                <w:lang w:val="es-ES"/>
              </w:rPr>
              <w:t>mutations</w:t>
            </w:r>
            <w:proofErr w:type="spellEnd"/>
          </w:p>
        </w:tc>
        <w:tc>
          <w:tcPr>
            <w:tcW w:w="865" w:type="dxa"/>
            <w:shd w:val="clear" w:color="auto" w:fill="auto"/>
            <w:noWrap/>
            <w:vAlign w:val="center"/>
            <w:hideMark/>
          </w:tcPr>
          <w:p w14:paraId="3D2FD21F" w14:textId="77777777" w:rsidR="00FF79FF" w:rsidRPr="00FF79FF" w:rsidRDefault="00FF79FF" w:rsidP="00FF79FF">
            <w:pPr>
              <w:rPr>
                <w:lang w:val="es-ES"/>
              </w:rPr>
            </w:pPr>
            <w:r w:rsidRPr="00FF79FF">
              <w:rPr>
                <w:lang w:val="es-ES"/>
              </w:rPr>
              <w:t>0</w:t>
            </w:r>
          </w:p>
        </w:tc>
        <w:tc>
          <w:tcPr>
            <w:tcW w:w="865" w:type="dxa"/>
            <w:shd w:val="clear" w:color="auto" w:fill="auto"/>
            <w:noWrap/>
            <w:vAlign w:val="center"/>
            <w:hideMark/>
          </w:tcPr>
          <w:p w14:paraId="6E9CB9F6" w14:textId="77777777" w:rsidR="00FF79FF" w:rsidRPr="00FF79FF" w:rsidRDefault="00FF79FF" w:rsidP="00FF79FF">
            <w:pPr>
              <w:rPr>
                <w:lang w:val="es-ES"/>
              </w:rPr>
            </w:pPr>
            <w:r w:rsidRPr="00FF79FF">
              <w:rPr>
                <w:lang w:val="es-ES"/>
              </w:rPr>
              <w:t>1</w:t>
            </w:r>
          </w:p>
        </w:tc>
        <w:tc>
          <w:tcPr>
            <w:tcW w:w="865" w:type="dxa"/>
            <w:shd w:val="clear" w:color="auto" w:fill="auto"/>
            <w:noWrap/>
            <w:vAlign w:val="center"/>
            <w:hideMark/>
          </w:tcPr>
          <w:p w14:paraId="0D97163F" w14:textId="77777777" w:rsidR="00FF79FF" w:rsidRPr="00FF79FF" w:rsidRDefault="00FF79FF" w:rsidP="00FF79FF">
            <w:pPr>
              <w:rPr>
                <w:lang w:val="es-ES"/>
              </w:rPr>
            </w:pPr>
            <w:r w:rsidRPr="00FF79FF">
              <w:rPr>
                <w:lang w:val="es-ES"/>
              </w:rPr>
              <w:t>2</w:t>
            </w:r>
          </w:p>
        </w:tc>
        <w:tc>
          <w:tcPr>
            <w:tcW w:w="865" w:type="dxa"/>
            <w:shd w:val="clear" w:color="auto" w:fill="auto"/>
            <w:noWrap/>
            <w:vAlign w:val="center"/>
            <w:hideMark/>
          </w:tcPr>
          <w:p w14:paraId="783D165F" w14:textId="77777777" w:rsidR="00FF79FF" w:rsidRPr="00FF79FF" w:rsidRDefault="00FF79FF" w:rsidP="00FF79FF">
            <w:pPr>
              <w:rPr>
                <w:lang w:val="es-ES"/>
              </w:rPr>
            </w:pPr>
            <w:r w:rsidRPr="00FF79FF">
              <w:rPr>
                <w:lang w:val="es-ES"/>
              </w:rPr>
              <w:t>3</w:t>
            </w:r>
          </w:p>
        </w:tc>
        <w:tc>
          <w:tcPr>
            <w:tcW w:w="865" w:type="dxa"/>
            <w:shd w:val="clear" w:color="auto" w:fill="auto"/>
            <w:noWrap/>
            <w:vAlign w:val="center"/>
            <w:hideMark/>
          </w:tcPr>
          <w:p w14:paraId="5A903026" w14:textId="77777777" w:rsidR="00FF79FF" w:rsidRPr="00FF79FF" w:rsidRDefault="00FF79FF" w:rsidP="00FF79FF">
            <w:pPr>
              <w:rPr>
                <w:lang w:val="es-ES"/>
              </w:rPr>
            </w:pPr>
            <w:r w:rsidRPr="00FF79FF">
              <w:rPr>
                <w:lang w:val="es-ES"/>
              </w:rPr>
              <w:t>4</w:t>
            </w:r>
          </w:p>
        </w:tc>
        <w:tc>
          <w:tcPr>
            <w:tcW w:w="865" w:type="dxa"/>
            <w:shd w:val="clear" w:color="auto" w:fill="auto"/>
            <w:noWrap/>
            <w:vAlign w:val="center"/>
            <w:hideMark/>
          </w:tcPr>
          <w:p w14:paraId="68940289" w14:textId="77777777" w:rsidR="00FF79FF" w:rsidRPr="00FF79FF" w:rsidRDefault="00FF79FF" w:rsidP="00FF79FF">
            <w:pPr>
              <w:rPr>
                <w:lang w:val="es-ES"/>
              </w:rPr>
            </w:pPr>
            <w:r w:rsidRPr="00FF79FF">
              <w:rPr>
                <w:lang w:val="es-ES"/>
              </w:rPr>
              <w:t>5</w:t>
            </w:r>
          </w:p>
        </w:tc>
        <w:tc>
          <w:tcPr>
            <w:tcW w:w="865" w:type="dxa"/>
            <w:shd w:val="clear" w:color="auto" w:fill="auto"/>
            <w:noWrap/>
            <w:vAlign w:val="center"/>
            <w:hideMark/>
          </w:tcPr>
          <w:p w14:paraId="11322EB8" w14:textId="77777777" w:rsidR="00FF79FF" w:rsidRPr="00FF79FF" w:rsidRDefault="00FF79FF" w:rsidP="00FF79FF">
            <w:pPr>
              <w:rPr>
                <w:lang w:val="es-ES"/>
              </w:rPr>
            </w:pPr>
            <w:r w:rsidRPr="00FF79FF">
              <w:rPr>
                <w:lang w:val="es-ES"/>
              </w:rPr>
              <w:t>6</w:t>
            </w:r>
          </w:p>
        </w:tc>
      </w:tr>
      <w:tr w:rsidR="00FF79FF" w:rsidRPr="00FF79FF" w14:paraId="6F2B5A62" w14:textId="77777777" w:rsidTr="00CB7C79">
        <w:trPr>
          <w:trHeight w:val="490"/>
        </w:trPr>
        <w:tc>
          <w:tcPr>
            <w:tcW w:w="1543" w:type="dxa"/>
            <w:shd w:val="clear" w:color="auto" w:fill="auto"/>
            <w:noWrap/>
            <w:vAlign w:val="center"/>
            <w:hideMark/>
          </w:tcPr>
          <w:p w14:paraId="5215E07A" w14:textId="77777777" w:rsidR="00FF79FF" w:rsidRPr="00FF79FF" w:rsidRDefault="00FF79FF" w:rsidP="00FF79FF">
            <w:pPr>
              <w:rPr>
                <w:b/>
                <w:bCs/>
                <w:lang w:val="es-ES"/>
              </w:rPr>
            </w:pPr>
            <w:proofErr w:type="spellStart"/>
            <w:r w:rsidRPr="00FF79FF">
              <w:rPr>
                <w:b/>
                <w:bCs/>
                <w:lang w:val="es-ES"/>
              </w:rPr>
              <w:t>Number</w:t>
            </w:r>
            <w:proofErr w:type="spellEnd"/>
            <w:r w:rsidRPr="00FF79FF">
              <w:rPr>
                <w:b/>
                <w:bCs/>
                <w:lang w:val="es-ES"/>
              </w:rPr>
              <w:t xml:space="preserve"> of </w:t>
            </w:r>
            <w:proofErr w:type="spellStart"/>
            <w:r w:rsidRPr="00FF79FF">
              <w:rPr>
                <w:b/>
                <w:bCs/>
                <w:lang w:val="es-ES"/>
              </w:rPr>
              <w:t>patients</w:t>
            </w:r>
            <w:proofErr w:type="spellEnd"/>
          </w:p>
        </w:tc>
        <w:tc>
          <w:tcPr>
            <w:tcW w:w="865" w:type="dxa"/>
            <w:shd w:val="clear" w:color="auto" w:fill="auto"/>
            <w:noWrap/>
            <w:vAlign w:val="center"/>
            <w:hideMark/>
          </w:tcPr>
          <w:p w14:paraId="2C51895B" w14:textId="77777777" w:rsidR="00FF79FF" w:rsidRPr="00FF79FF" w:rsidRDefault="00FF79FF" w:rsidP="00FF79FF">
            <w:pPr>
              <w:rPr>
                <w:lang w:val="es-ES"/>
              </w:rPr>
            </w:pPr>
            <w:r w:rsidRPr="00FF79FF">
              <w:rPr>
                <w:lang w:val="es-ES"/>
              </w:rPr>
              <w:t>97</w:t>
            </w:r>
          </w:p>
        </w:tc>
        <w:tc>
          <w:tcPr>
            <w:tcW w:w="865" w:type="dxa"/>
            <w:shd w:val="clear" w:color="auto" w:fill="auto"/>
            <w:noWrap/>
            <w:vAlign w:val="center"/>
            <w:hideMark/>
          </w:tcPr>
          <w:p w14:paraId="4F0F2427" w14:textId="77777777" w:rsidR="00FF79FF" w:rsidRPr="00FF79FF" w:rsidRDefault="00FF79FF" w:rsidP="00FF79FF">
            <w:pPr>
              <w:rPr>
                <w:lang w:val="es-ES"/>
              </w:rPr>
            </w:pPr>
            <w:r w:rsidRPr="00FF79FF">
              <w:rPr>
                <w:lang w:val="es-ES"/>
              </w:rPr>
              <w:t>117</w:t>
            </w:r>
          </w:p>
        </w:tc>
        <w:tc>
          <w:tcPr>
            <w:tcW w:w="865" w:type="dxa"/>
            <w:shd w:val="clear" w:color="auto" w:fill="auto"/>
            <w:noWrap/>
            <w:vAlign w:val="center"/>
            <w:hideMark/>
          </w:tcPr>
          <w:p w14:paraId="12EAB992" w14:textId="77777777" w:rsidR="00FF79FF" w:rsidRPr="00FF79FF" w:rsidRDefault="00FF79FF" w:rsidP="00FF79FF">
            <w:pPr>
              <w:rPr>
                <w:lang w:val="es-ES"/>
              </w:rPr>
            </w:pPr>
            <w:r w:rsidRPr="00FF79FF">
              <w:rPr>
                <w:lang w:val="es-ES"/>
              </w:rPr>
              <w:t>32</w:t>
            </w:r>
          </w:p>
        </w:tc>
        <w:tc>
          <w:tcPr>
            <w:tcW w:w="865" w:type="dxa"/>
            <w:shd w:val="clear" w:color="auto" w:fill="auto"/>
            <w:noWrap/>
            <w:vAlign w:val="center"/>
            <w:hideMark/>
          </w:tcPr>
          <w:p w14:paraId="51DDE1DE" w14:textId="77777777" w:rsidR="00FF79FF" w:rsidRPr="00FF79FF" w:rsidRDefault="00FF79FF" w:rsidP="00FF79FF">
            <w:pPr>
              <w:rPr>
                <w:lang w:val="es-ES"/>
              </w:rPr>
            </w:pPr>
            <w:r w:rsidRPr="00FF79FF">
              <w:rPr>
                <w:lang w:val="es-ES"/>
              </w:rPr>
              <w:t>8</w:t>
            </w:r>
          </w:p>
        </w:tc>
        <w:tc>
          <w:tcPr>
            <w:tcW w:w="865" w:type="dxa"/>
            <w:shd w:val="clear" w:color="auto" w:fill="auto"/>
            <w:noWrap/>
            <w:vAlign w:val="center"/>
            <w:hideMark/>
          </w:tcPr>
          <w:p w14:paraId="482ED498" w14:textId="77777777" w:rsidR="00FF79FF" w:rsidRPr="00FF79FF" w:rsidRDefault="00FF79FF" w:rsidP="00FF79FF">
            <w:pPr>
              <w:rPr>
                <w:lang w:val="es-ES"/>
              </w:rPr>
            </w:pPr>
            <w:r w:rsidRPr="00FF79FF">
              <w:rPr>
                <w:lang w:val="es-ES"/>
              </w:rPr>
              <w:t>2</w:t>
            </w:r>
          </w:p>
        </w:tc>
        <w:tc>
          <w:tcPr>
            <w:tcW w:w="865" w:type="dxa"/>
            <w:shd w:val="clear" w:color="auto" w:fill="auto"/>
            <w:noWrap/>
            <w:vAlign w:val="center"/>
            <w:hideMark/>
          </w:tcPr>
          <w:p w14:paraId="479EA7FB" w14:textId="77777777" w:rsidR="00FF79FF" w:rsidRPr="00FF79FF" w:rsidRDefault="00FF79FF" w:rsidP="00FF79FF">
            <w:pPr>
              <w:rPr>
                <w:lang w:val="es-ES"/>
              </w:rPr>
            </w:pPr>
            <w:r w:rsidRPr="00FF79FF">
              <w:rPr>
                <w:lang w:val="es-ES"/>
              </w:rPr>
              <w:t>3</w:t>
            </w:r>
          </w:p>
        </w:tc>
        <w:tc>
          <w:tcPr>
            <w:tcW w:w="865" w:type="dxa"/>
            <w:shd w:val="clear" w:color="auto" w:fill="auto"/>
            <w:noWrap/>
            <w:vAlign w:val="center"/>
            <w:hideMark/>
          </w:tcPr>
          <w:p w14:paraId="2C9F1D14" w14:textId="77777777" w:rsidR="00FF79FF" w:rsidRPr="00FF79FF" w:rsidRDefault="00FF79FF" w:rsidP="00FF79FF">
            <w:pPr>
              <w:rPr>
                <w:lang w:val="es-ES"/>
              </w:rPr>
            </w:pPr>
            <w:r w:rsidRPr="00FF79FF">
              <w:rPr>
                <w:lang w:val="es-ES"/>
              </w:rPr>
              <w:t>1</w:t>
            </w:r>
          </w:p>
        </w:tc>
      </w:tr>
    </w:tbl>
    <w:p w14:paraId="6D3764CC" w14:textId="77777777" w:rsidR="00FF79FF" w:rsidRPr="00FF79FF" w:rsidRDefault="00FF79FF" w:rsidP="00FF79FF"/>
    <w:p w14:paraId="6AF17F64" w14:textId="6EF5AD52" w:rsidR="00F03299" w:rsidRDefault="00F03299" w:rsidP="000816C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Table S3. T</w:t>
      </w:r>
      <w:r w:rsidRPr="00F03299">
        <w:rPr>
          <w:rFonts w:ascii="Times New Roman" w:hAnsi="Times New Roman" w:cs="Times New Roman"/>
          <w:b/>
          <w:bCs/>
          <w:sz w:val="24"/>
          <w:szCs w:val="24"/>
        </w:rPr>
        <w:t>able with the actual proportions of </w:t>
      </w:r>
      <w:r w:rsidRPr="00A23A02">
        <w:rPr>
          <w:rFonts w:ascii="Times New Roman" w:hAnsi="Times New Roman" w:cs="Times New Roman"/>
          <w:b/>
          <w:bCs/>
          <w:sz w:val="24"/>
          <w:szCs w:val="24"/>
        </w:rPr>
        <w:t xml:space="preserve">mutation </w:t>
      </w:r>
      <w:r w:rsidR="008531C2">
        <w:rPr>
          <w:rFonts w:ascii="Times New Roman" w:hAnsi="Times New Roman" w:cs="Times New Roman"/>
          <w:b/>
          <w:bCs/>
          <w:sz w:val="24"/>
          <w:szCs w:val="24"/>
        </w:rPr>
        <w:t xml:space="preserve">in cancer-driven genes </w:t>
      </w:r>
      <w:r w:rsidRPr="00A23A02">
        <w:rPr>
          <w:rFonts w:ascii="Times New Roman" w:hAnsi="Times New Roman" w:cs="Times New Roman"/>
          <w:b/>
          <w:bCs/>
          <w:sz w:val="24"/>
          <w:szCs w:val="24"/>
        </w:rPr>
        <w:t>in primary tumors</w:t>
      </w:r>
      <w:r>
        <w:rPr>
          <w:rFonts w:ascii="Times New Roman" w:hAnsi="Times New Roman" w:cs="Times New Roman"/>
          <w:b/>
          <w:bCs/>
          <w:i/>
          <w:iCs/>
          <w:sz w:val="24"/>
          <w:szCs w:val="24"/>
        </w:rPr>
        <w:t xml:space="preserve"> </w:t>
      </w:r>
      <w:r w:rsidRPr="00F03299">
        <w:rPr>
          <w:rFonts w:ascii="Times New Roman" w:hAnsi="Times New Roman" w:cs="Times New Roman"/>
          <w:b/>
          <w:bCs/>
          <w:sz w:val="24"/>
          <w:szCs w:val="24"/>
        </w:rPr>
        <w:t xml:space="preserve">in both </w:t>
      </w:r>
      <w:r>
        <w:rPr>
          <w:rFonts w:ascii="Times New Roman" w:hAnsi="Times New Roman" w:cs="Times New Roman"/>
          <w:b/>
          <w:bCs/>
          <w:sz w:val="24"/>
          <w:szCs w:val="24"/>
        </w:rPr>
        <w:t xml:space="preserve">AGATA and TCGA </w:t>
      </w:r>
      <w:r w:rsidRPr="00F03299">
        <w:rPr>
          <w:rFonts w:ascii="Times New Roman" w:hAnsi="Times New Roman" w:cs="Times New Roman"/>
          <w:b/>
          <w:bCs/>
          <w:sz w:val="24"/>
          <w:szCs w:val="24"/>
        </w:rPr>
        <w:t>datasets. </w:t>
      </w:r>
    </w:p>
    <w:p w14:paraId="258EAC9E" w14:textId="77777777" w:rsidR="00F03299" w:rsidRDefault="00F03299" w:rsidP="000816C3">
      <w:pPr>
        <w:autoSpaceDE w:val="0"/>
        <w:autoSpaceDN w:val="0"/>
        <w:adjustRightInd w:val="0"/>
        <w:spacing w:after="0" w:line="240" w:lineRule="auto"/>
        <w:jc w:val="both"/>
        <w:rPr>
          <w:rFonts w:ascii="Times New Roman" w:hAnsi="Times New Roman" w:cs="Times New Roman"/>
          <w:b/>
          <w:bCs/>
          <w:sz w:val="24"/>
          <w:szCs w:val="24"/>
        </w:rPr>
      </w:pPr>
    </w:p>
    <w:tbl>
      <w:tblPr>
        <w:tblW w:w="7839" w:type="dxa"/>
        <w:tblLook w:val="04A0" w:firstRow="1" w:lastRow="0" w:firstColumn="1" w:lastColumn="0" w:noHBand="0" w:noVBand="1"/>
      </w:tblPr>
      <w:tblGrid>
        <w:gridCol w:w="1200"/>
        <w:gridCol w:w="1248"/>
        <w:gridCol w:w="1632"/>
        <w:gridCol w:w="1211"/>
        <w:gridCol w:w="1554"/>
        <w:gridCol w:w="1200"/>
      </w:tblGrid>
      <w:tr w:rsidR="00B533E5" w:rsidRPr="00B533E5" w14:paraId="3A69F870" w14:textId="77777777" w:rsidTr="00B533E5">
        <w:trPr>
          <w:trHeight w:val="290"/>
        </w:trPr>
        <w:tc>
          <w:tcPr>
            <w:tcW w:w="1200" w:type="dxa"/>
            <w:tcBorders>
              <w:top w:val="nil"/>
              <w:left w:val="nil"/>
              <w:bottom w:val="nil"/>
              <w:right w:val="nil"/>
            </w:tcBorders>
            <w:shd w:val="clear" w:color="auto" w:fill="auto"/>
            <w:noWrap/>
            <w:vAlign w:val="bottom"/>
            <w:hideMark/>
          </w:tcPr>
          <w:p w14:paraId="2D084FF1" w14:textId="77777777" w:rsidR="00B533E5" w:rsidRPr="00B533E5" w:rsidRDefault="00B533E5" w:rsidP="00B533E5">
            <w:pPr>
              <w:spacing w:after="0" w:line="240" w:lineRule="auto"/>
              <w:rPr>
                <w:rFonts w:ascii="Times New Roman" w:eastAsia="Times New Roman" w:hAnsi="Times New Roman" w:cs="Times New Roman"/>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2EFA1D9" w14:textId="77777777" w:rsidR="00B533E5" w:rsidRPr="00B533E5" w:rsidRDefault="00B533E5" w:rsidP="00B533E5">
            <w:pPr>
              <w:spacing w:after="0" w:line="240" w:lineRule="auto"/>
              <w:jc w:val="center"/>
              <w:rPr>
                <w:rFonts w:ascii="Calibri" w:eastAsia="Times New Roman" w:hAnsi="Calibri" w:cs="Calibri"/>
                <w:b/>
                <w:bCs/>
                <w:color w:val="000000"/>
              </w:rPr>
            </w:pPr>
            <w:r w:rsidRPr="00B533E5">
              <w:rPr>
                <w:rFonts w:ascii="Calibri" w:eastAsia="Times New Roman" w:hAnsi="Calibri" w:cs="Calibri"/>
                <w:b/>
                <w:bCs/>
                <w:color w:val="000000"/>
              </w:rPr>
              <w:t>AGATA</w:t>
            </w:r>
          </w:p>
        </w:tc>
        <w:tc>
          <w:tcPr>
            <w:tcW w:w="2559"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2E20DEBF" w14:textId="77777777" w:rsidR="00B533E5" w:rsidRPr="00B533E5" w:rsidRDefault="00B533E5" w:rsidP="00B533E5">
            <w:pPr>
              <w:spacing w:after="0" w:line="240" w:lineRule="auto"/>
              <w:jc w:val="center"/>
              <w:rPr>
                <w:rFonts w:ascii="Calibri" w:eastAsia="Times New Roman" w:hAnsi="Calibri" w:cs="Calibri"/>
                <w:b/>
                <w:bCs/>
                <w:color w:val="000000"/>
              </w:rPr>
            </w:pPr>
            <w:r w:rsidRPr="00B533E5">
              <w:rPr>
                <w:rFonts w:ascii="Calibri" w:eastAsia="Times New Roman" w:hAnsi="Calibri" w:cs="Calibri"/>
                <w:b/>
                <w:bCs/>
                <w:color w:val="000000"/>
              </w:rPr>
              <w:t>TCGA</w:t>
            </w:r>
          </w:p>
        </w:tc>
        <w:tc>
          <w:tcPr>
            <w:tcW w:w="1200" w:type="dxa"/>
            <w:tcBorders>
              <w:top w:val="nil"/>
              <w:left w:val="nil"/>
              <w:bottom w:val="nil"/>
              <w:right w:val="nil"/>
            </w:tcBorders>
            <w:shd w:val="clear" w:color="auto" w:fill="auto"/>
            <w:noWrap/>
            <w:vAlign w:val="center"/>
            <w:hideMark/>
          </w:tcPr>
          <w:p w14:paraId="3E0E01DB" w14:textId="77777777" w:rsidR="00B533E5" w:rsidRPr="00B533E5" w:rsidRDefault="00B533E5" w:rsidP="00B533E5">
            <w:pPr>
              <w:spacing w:after="0" w:line="240" w:lineRule="auto"/>
              <w:jc w:val="center"/>
              <w:rPr>
                <w:rFonts w:ascii="Calibri" w:eastAsia="Times New Roman" w:hAnsi="Calibri" w:cs="Calibri"/>
                <w:b/>
                <w:bCs/>
                <w:color w:val="000000"/>
              </w:rPr>
            </w:pPr>
          </w:p>
        </w:tc>
      </w:tr>
      <w:tr w:rsidR="00B533E5" w:rsidRPr="00B533E5" w14:paraId="757BC75A" w14:textId="77777777" w:rsidTr="00B533E5">
        <w:trPr>
          <w:trHeight w:val="870"/>
        </w:trPr>
        <w:tc>
          <w:tcPr>
            <w:tcW w:w="1200" w:type="dxa"/>
            <w:tcBorders>
              <w:top w:val="nil"/>
              <w:left w:val="nil"/>
              <w:bottom w:val="nil"/>
              <w:right w:val="nil"/>
            </w:tcBorders>
            <w:shd w:val="clear" w:color="auto" w:fill="auto"/>
            <w:noWrap/>
            <w:vAlign w:val="bottom"/>
            <w:hideMark/>
          </w:tcPr>
          <w:p w14:paraId="0E6CBE47" w14:textId="77777777" w:rsidR="00B533E5" w:rsidRPr="00B533E5" w:rsidRDefault="00B533E5" w:rsidP="00B533E5">
            <w:pPr>
              <w:spacing w:after="0" w:line="240" w:lineRule="auto"/>
              <w:jc w:val="center"/>
              <w:rPr>
                <w:rFonts w:ascii="Times New Roman" w:eastAsia="Times New Roman" w:hAnsi="Times New Roman" w:cs="Times New Roman"/>
                <w:sz w:val="20"/>
                <w:szCs w:val="20"/>
              </w:rPr>
            </w:pPr>
          </w:p>
        </w:tc>
        <w:tc>
          <w:tcPr>
            <w:tcW w:w="1248" w:type="dxa"/>
            <w:tcBorders>
              <w:top w:val="nil"/>
              <w:left w:val="single" w:sz="4" w:space="0" w:color="auto"/>
              <w:bottom w:val="single" w:sz="4" w:space="0" w:color="auto"/>
              <w:right w:val="single" w:sz="4" w:space="0" w:color="auto"/>
            </w:tcBorders>
            <w:shd w:val="clear" w:color="000000" w:fill="D9E1F2"/>
            <w:vAlign w:val="center"/>
            <w:hideMark/>
          </w:tcPr>
          <w:p w14:paraId="7CCC583F" w14:textId="77777777" w:rsidR="00B533E5" w:rsidRPr="00B533E5" w:rsidRDefault="00B533E5" w:rsidP="00B533E5">
            <w:pPr>
              <w:spacing w:after="0" w:line="240" w:lineRule="auto"/>
              <w:jc w:val="center"/>
              <w:rPr>
                <w:rFonts w:ascii="Calibri" w:eastAsia="Times New Roman" w:hAnsi="Calibri" w:cs="Calibri"/>
                <w:b/>
                <w:bCs/>
              </w:rPr>
            </w:pPr>
            <w:r w:rsidRPr="00B533E5">
              <w:rPr>
                <w:rFonts w:ascii="Calibri" w:eastAsia="Times New Roman" w:hAnsi="Calibri" w:cs="Calibri"/>
                <w:b/>
                <w:bCs/>
              </w:rPr>
              <w:t>Proportion tumors wit mutation</w:t>
            </w:r>
          </w:p>
        </w:tc>
        <w:tc>
          <w:tcPr>
            <w:tcW w:w="1632" w:type="dxa"/>
            <w:tcBorders>
              <w:top w:val="nil"/>
              <w:left w:val="nil"/>
              <w:bottom w:val="single" w:sz="4" w:space="0" w:color="auto"/>
              <w:right w:val="single" w:sz="4" w:space="0" w:color="auto"/>
            </w:tcBorders>
            <w:shd w:val="clear" w:color="000000" w:fill="D9E1F2"/>
            <w:noWrap/>
            <w:vAlign w:val="center"/>
            <w:hideMark/>
          </w:tcPr>
          <w:p w14:paraId="46625A67" w14:textId="77777777" w:rsidR="00B533E5" w:rsidRPr="00B533E5" w:rsidRDefault="00B533E5" w:rsidP="00B533E5">
            <w:pPr>
              <w:spacing w:after="0" w:line="240" w:lineRule="auto"/>
              <w:jc w:val="center"/>
              <w:rPr>
                <w:rFonts w:ascii="Calibri" w:eastAsia="Times New Roman" w:hAnsi="Calibri" w:cs="Calibri"/>
                <w:b/>
                <w:bCs/>
              </w:rPr>
            </w:pPr>
            <w:r w:rsidRPr="00B533E5">
              <w:rPr>
                <w:rFonts w:ascii="Calibri" w:eastAsia="Times New Roman" w:hAnsi="Calibri" w:cs="Calibri"/>
                <w:b/>
                <w:bCs/>
              </w:rPr>
              <w:t>N Primary tumors</w:t>
            </w:r>
          </w:p>
        </w:tc>
        <w:tc>
          <w:tcPr>
            <w:tcW w:w="1005" w:type="dxa"/>
            <w:tcBorders>
              <w:top w:val="nil"/>
              <w:left w:val="nil"/>
              <w:bottom w:val="single" w:sz="4" w:space="0" w:color="auto"/>
              <w:right w:val="single" w:sz="4" w:space="0" w:color="auto"/>
            </w:tcBorders>
            <w:shd w:val="clear" w:color="000000" w:fill="D9D9D9"/>
            <w:vAlign w:val="center"/>
            <w:hideMark/>
          </w:tcPr>
          <w:p w14:paraId="46330273" w14:textId="77777777" w:rsidR="00B533E5" w:rsidRPr="00B533E5" w:rsidRDefault="00B533E5" w:rsidP="00B533E5">
            <w:pPr>
              <w:spacing w:after="0" w:line="240" w:lineRule="auto"/>
              <w:jc w:val="center"/>
              <w:rPr>
                <w:rFonts w:ascii="Calibri" w:eastAsia="Times New Roman" w:hAnsi="Calibri" w:cs="Calibri"/>
                <w:b/>
                <w:bCs/>
              </w:rPr>
            </w:pPr>
            <w:r w:rsidRPr="00B533E5">
              <w:rPr>
                <w:rFonts w:ascii="Calibri" w:eastAsia="Times New Roman" w:hAnsi="Calibri" w:cs="Calibri"/>
                <w:b/>
                <w:bCs/>
              </w:rPr>
              <w:t>Proportion tumors wit mutation</w:t>
            </w:r>
          </w:p>
        </w:tc>
        <w:tc>
          <w:tcPr>
            <w:tcW w:w="1554" w:type="dxa"/>
            <w:tcBorders>
              <w:top w:val="nil"/>
              <w:left w:val="nil"/>
              <w:bottom w:val="single" w:sz="4" w:space="0" w:color="auto"/>
              <w:right w:val="single" w:sz="4" w:space="0" w:color="auto"/>
            </w:tcBorders>
            <w:shd w:val="clear" w:color="000000" w:fill="D9D9D9"/>
            <w:noWrap/>
            <w:vAlign w:val="center"/>
            <w:hideMark/>
          </w:tcPr>
          <w:p w14:paraId="2DF1D83C" w14:textId="77777777" w:rsidR="00B533E5" w:rsidRPr="00B533E5" w:rsidRDefault="00B533E5" w:rsidP="00B533E5">
            <w:pPr>
              <w:spacing w:after="0" w:line="240" w:lineRule="auto"/>
              <w:jc w:val="center"/>
              <w:rPr>
                <w:rFonts w:ascii="Calibri" w:eastAsia="Times New Roman" w:hAnsi="Calibri" w:cs="Calibri"/>
                <w:b/>
                <w:bCs/>
              </w:rPr>
            </w:pPr>
            <w:r w:rsidRPr="00B533E5">
              <w:rPr>
                <w:rFonts w:ascii="Calibri" w:eastAsia="Times New Roman" w:hAnsi="Calibri" w:cs="Calibri"/>
                <w:b/>
                <w:bCs/>
              </w:rPr>
              <w:t xml:space="preserve">N Primary </w:t>
            </w:r>
            <w:proofErr w:type="spellStart"/>
            <w:r w:rsidRPr="00B533E5">
              <w:rPr>
                <w:rFonts w:ascii="Calibri" w:eastAsia="Times New Roman" w:hAnsi="Calibri" w:cs="Calibri"/>
                <w:b/>
                <w:bCs/>
              </w:rPr>
              <w:t>tumos</w:t>
            </w:r>
            <w:proofErr w:type="spellEnd"/>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32014333" w14:textId="77777777" w:rsidR="00B533E5" w:rsidRPr="00B533E5" w:rsidRDefault="00B533E5" w:rsidP="00B533E5">
            <w:pPr>
              <w:spacing w:after="0" w:line="240" w:lineRule="auto"/>
              <w:jc w:val="center"/>
              <w:rPr>
                <w:rFonts w:ascii="Calibri" w:eastAsia="Times New Roman" w:hAnsi="Calibri" w:cs="Calibri"/>
                <w:b/>
                <w:bCs/>
                <w:color w:val="000000"/>
              </w:rPr>
            </w:pPr>
            <w:r w:rsidRPr="00B533E5">
              <w:rPr>
                <w:rFonts w:ascii="Calibri" w:eastAsia="Times New Roman" w:hAnsi="Calibri" w:cs="Calibri"/>
                <w:b/>
                <w:bCs/>
                <w:color w:val="000000"/>
              </w:rPr>
              <w:t>p-value</w:t>
            </w:r>
          </w:p>
        </w:tc>
      </w:tr>
      <w:tr w:rsidR="00B533E5" w:rsidRPr="00B533E5" w14:paraId="6B7C42CE" w14:textId="77777777" w:rsidTr="00B533E5">
        <w:trPr>
          <w:trHeight w:val="29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BC102" w14:textId="77777777" w:rsidR="00B533E5" w:rsidRPr="00B533E5" w:rsidRDefault="00B533E5" w:rsidP="00B533E5">
            <w:pPr>
              <w:spacing w:after="0" w:line="240" w:lineRule="auto"/>
              <w:rPr>
                <w:rFonts w:ascii="Calibri" w:eastAsia="Times New Roman" w:hAnsi="Calibri" w:cs="Calibri"/>
              </w:rPr>
            </w:pPr>
            <w:r w:rsidRPr="00B533E5">
              <w:rPr>
                <w:rFonts w:ascii="Calibri" w:eastAsia="Times New Roman" w:hAnsi="Calibri" w:cs="Calibri"/>
              </w:rPr>
              <w:t>PIK3CA</w:t>
            </w:r>
          </w:p>
        </w:tc>
        <w:tc>
          <w:tcPr>
            <w:tcW w:w="1248" w:type="dxa"/>
            <w:tcBorders>
              <w:top w:val="nil"/>
              <w:left w:val="nil"/>
              <w:bottom w:val="single" w:sz="4" w:space="0" w:color="auto"/>
              <w:right w:val="single" w:sz="4" w:space="0" w:color="auto"/>
            </w:tcBorders>
            <w:shd w:val="clear" w:color="000000" w:fill="D9E1F2"/>
            <w:noWrap/>
            <w:vAlign w:val="bottom"/>
            <w:hideMark/>
          </w:tcPr>
          <w:p w14:paraId="7A482032"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33.1%</w:t>
            </w:r>
          </w:p>
        </w:tc>
        <w:tc>
          <w:tcPr>
            <w:tcW w:w="1632" w:type="dxa"/>
            <w:tcBorders>
              <w:top w:val="nil"/>
              <w:left w:val="nil"/>
              <w:bottom w:val="single" w:sz="4" w:space="0" w:color="auto"/>
              <w:right w:val="single" w:sz="4" w:space="0" w:color="auto"/>
            </w:tcBorders>
            <w:shd w:val="clear" w:color="000000" w:fill="D9E1F2"/>
            <w:noWrap/>
            <w:vAlign w:val="bottom"/>
            <w:hideMark/>
          </w:tcPr>
          <w:p w14:paraId="3C082064"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163</w:t>
            </w:r>
          </w:p>
        </w:tc>
        <w:tc>
          <w:tcPr>
            <w:tcW w:w="1005" w:type="dxa"/>
            <w:tcBorders>
              <w:top w:val="nil"/>
              <w:left w:val="nil"/>
              <w:bottom w:val="single" w:sz="4" w:space="0" w:color="auto"/>
              <w:right w:val="single" w:sz="4" w:space="0" w:color="auto"/>
            </w:tcBorders>
            <w:shd w:val="clear" w:color="000000" w:fill="D9D9D9"/>
            <w:noWrap/>
            <w:vAlign w:val="bottom"/>
            <w:hideMark/>
          </w:tcPr>
          <w:p w14:paraId="1ECF6A7B"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35.3%</w:t>
            </w:r>
          </w:p>
        </w:tc>
        <w:tc>
          <w:tcPr>
            <w:tcW w:w="1554" w:type="dxa"/>
            <w:tcBorders>
              <w:top w:val="nil"/>
              <w:left w:val="nil"/>
              <w:bottom w:val="single" w:sz="4" w:space="0" w:color="auto"/>
              <w:right w:val="single" w:sz="4" w:space="0" w:color="auto"/>
            </w:tcBorders>
            <w:shd w:val="clear" w:color="000000" w:fill="D9D9D9"/>
            <w:noWrap/>
            <w:vAlign w:val="bottom"/>
            <w:hideMark/>
          </w:tcPr>
          <w:p w14:paraId="1634B578"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507</w:t>
            </w:r>
          </w:p>
        </w:tc>
        <w:tc>
          <w:tcPr>
            <w:tcW w:w="1200" w:type="dxa"/>
            <w:tcBorders>
              <w:top w:val="nil"/>
              <w:left w:val="nil"/>
              <w:bottom w:val="single" w:sz="4" w:space="0" w:color="auto"/>
              <w:right w:val="single" w:sz="4" w:space="0" w:color="auto"/>
            </w:tcBorders>
            <w:shd w:val="clear" w:color="auto" w:fill="auto"/>
            <w:noWrap/>
            <w:vAlign w:val="bottom"/>
            <w:hideMark/>
          </w:tcPr>
          <w:p w14:paraId="7F228CB0"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0.608</w:t>
            </w:r>
          </w:p>
        </w:tc>
      </w:tr>
      <w:tr w:rsidR="00B533E5" w:rsidRPr="00B533E5" w14:paraId="3889996C"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91BD73E" w14:textId="77777777" w:rsidR="00B533E5" w:rsidRPr="00B533E5" w:rsidRDefault="00B533E5" w:rsidP="00B533E5">
            <w:pPr>
              <w:spacing w:after="0" w:line="240" w:lineRule="auto"/>
              <w:rPr>
                <w:rFonts w:ascii="Calibri" w:eastAsia="Times New Roman" w:hAnsi="Calibri" w:cs="Calibri"/>
              </w:rPr>
            </w:pPr>
            <w:r w:rsidRPr="00B533E5">
              <w:rPr>
                <w:rFonts w:ascii="Calibri" w:eastAsia="Times New Roman" w:hAnsi="Calibri" w:cs="Calibri"/>
              </w:rPr>
              <w:t>TP53</w:t>
            </w:r>
          </w:p>
        </w:tc>
        <w:tc>
          <w:tcPr>
            <w:tcW w:w="1248" w:type="dxa"/>
            <w:tcBorders>
              <w:top w:val="nil"/>
              <w:left w:val="nil"/>
              <w:bottom w:val="single" w:sz="4" w:space="0" w:color="auto"/>
              <w:right w:val="single" w:sz="4" w:space="0" w:color="auto"/>
            </w:tcBorders>
            <w:shd w:val="clear" w:color="000000" w:fill="D9E1F2"/>
            <w:noWrap/>
            <w:vAlign w:val="bottom"/>
            <w:hideMark/>
          </w:tcPr>
          <w:p w14:paraId="5C1D297B"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29.1%</w:t>
            </w:r>
          </w:p>
        </w:tc>
        <w:tc>
          <w:tcPr>
            <w:tcW w:w="1632" w:type="dxa"/>
            <w:tcBorders>
              <w:top w:val="nil"/>
              <w:left w:val="nil"/>
              <w:bottom w:val="single" w:sz="4" w:space="0" w:color="auto"/>
              <w:right w:val="single" w:sz="4" w:space="0" w:color="auto"/>
            </w:tcBorders>
            <w:shd w:val="clear" w:color="000000" w:fill="D9E1F2"/>
            <w:noWrap/>
            <w:vAlign w:val="bottom"/>
            <w:hideMark/>
          </w:tcPr>
          <w:p w14:paraId="65CD4A38"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127</w:t>
            </w:r>
          </w:p>
        </w:tc>
        <w:tc>
          <w:tcPr>
            <w:tcW w:w="1005" w:type="dxa"/>
            <w:tcBorders>
              <w:top w:val="nil"/>
              <w:left w:val="nil"/>
              <w:bottom w:val="single" w:sz="4" w:space="0" w:color="auto"/>
              <w:right w:val="single" w:sz="4" w:space="0" w:color="auto"/>
            </w:tcBorders>
            <w:shd w:val="clear" w:color="000000" w:fill="D9D9D9"/>
            <w:noWrap/>
            <w:vAlign w:val="bottom"/>
            <w:hideMark/>
          </w:tcPr>
          <w:p w14:paraId="0FA52DD3"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37.5%</w:t>
            </w:r>
          </w:p>
        </w:tc>
        <w:tc>
          <w:tcPr>
            <w:tcW w:w="1554" w:type="dxa"/>
            <w:tcBorders>
              <w:top w:val="nil"/>
              <w:left w:val="nil"/>
              <w:bottom w:val="single" w:sz="4" w:space="0" w:color="auto"/>
              <w:right w:val="single" w:sz="4" w:space="0" w:color="auto"/>
            </w:tcBorders>
            <w:shd w:val="clear" w:color="000000" w:fill="D9D9D9"/>
            <w:noWrap/>
            <w:vAlign w:val="bottom"/>
            <w:hideMark/>
          </w:tcPr>
          <w:p w14:paraId="4EDBA535"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507</w:t>
            </w:r>
          </w:p>
        </w:tc>
        <w:tc>
          <w:tcPr>
            <w:tcW w:w="1200" w:type="dxa"/>
            <w:tcBorders>
              <w:top w:val="nil"/>
              <w:left w:val="nil"/>
              <w:bottom w:val="single" w:sz="4" w:space="0" w:color="auto"/>
              <w:right w:val="single" w:sz="4" w:space="0" w:color="auto"/>
            </w:tcBorders>
            <w:shd w:val="clear" w:color="auto" w:fill="auto"/>
            <w:noWrap/>
            <w:vAlign w:val="bottom"/>
            <w:hideMark/>
          </w:tcPr>
          <w:p w14:paraId="5B5DCCE0"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 0.0777</w:t>
            </w:r>
          </w:p>
        </w:tc>
      </w:tr>
      <w:tr w:rsidR="00B533E5" w:rsidRPr="00B533E5" w14:paraId="1853623C"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1CF9B3B" w14:textId="77777777" w:rsidR="00B533E5" w:rsidRPr="00B533E5" w:rsidRDefault="00B533E5" w:rsidP="00B533E5">
            <w:pPr>
              <w:spacing w:after="0" w:line="240" w:lineRule="auto"/>
              <w:rPr>
                <w:rFonts w:ascii="Calibri" w:eastAsia="Times New Roman" w:hAnsi="Calibri" w:cs="Calibri"/>
              </w:rPr>
            </w:pPr>
            <w:r w:rsidRPr="00B533E5">
              <w:rPr>
                <w:rFonts w:ascii="Calibri" w:eastAsia="Times New Roman" w:hAnsi="Calibri" w:cs="Calibri"/>
              </w:rPr>
              <w:t>MAP3K1</w:t>
            </w:r>
          </w:p>
        </w:tc>
        <w:tc>
          <w:tcPr>
            <w:tcW w:w="1248" w:type="dxa"/>
            <w:tcBorders>
              <w:top w:val="nil"/>
              <w:left w:val="nil"/>
              <w:bottom w:val="single" w:sz="4" w:space="0" w:color="auto"/>
              <w:right w:val="single" w:sz="4" w:space="0" w:color="auto"/>
            </w:tcBorders>
            <w:shd w:val="clear" w:color="000000" w:fill="D9E1F2"/>
            <w:noWrap/>
            <w:vAlign w:val="bottom"/>
            <w:hideMark/>
          </w:tcPr>
          <w:p w14:paraId="6482D57D"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10.0%</w:t>
            </w:r>
          </w:p>
        </w:tc>
        <w:tc>
          <w:tcPr>
            <w:tcW w:w="1632" w:type="dxa"/>
            <w:tcBorders>
              <w:top w:val="nil"/>
              <w:left w:val="nil"/>
              <w:bottom w:val="single" w:sz="4" w:space="0" w:color="auto"/>
              <w:right w:val="single" w:sz="4" w:space="0" w:color="auto"/>
            </w:tcBorders>
            <w:shd w:val="clear" w:color="000000" w:fill="D9E1F2"/>
            <w:noWrap/>
            <w:vAlign w:val="bottom"/>
            <w:hideMark/>
          </w:tcPr>
          <w:p w14:paraId="0A44F8F3"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30</w:t>
            </w:r>
          </w:p>
        </w:tc>
        <w:tc>
          <w:tcPr>
            <w:tcW w:w="1005" w:type="dxa"/>
            <w:tcBorders>
              <w:top w:val="nil"/>
              <w:left w:val="nil"/>
              <w:bottom w:val="single" w:sz="4" w:space="0" w:color="auto"/>
              <w:right w:val="single" w:sz="4" w:space="0" w:color="auto"/>
            </w:tcBorders>
            <w:shd w:val="clear" w:color="000000" w:fill="D9D9D9"/>
            <w:noWrap/>
            <w:vAlign w:val="bottom"/>
            <w:hideMark/>
          </w:tcPr>
          <w:p w14:paraId="130F4245"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7.7%</w:t>
            </w:r>
          </w:p>
        </w:tc>
        <w:tc>
          <w:tcPr>
            <w:tcW w:w="1554" w:type="dxa"/>
            <w:tcBorders>
              <w:top w:val="nil"/>
              <w:left w:val="nil"/>
              <w:bottom w:val="single" w:sz="4" w:space="0" w:color="auto"/>
              <w:right w:val="single" w:sz="4" w:space="0" w:color="auto"/>
            </w:tcBorders>
            <w:shd w:val="clear" w:color="000000" w:fill="D9D9D9"/>
            <w:noWrap/>
            <w:vAlign w:val="bottom"/>
            <w:hideMark/>
          </w:tcPr>
          <w:p w14:paraId="4B6E0930"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507</w:t>
            </w:r>
          </w:p>
        </w:tc>
        <w:tc>
          <w:tcPr>
            <w:tcW w:w="1200" w:type="dxa"/>
            <w:tcBorders>
              <w:top w:val="nil"/>
              <w:left w:val="nil"/>
              <w:bottom w:val="single" w:sz="4" w:space="0" w:color="auto"/>
              <w:right w:val="single" w:sz="4" w:space="0" w:color="auto"/>
            </w:tcBorders>
            <w:shd w:val="clear" w:color="auto" w:fill="auto"/>
            <w:noWrap/>
            <w:vAlign w:val="bottom"/>
            <w:hideMark/>
          </w:tcPr>
          <w:p w14:paraId="57635226"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0.649</w:t>
            </w:r>
          </w:p>
        </w:tc>
      </w:tr>
      <w:tr w:rsidR="00B533E5" w:rsidRPr="00B533E5" w14:paraId="11FD9A07"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1EC56E3" w14:textId="77777777" w:rsidR="00B533E5" w:rsidRPr="00B533E5" w:rsidRDefault="00B533E5" w:rsidP="00B533E5">
            <w:pPr>
              <w:spacing w:after="0" w:line="240" w:lineRule="auto"/>
              <w:rPr>
                <w:rFonts w:ascii="Calibri" w:eastAsia="Times New Roman" w:hAnsi="Calibri" w:cs="Calibri"/>
              </w:rPr>
            </w:pPr>
            <w:r w:rsidRPr="00B533E5">
              <w:rPr>
                <w:rFonts w:ascii="Calibri" w:eastAsia="Times New Roman" w:hAnsi="Calibri" w:cs="Calibri"/>
              </w:rPr>
              <w:t>KMT2D</w:t>
            </w:r>
          </w:p>
        </w:tc>
        <w:tc>
          <w:tcPr>
            <w:tcW w:w="1248" w:type="dxa"/>
            <w:tcBorders>
              <w:top w:val="nil"/>
              <w:left w:val="nil"/>
              <w:bottom w:val="single" w:sz="4" w:space="0" w:color="auto"/>
              <w:right w:val="single" w:sz="4" w:space="0" w:color="auto"/>
            </w:tcBorders>
            <w:shd w:val="clear" w:color="000000" w:fill="D9E1F2"/>
            <w:noWrap/>
            <w:vAlign w:val="bottom"/>
            <w:hideMark/>
          </w:tcPr>
          <w:p w14:paraId="72CE1A0E"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13.3%</w:t>
            </w:r>
          </w:p>
        </w:tc>
        <w:tc>
          <w:tcPr>
            <w:tcW w:w="1632" w:type="dxa"/>
            <w:tcBorders>
              <w:top w:val="nil"/>
              <w:left w:val="nil"/>
              <w:bottom w:val="single" w:sz="4" w:space="0" w:color="auto"/>
              <w:right w:val="single" w:sz="4" w:space="0" w:color="auto"/>
            </w:tcBorders>
            <w:shd w:val="clear" w:color="000000" w:fill="D9E1F2"/>
            <w:noWrap/>
            <w:vAlign w:val="bottom"/>
            <w:hideMark/>
          </w:tcPr>
          <w:p w14:paraId="67CA71E3"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30</w:t>
            </w:r>
          </w:p>
        </w:tc>
        <w:tc>
          <w:tcPr>
            <w:tcW w:w="1005" w:type="dxa"/>
            <w:tcBorders>
              <w:top w:val="nil"/>
              <w:left w:val="nil"/>
              <w:bottom w:val="single" w:sz="4" w:space="0" w:color="auto"/>
              <w:right w:val="single" w:sz="4" w:space="0" w:color="auto"/>
            </w:tcBorders>
            <w:shd w:val="clear" w:color="000000" w:fill="D9D9D9"/>
            <w:noWrap/>
            <w:vAlign w:val="bottom"/>
            <w:hideMark/>
          </w:tcPr>
          <w:p w14:paraId="5C7FF365"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7.5%</w:t>
            </w:r>
          </w:p>
        </w:tc>
        <w:tc>
          <w:tcPr>
            <w:tcW w:w="1554" w:type="dxa"/>
            <w:tcBorders>
              <w:top w:val="nil"/>
              <w:left w:val="nil"/>
              <w:bottom w:val="single" w:sz="4" w:space="0" w:color="auto"/>
              <w:right w:val="single" w:sz="4" w:space="0" w:color="auto"/>
            </w:tcBorders>
            <w:shd w:val="clear" w:color="000000" w:fill="D9D9D9"/>
            <w:noWrap/>
            <w:vAlign w:val="bottom"/>
            <w:hideMark/>
          </w:tcPr>
          <w:p w14:paraId="33A9530B"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507</w:t>
            </w:r>
          </w:p>
        </w:tc>
        <w:tc>
          <w:tcPr>
            <w:tcW w:w="1200" w:type="dxa"/>
            <w:tcBorders>
              <w:top w:val="nil"/>
              <w:left w:val="nil"/>
              <w:bottom w:val="single" w:sz="4" w:space="0" w:color="auto"/>
              <w:right w:val="single" w:sz="4" w:space="0" w:color="auto"/>
            </w:tcBorders>
            <w:shd w:val="clear" w:color="auto" w:fill="auto"/>
            <w:noWrap/>
            <w:vAlign w:val="bottom"/>
            <w:hideMark/>
          </w:tcPr>
          <w:p w14:paraId="01E38F50"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 0.2508</w:t>
            </w:r>
          </w:p>
        </w:tc>
      </w:tr>
      <w:tr w:rsidR="00B533E5" w:rsidRPr="00B533E5" w14:paraId="7C5AEA87"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90AA73B" w14:textId="77777777" w:rsidR="00B533E5" w:rsidRPr="00B533E5" w:rsidRDefault="00B533E5" w:rsidP="00B533E5">
            <w:pPr>
              <w:spacing w:after="0" w:line="240" w:lineRule="auto"/>
              <w:rPr>
                <w:rFonts w:ascii="Calibri" w:eastAsia="Times New Roman" w:hAnsi="Calibri" w:cs="Calibri"/>
              </w:rPr>
            </w:pPr>
            <w:r w:rsidRPr="00B533E5">
              <w:rPr>
                <w:rFonts w:ascii="Calibri" w:eastAsia="Times New Roman" w:hAnsi="Calibri" w:cs="Calibri"/>
              </w:rPr>
              <w:t>SETD2</w:t>
            </w:r>
          </w:p>
        </w:tc>
        <w:tc>
          <w:tcPr>
            <w:tcW w:w="1248" w:type="dxa"/>
            <w:tcBorders>
              <w:top w:val="nil"/>
              <w:left w:val="nil"/>
              <w:bottom w:val="single" w:sz="4" w:space="0" w:color="auto"/>
              <w:right w:val="single" w:sz="4" w:space="0" w:color="auto"/>
            </w:tcBorders>
            <w:shd w:val="clear" w:color="000000" w:fill="D9E1F2"/>
            <w:noWrap/>
            <w:vAlign w:val="bottom"/>
            <w:hideMark/>
          </w:tcPr>
          <w:p w14:paraId="38BE651D"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10.0%</w:t>
            </w:r>
          </w:p>
        </w:tc>
        <w:tc>
          <w:tcPr>
            <w:tcW w:w="1632" w:type="dxa"/>
            <w:tcBorders>
              <w:top w:val="nil"/>
              <w:left w:val="nil"/>
              <w:bottom w:val="single" w:sz="4" w:space="0" w:color="auto"/>
              <w:right w:val="single" w:sz="4" w:space="0" w:color="auto"/>
            </w:tcBorders>
            <w:shd w:val="clear" w:color="000000" w:fill="D9E1F2"/>
            <w:noWrap/>
            <w:vAlign w:val="bottom"/>
            <w:hideMark/>
          </w:tcPr>
          <w:p w14:paraId="7B39EBD6"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30</w:t>
            </w:r>
          </w:p>
        </w:tc>
        <w:tc>
          <w:tcPr>
            <w:tcW w:w="1005" w:type="dxa"/>
            <w:tcBorders>
              <w:top w:val="nil"/>
              <w:left w:val="nil"/>
              <w:bottom w:val="single" w:sz="4" w:space="0" w:color="auto"/>
              <w:right w:val="single" w:sz="4" w:space="0" w:color="auto"/>
            </w:tcBorders>
            <w:shd w:val="clear" w:color="000000" w:fill="D9D9D9"/>
            <w:noWrap/>
            <w:vAlign w:val="bottom"/>
            <w:hideMark/>
          </w:tcPr>
          <w:p w14:paraId="78197CEE"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1.0%</w:t>
            </w:r>
          </w:p>
        </w:tc>
        <w:tc>
          <w:tcPr>
            <w:tcW w:w="1554" w:type="dxa"/>
            <w:tcBorders>
              <w:top w:val="nil"/>
              <w:left w:val="nil"/>
              <w:bottom w:val="single" w:sz="4" w:space="0" w:color="auto"/>
              <w:right w:val="single" w:sz="4" w:space="0" w:color="auto"/>
            </w:tcBorders>
            <w:shd w:val="clear" w:color="000000" w:fill="D9D9D9"/>
            <w:noWrap/>
            <w:vAlign w:val="bottom"/>
            <w:hideMark/>
          </w:tcPr>
          <w:p w14:paraId="04DAB0F9"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507</w:t>
            </w:r>
          </w:p>
        </w:tc>
        <w:tc>
          <w:tcPr>
            <w:tcW w:w="1200" w:type="dxa"/>
            <w:tcBorders>
              <w:top w:val="nil"/>
              <w:left w:val="nil"/>
              <w:bottom w:val="single" w:sz="4" w:space="0" w:color="auto"/>
              <w:right w:val="single" w:sz="4" w:space="0" w:color="auto"/>
            </w:tcBorders>
            <w:shd w:val="clear" w:color="auto" w:fill="auto"/>
            <w:noWrap/>
            <w:vAlign w:val="bottom"/>
            <w:hideMark/>
          </w:tcPr>
          <w:p w14:paraId="54C3F355"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0.052</w:t>
            </w:r>
          </w:p>
        </w:tc>
      </w:tr>
      <w:tr w:rsidR="00B533E5" w:rsidRPr="00B533E5" w14:paraId="57AEEA42"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6E43767" w14:textId="77777777" w:rsidR="00B533E5" w:rsidRPr="00B533E5" w:rsidRDefault="00B533E5" w:rsidP="00B533E5">
            <w:pPr>
              <w:spacing w:after="0" w:line="240" w:lineRule="auto"/>
              <w:rPr>
                <w:rFonts w:ascii="Calibri" w:eastAsia="Times New Roman" w:hAnsi="Calibri" w:cs="Calibri"/>
              </w:rPr>
            </w:pPr>
            <w:r w:rsidRPr="00B533E5">
              <w:rPr>
                <w:rFonts w:ascii="Calibri" w:eastAsia="Times New Roman" w:hAnsi="Calibri" w:cs="Calibri"/>
              </w:rPr>
              <w:t>ESR1</w:t>
            </w:r>
          </w:p>
        </w:tc>
        <w:tc>
          <w:tcPr>
            <w:tcW w:w="1248" w:type="dxa"/>
            <w:tcBorders>
              <w:top w:val="nil"/>
              <w:left w:val="nil"/>
              <w:bottom w:val="single" w:sz="4" w:space="0" w:color="auto"/>
              <w:right w:val="single" w:sz="4" w:space="0" w:color="auto"/>
            </w:tcBorders>
            <w:shd w:val="clear" w:color="000000" w:fill="D9E1F2"/>
            <w:noWrap/>
            <w:vAlign w:val="bottom"/>
            <w:hideMark/>
          </w:tcPr>
          <w:p w14:paraId="3C2E35B9"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3.1%</w:t>
            </w:r>
          </w:p>
        </w:tc>
        <w:tc>
          <w:tcPr>
            <w:tcW w:w="1632" w:type="dxa"/>
            <w:tcBorders>
              <w:top w:val="nil"/>
              <w:left w:val="nil"/>
              <w:bottom w:val="single" w:sz="4" w:space="0" w:color="auto"/>
              <w:right w:val="single" w:sz="4" w:space="0" w:color="auto"/>
            </w:tcBorders>
            <w:shd w:val="clear" w:color="000000" w:fill="D9E1F2"/>
            <w:noWrap/>
            <w:vAlign w:val="bottom"/>
            <w:hideMark/>
          </w:tcPr>
          <w:p w14:paraId="53CFC2BD"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97</w:t>
            </w:r>
          </w:p>
        </w:tc>
        <w:tc>
          <w:tcPr>
            <w:tcW w:w="1005" w:type="dxa"/>
            <w:tcBorders>
              <w:top w:val="nil"/>
              <w:left w:val="nil"/>
              <w:bottom w:val="single" w:sz="4" w:space="0" w:color="auto"/>
              <w:right w:val="single" w:sz="4" w:space="0" w:color="auto"/>
            </w:tcBorders>
            <w:shd w:val="clear" w:color="000000" w:fill="D9D9D9"/>
            <w:noWrap/>
            <w:vAlign w:val="bottom"/>
            <w:hideMark/>
          </w:tcPr>
          <w:p w14:paraId="646E9FE7"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0.4%</w:t>
            </w:r>
          </w:p>
        </w:tc>
        <w:tc>
          <w:tcPr>
            <w:tcW w:w="1554" w:type="dxa"/>
            <w:tcBorders>
              <w:top w:val="nil"/>
              <w:left w:val="nil"/>
              <w:bottom w:val="single" w:sz="4" w:space="0" w:color="auto"/>
              <w:right w:val="single" w:sz="4" w:space="0" w:color="auto"/>
            </w:tcBorders>
            <w:shd w:val="clear" w:color="000000" w:fill="D9D9D9"/>
            <w:noWrap/>
            <w:vAlign w:val="bottom"/>
            <w:hideMark/>
          </w:tcPr>
          <w:p w14:paraId="02F9598E"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507</w:t>
            </w:r>
          </w:p>
        </w:tc>
        <w:tc>
          <w:tcPr>
            <w:tcW w:w="1200" w:type="dxa"/>
            <w:tcBorders>
              <w:top w:val="nil"/>
              <w:left w:val="nil"/>
              <w:bottom w:val="single" w:sz="4" w:space="0" w:color="auto"/>
              <w:right w:val="single" w:sz="4" w:space="0" w:color="auto"/>
            </w:tcBorders>
            <w:shd w:val="clear" w:color="auto" w:fill="auto"/>
            <w:noWrap/>
            <w:vAlign w:val="center"/>
            <w:hideMark/>
          </w:tcPr>
          <w:p w14:paraId="32ED60FF" w14:textId="77777777" w:rsidR="00B533E5" w:rsidRPr="00B533E5" w:rsidRDefault="00B533E5" w:rsidP="00B533E5">
            <w:pPr>
              <w:spacing w:after="0" w:line="240" w:lineRule="auto"/>
              <w:jc w:val="center"/>
              <w:rPr>
                <w:rFonts w:ascii="Calibri" w:eastAsia="Times New Roman" w:hAnsi="Calibri" w:cs="Calibri"/>
                <w:b/>
                <w:bCs/>
              </w:rPr>
            </w:pPr>
            <w:r w:rsidRPr="00B533E5">
              <w:rPr>
                <w:rFonts w:ascii="Calibri" w:eastAsia="Times New Roman" w:hAnsi="Calibri" w:cs="Calibri"/>
                <w:b/>
                <w:bCs/>
              </w:rPr>
              <w:t>0.007*</w:t>
            </w:r>
          </w:p>
        </w:tc>
      </w:tr>
      <w:tr w:rsidR="00B533E5" w:rsidRPr="00B533E5" w14:paraId="18EDC396"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C5DCBBA" w14:textId="77777777" w:rsidR="00B533E5" w:rsidRPr="00B533E5" w:rsidRDefault="00B533E5" w:rsidP="00B533E5">
            <w:pPr>
              <w:spacing w:after="0" w:line="240" w:lineRule="auto"/>
              <w:rPr>
                <w:rFonts w:ascii="Calibri" w:eastAsia="Times New Roman" w:hAnsi="Calibri" w:cs="Calibri"/>
              </w:rPr>
            </w:pPr>
            <w:r w:rsidRPr="00B533E5">
              <w:rPr>
                <w:rFonts w:ascii="Calibri" w:eastAsia="Times New Roman" w:hAnsi="Calibri" w:cs="Calibri"/>
              </w:rPr>
              <w:t>MLL3</w:t>
            </w:r>
          </w:p>
        </w:tc>
        <w:tc>
          <w:tcPr>
            <w:tcW w:w="1248" w:type="dxa"/>
            <w:tcBorders>
              <w:top w:val="nil"/>
              <w:left w:val="nil"/>
              <w:bottom w:val="single" w:sz="4" w:space="0" w:color="auto"/>
              <w:right w:val="single" w:sz="4" w:space="0" w:color="auto"/>
            </w:tcBorders>
            <w:shd w:val="clear" w:color="000000" w:fill="D9E1F2"/>
            <w:noWrap/>
            <w:vAlign w:val="bottom"/>
            <w:hideMark/>
          </w:tcPr>
          <w:p w14:paraId="655D9208"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3.3%</w:t>
            </w:r>
          </w:p>
        </w:tc>
        <w:tc>
          <w:tcPr>
            <w:tcW w:w="1632" w:type="dxa"/>
            <w:tcBorders>
              <w:top w:val="nil"/>
              <w:left w:val="nil"/>
              <w:bottom w:val="single" w:sz="4" w:space="0" w:color="auto"/>
              <w:right w:val="single" w:sz="4" w:space="0" w:color="auto"/>
            </w:tcBorders>
            <w:shd w:val="clear" w:color="000000" w:fill="D9E1F2"/>
            <w:noWrap/>
            <w:vAlign w:val="bottom"/>
            <w:hideMark/>
          </w:tcPr>
          <w:p w14:paraId="51B839A9"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30</w:t>
            </w:r>
          </w:p>
        </w:tc>
        <w:tc>
          <w:tcPr>
            <w:tcW w:w="1005" w:type="dxa"/>
            <w:tcBorders>
              <w:top w:val="nil"/>
              <w:left w:val="nil"/>
              <w:bottom w:val="single" w:sz="4" w:space="0" w:color="auto"/>
              <w:right w:val="single" w:sz="4" w:space="0" w:color="auto"/>
            </w:tcBorders>
            <w:shd w:val="clear" w:color="000000" w:fill="D9D9D9"/>
            <w:noWrap/>
            <w:vAlign w:val="bottom"/>
            <w:hideMark/>
          </w:tcPr>
          <w:p w14:paraId="2388F2CB"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7.5%</w:t>
            </w:r>
          </w:p>
        </w:tc>
        <w:tc>
          <w:tcPr>
            <w:tcW w:w="1554" w:type="dxa"/>
            <w:tcBorders>
              <w:top w:val="nil"/>
              <w:left w:val="nil"/>
              <w:bottom w:val="single" w:sz="4" w:space="0" w:color="auto"/>
              <w:right w:val="single" w:sz="4" w:space="0" w:color="auto"/>
            </w:tcBorders>
            <w:shd w:val="clear" w:color="000000" w:fill="D9D9D9"/>
            <w:noWrap/>
            <w:vAlign w:val="bottom"/>
            <w:hideMark/>
          </w:tcPr>
          <w:p w14:paraId="57D72CE3"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507</w:t>
            </w:r>
          </w:p>
        </w:tc>
        <w:tc>
          <w:tcPr>
            <w:tcW w:w="1200" w:type="dxa"/>
            <w:tcBorders>
              <w:top w:val="nil"/>
              <w:left w:val="nil"/>
              <w:bottom w:val="single" w:sz="4" w:space="0" w:color="auto"/>
              <w:right w:val="single" w:sz="4" w:space="0" w:color="auto"/>
            </w:tcBorders>
            <w:shd w:val="clear" w:color="auto" w:fill="auto"/>
            <w:noWrap/>
            <w:vAlign w:val="bottom"/>
            <w:hideMark/>
          </w:tcPr>
          <w:p w14:paraId="74E1E3D1"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0.390</w:t>
            </w:r>
          </w:p>
        </w:tc>
      </w:tr>
      <w:tr w:rsidR="00B533E5" w:rsidRPr="00B533E5" w14:paraId="688F9FF5"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475124D" w14:textId="77777777" w:rsidR="00B533E5" w:rsidRPr="00B533E5" w:rsidRDefault="00B533E5" w:rsidP="00B533E5">
            <w:pPr>
              <w:spacing w:after="0" w:line="240" w:lineRule="auto"/>
              <w:rPr>
                <w:rFonts w:ascii="Calibri" w:eastAsia="Times New Roman" w:hAnsi="Calibri" w:cs="Calibri"/>
              </w:rPr>
            </w:pPr>
            <w:r w:rsidRPr="00B533E5">
              <w:rPr>
                <w:rFonts w:ascii="Calibri" w:eastAsia="Times New Roman" w:hAnsi="Calibri" w:cs="Calibri"/>
              </w:rPr>
              <w:t>AKT1</w:t>
            </w:r>
          </w:p>
        </w:tc>
        <w:tc>
          <w:tcPr>
            <w:tcW w:w="1248" w:type="dxa"/>
            <w:tcBorders>
              <w:top w:val="nil"/>
              <w:left w:val="nil"/>
              <w:bottom w:val="single" w:sz="4" w:space="0" w:color="auto"/>
              <w:right w:val="single" w:sz="4" w:space="0" w:color="auto"/>
            </w:tcBorders>
            <w:shd w:val="clear" w:color="000000" w:fill="D9E1F2"/>
            <w:noWrap/>
            <w:vAlign w:val="bottom"/>
            <w:hideMark/>
          </w:tcPr>
          <w:p w14:paraId="4A4C18BF"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1.8%</w:t>
            </w:r>
          </w:p>
        </w:tc>
        <w:tc>
          <w:tcPr>
            <w:tcW w:w="1632" w:type="dxa"/>
            <w:tcBorders>
              <w:top w:val="nil"/>
              <w:left w:val="nil"/>
              <w:bottom w:val="single" w:sz="4" w:space="0" w:color="auto"/>
              <w:right w:val="single" w:sz="4" w:space="0" w:color="auto"/>
            </w:tcBorders>
            <w:shd w:val="clear" w:color="000000" w:fill="D9E1F2"/>
            <w:noWrap/>
            <w:vAlign w:val="bottom"/>
            <w:hideMark/>
          </w:tcPr>
          <w:p w14:paraId="645E2C21"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163</w:t>
            </w:r>
          </w:p>
        </w:tc>
        <w:tc>
          <w:tcPr>
            <w:tcW w:w="1005" w:type="dxa"/>
            <w:tcBorders>
              <w:top w:val="nil"/>
              <w:left w:val="nil"/>
              <w:bottom w:val="single" w:sz="4" w:space="0" w:color="auto"/>
              <w:right w:val="single" w:sz="4" w:space="0" w:color="auto"/>
            </w:tcBorders>
            <w:shd w:val="clear" w:color="000000" w:fill="D9D9D9"/>
            <w:noWrap/>
            <w:vAlign w:val="bottom"/>
            <w:hideMark/>
          </w:tcPr>
          <w:p w14:paraId="0BCFD88A"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2.4%</w:t>
            </w:r>
          </w:p>
        </w:tc>
        <w:tc>
          <w:tcPr>
            <w:tcW w:w="1554" w:type="dxa"/>
            <w:tcBorders>
              <w:top w:val="nil"/>
              <w:left w:val="nil"/>
              <w:bottom w:val="single" w:sz="4" w:space="0" w:color="auto"/>
              <w:right w:val="single" w:sz="4" w:space="0" w:color="auto"/>
            </w:tcBorders>
            <w:shd w:val="clear" w:color="000000" w:fill="D9D9D9"/>
            <w:noWrap/>
            <w:vAlign w:val="bottom"/>
            <w:hideMark/>
          </w:tcPr>
          <w:p w14:paraId="3FB2E4D9"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507</w:t>
            </w:r>
          </w:p>
        </w:tc>
        <w:tc>
          <w:tcPr>
            <w:tcW w:w="1200" w:type="dxa"/>
            <w:tcBorders>
              <w:top w:val="nil"/>
              <w:left w:val="nil"/>
              <w:bottom w:val="single" w:sz="4" w:space="0" w:color="auto"/>
              <w:right w:val="single" w:sz="4" w:space="0" w:color="auto"/>
            </w:tcBorders>
            <w:shd w:val="clear" w:color="auto" w:fill="auto"/>
            <w:noWrap/>
            <w:vAlign w:val="bottom"/>
            <w:hideMark/>
          </w:tcPr>
          <w:p w14:paraId="4D0233F2"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0.654</w:t>
            </w:r>
          </w:p>
        </w:tc>
      </w:tr>
      <w:tr w:rsidR="00B533E5" w:rsidRPr="00B533E5" w14:paraId="47250529"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8F85A0F" w14:textId="77777777" w:rsidR="00B533E5" w:rsidRPr="00B533E5" w:rsidRDefault="00B533E5" w:rsidP="00B533E5">
            <w:pPr>
              <w:spacing w:after="0" w:line="240" w:lineRule="auto"/>
              <w:rPr>
                <w:rFonts w:ascii="Calibri" w:eastAsia="Times New Roman" w:hAnsi="Calibri" w:cs="Calibri"/>
              </w:rPr>
            </w:pPr>
            <w:r w:rsidRPr="00B533E5">
              <w:rPr>
                <w:rFonts w:ascii="Calibri" w:eastAsia="Times New Roman" w:hAnsi="Calibri" w:cs="Calibri"/>
              </w:rPr>
              <w:t>ERBB2</w:t>
            </w:r>
          </w:p>
        </w:tc>
        <w:tc>
          <w:tcPr>
            <w:tcW w:w="1248" w:type="dxa"/>
            <w:tcBorders>
              <w:top w:val="nil"/>
              <w:left w:val="nil"/>
              <w:bottom w:val="single" w:sz="4" w:space="0" w:color="auto"/>
              <w:right w:val="single" w:sz="4" w:space="0" w:color="auto"/>
            </w:tcBorders>
            <w:shd w:val="clear" w:color="000000" w:fill="D9E1F2"/>
            <w:noWrap/>
            <w:vAlign w:val="bottom"/>
            <w:hideMark/>
          </w:tcPr>
          <w:p w14:paraId="1AA3EC69"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3.1%</w:t>
            </w:r>
          </w:p>
        </w:tc>
        <w:tc>
          <w:tcPr>
            <w:tcW w:w="1632" w:type="dxa"/>
            <w:tcBorders>
              <w:top w:val="nil"/>
              <w:left w:val="nil"/>
              <w:bottom w:val="single" w:sz="4" w:space="0" w:color="auto"/>
              <w:right w:val="single" w:sz="4" w:space="0" w:color="auto"/>
            </w:tcBorders>
            <w:shd w:val="clear" w:color="000000" w:fill="D9E1F2"/>
            <w:noWrap/>
            <w:vAlign w:val="bottom"/>
            <w:hideMark/>
          </w:tcPr>
          <w:p w14:paraId="1DB12E65"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163</w:t>
            </w:r>
          </w:p>
        </w:tc>
        <w:tc>
          <w:tcPr>
            <w:tcW w:w="1005" w:type="dxa"/>
            <w:tcBorders>
              <w:top w:val="nil"/>
              <w:left w:val="nil"/>
              <w:bottom w:val="single" w:sz="4" w:space="0" w:color="auto"/>
              <w:right w:val="single" w:sz="4" w:space="0" w:color="auto"/>
            </w:tcBorders>
            <w:shd w:val="clear" w:color="000000" w:fill="D9D9D9"/>
            <w:noWrap/>
            <w:vAlign w:val="bottom"/>
            <w:hideMark/>
          </w:tcPr>
          <w:p w14:paraId="314D9FA6"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1.4%</w:t>
            </w:r>
          </w:p>
        </w:tc>
        <w:tc>
          <w:tcPr>
            <w:tcW w:w="1554" w:type="dxa"/>
            <w:tcBorders>
              <w:top w:val="nil"/>
              <w:left w:val="nil"/>
              <w:bottom w:val="single" w:sz="4" w:space="0" w:color="auto"/>
              <w:right w:val="single" w:sz="4" w:space="0" w:color="auto"/>
            </w:tcBorders>
            <w:shd w:val="clear" w:color="000000" w:fill="D9D9D9"/>
            <w:noWrap/>
            <w:vAlign w:val="bottom"/>
            <w:hideMark/>
          </w:tcPr>
          <w:p w14:paraId="09F27DAC"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507</w:t>
            </w:r>
          </w:p>
        </w:tc>
        <w:tc>
          <w:tcPr>
            <w:tcW w:w="1200" w:type="dxa"/>
            <w:tcBorders>
              <w:top w:val="nil"/>
              <w:left w:val="nil"/>
              <w:bottom w:val="single" w:sz="4" w:space="0" w:color="auto"/>
              <w:right w:val="single" w:sz="4" w:space="0" w:color="auto"/>
            </w:tcBorders>
            <w:shd w:val="clear" w:color="auto" w:fill="auto"/>
            <w:noWrap/>
            <w:vAlign w:val="bottom"/>
            <w:hideMark/>
          </w:tcPr>
          <w:p w14:paraId="36CBE535"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0.157</w:t>
            </w:r>
          </w:p>
        </w:tc>
      </w:tr>
      <w:tr w:rsidR="00B533E5" w:rsidRPr="00B533E5" w14:paraId="056EADD0"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243C6BD" w14:textId="77777777" w:rsidR="00B533E5" w:rsidRPr="00B533E5" w:rsidRDefault="00B533E5" w:rsidP="00B533E5">
            <w:pPr>
              <w:spacing w:after="0" w:line="240" w:lineRule="auto"/>
              <w:rPr>
                <w:rFonts w:ascii="Calibri" w:eastAsia="Times New Roman" w:hAnsi="Calibri" w:cs="Calibri"/>
              </w:rPr>
            </w:pPr>
            <w:r w:rsidRPr="00B533E5">
              <w:rPr>
                <w:rFonts w:ascii="Calibri" w:eastAsia="Times New Roman" w:hAnsi="Calibri" w:cs="Calibri"/>
              </w:rPr>
              <w:t>PIK3R1</w:t>
            </w:r>
          </w:p>
        </w:tc>
        <w:tc>
          <w:tcPr>
            <w:tcW w:w="1248" w:type="dxa"/>
            <w:tcBorders>
              <w:top w:val="nil"/>
              <w:left w:val="nil"/>
              <w:bottom w:val="single" w:sz="4" w:space="0" w:color="auto"/>
              <w:right w:val="single" w:sz="4" w:space="0" w:color="auto"/>
            </w:tcBorders>
            <w:shd w:val="clear" w:color="000000" w:fill="D9E1F2"/>
            <w:noWrap/>
            <w:vAlign w:val="bottom"/>
            <w:hideMark/>
          </w:tcPr>
          <w:p w14:paraId="2D2C407D"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2.4%</w:t>
            </w:r>
          </w:p>
        </w:tc>
        <w:tc>
          <w:tcPr>
            <w:tcW w:w="1632" w:type="dxa"/>
            <w:tcBorders>
              <w:top w:val="nil"/>
              <w:left w:val="nil"/>
              <w:bottom w:val="single" w:sz="4" w:space="0" w:color="auto"/>
              <w:right w:val="single" w:sz="4" w:space="0" w:color="auto"/>
            </w:tcBorders>
            <w:shd w:val="clear" w:color="000000" w:fill="D9E1F2"/>
            <w:noWrap/>
            <w:vAlign w:val="bottom"/>
            <w:hideMark/>
          </w:tcPr>
          <w:p w14:paraId="15B2D0C2"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127</w:t>
            </w:r>
          </w:p>
        </w:tc>
        <w:tc>
          <w:tcPr>
            <w:tcW w:w="1005" w:type="dxa"/>
            <w:tcBorders>
              <w:top w:val="nil"/>
              <w:left w:val="nil"/>
              <w:bottom w:val="single" w:sz="4" w:space="0" w:color="auto"/>
              <w:right w:val="single" w:sz="4" w:space="0" w:color="auto"/>
            </w:tcBorders>
            <w:shd w:val="clear" w:color="000000" w:fill="D9D9D9"/>
            <w:noWrap/>
            <w:vAlign w:val="bottom"/>
            <w:hideMark/>
          </w:tcPr>
          <w:p w14:paraId="07FF51AF"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2.6%</w:t>
            </w:r>
          </w:p>
        </w:tc>
        <w:tc>
          <w:tcPr>
            <w:tcW w:w="1554" w:type="dxa"/>
            <w:tcBorders>
              <w:top w:val="nil"/>
              <w:left w:val="nil"/>
              <w:bottom w:val="single" w:sz="4" w:space="0" w:color="auto"/>
              <w:right w:val="single" w:sz="4" w:space="0" w:color="auto"/>
            </w:tcBorders>
            <w:shd w:val="clear" w:color="000000" w:fill="D9D9D9"/>
            <w:noWrap/>
            <w:vAlign w:val="bottom"/>
            <w:hideMark/>
          </w:tcPr>
          <w:p w14:paraId="68ED6AAF"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507</w:t>
            </w:r>
          </w:p>
        </w:tc>
        <w:tc>
          <w:tcPr>
            <w:tcW w:w="1200" w:type="dxa"/>
            <w:tcBorders>
              <w:top w:val="nil"/>
              <w:left w:val="nil"/>
              <w:bottom w:val="single" w:sz="4" w:space="0" w:color="auto"/>
              <w:right w:val="single" w:sz="4" w:space="0" w:color="auto"/>
            </w:tcBorders>
            <w:shd w:val="clear" w:color="auto" w:fill="auto"/>
            <w:noWrap/>
            <w:vAlign w:val="bottom"/>
            <w:hideMark/>
          </w:tcPr>
          <w:p w14:paraId="772299AE"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0.899</w:t>
            </w:r>
          </w:p>
        </w:tc>
      </w:tr>
      <w:tr w:rsidR="00B533E5" w:rsidRPr="00B533E5" w14:paraId="5C9516ED"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20EB2F2" w14:textId="77777777" w:rsidR="00B533E5" w:rsidRPr="00B533E5" w:rsidRDefault="00B533E5" w:rsidP="00B533E5">
            <w:pPr>
              <w:spacing w:after="0" w:line="240" w:lineRule="auto"/>
              <w:rPr>
                <w:rFonts w:ascii="Calibri" w:eastAsia="Times New Roman" w:hAnsi="Calibri" w:cs="Calibri"/>
              </w:rPr>
            </w:pPr>
            <w:r w:rsidRPr="00B533E5">
              <w:rPr>
                <w:rFonts w:ascii="Calibri" w:eastAsia="Times New Roman" w:hAnsi="Calibri" w:cs="Calibri"/>
              </w:rPr>
              <w:t>GATA3</w:t>
            </w:r>
          </w:p>
        </w:tc>
        <w:tc>
          <w:tcPr>
            <w:tcW w:w="1248" w:type="dxa"/>
            <w:tcBorders>
              <w:top w:val="nil"/>
              <w:left w:val="nil"/>
              <w:bottom w:val="single" w:sz="4" w:space="0" w:color="auto"/>
              <w:right w:val="single" w:sz="4" w:space="0" w:color="auto"/>
            </w:tcBorders>
            <w:shd w:val="clear" w:color="000000" w:fill="D9E1F2"/>
            <w:noWrap/>
            <w:vAlign w:val="bottom"/>
            <w:hideMark/>
          </w:tcPr>
          <w:p w14:paraId="08F3B21A"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3.3%</w:t>
            </w:r>
          </w:p>
        </w:tc>
        <w:tc>
          <w:tcPr>
            <w:tcW w:w="1632" w:type="dxa"/>
            <w:tcBorders>
              <w:top w:val="nil"/>
              <w:left w:val="nil"/>
              <w:bottom w:val="single" w:sz="4" w:space="0" w:color="auto"/>
              <w:right w:val="single" w:sz="4" w:space="0" w:color="auto"/>
            </w:tcBorders>
            <w:shd w:val="clear" w:color="000000" w:fill="D9E1F2"/>
            <w:noWrap/>
            <w:vAlign w:val="bottom"/>
            <w:hideMark/>
          </w:tcPr>
          <w:p w14:paraId="08044E2B"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30</w:t>
            </w:r>
          </w:p>
        </w:tc>
        <w:tc>
          <w:tcPr>
            <w:tcW w:w="1005" w:type="dxa"/>
            <w:tcBorders>
              <w:top w:val="nil"/>
              <w:left w:val="nil"/>
              <w:bottom w:val="single" w:sz="4" w:space="0" w:color="auto"/>
              <w:right w:val="single" w:sz="4" w:space="0" w:color="auto"/>
            </w:tcBorders>
            <w:shd w:val="clear" w:color="000000" w:fill="D9D9D9"/>
            <w:noWrap/>
            <w:vAlign w:val="bottom"/>
            <w:hideMark/>
          </w:tcPr>
          <w:p w14:paraId="28376D01"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10.7%</w:t>
            </w:r>
          </w:p>
        </w:tc>
        <w:tc>
          <w:tcPr>
            <w:tcW w:w="1554" w:type="dxa"/>
            <w:tcBorders>
              <w:top w:val="nil"/>
              <w:left w:val="nil"/>
              <w:bottom w:val="single" w:sz="4" w:space="0" w:color="auto"/>
              <w:right w:val="single" w:sz="4" w:space="0" w:color="auto"/>
            </w:tcBorders>
            <w:shd w:val="clear" w:color="000000" w:fill="D9D9D9"/>
            <w:noWrap/>
            <w:vAlign w:val="bottom"/>
            <w:hideMark/>
          </w:tcPr>
          <w:p w14:paraId="715D7C15"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507</w:t>
            </w:r>
          </w:p>
        </w:tc>
        <w:tc>
          <w:tcPr>
            <w:tcW w:w="1200" w:type="dxa"/>
            <w:tcBorders>
              <w:top w:val="nil"/>
              <w:left w:val="nil"/>
              <w:bottom w:val="single" w:sz="4" w:space="0" w:color="auto"/>
              <w:right w:val="single" w:sz="4" w:space="0" w:color="auto"/>
            </w:tcBorders>
            <w:shd w:val="clear" w:color="auto" w:fill="auto"/>
            <w:noWrap/>
            <w:vAlign w:val="bottom"/>
            <w:hideMark/>
          </w:tcPr>
          <w:p w14:paraId="2A6E17D5"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 0.1952</w:t>
            </w:r>
          </w:p>
        </w:tc>
      </w:tr>
      <w:tr w:rsidR="00B533E5" w:rsidRPr="00B533E5" w14:paraId="2F855789"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E9D660D" w14:textId="77777777" w:rsidR="00B533E5" w:rsidRPr="00B533E5" w:rsidRDefault="00B533E5" w:rsidP="00B533E5">
            <w:pPr>
              <w:spacing w:after="0" w:line="240" w:lineRule="auto"/>
              <w:rPr>
                <w:rFonts w:ascii="Calibri" w:eastAsia="Times New Roman" w:hAnsi="Calibri" w:cs="Calibri"/>
              </w:rPr>
            </w:pPr>
            <w:r w:rsidRPr="00B533E5">
              <w:rPr>
                <w:rFonts w:ascii="Calibri" w:eastAsia="Times New Roman" w:hAnsi="Calibri" w:cs="Calibri"/>
              </w:rPr>
              <w:t>PTEN</w:t>
            </w:r>
          </w:p>
        </w:tc>
        <w:tc>
          <w:tcPr>
            <w:tcW w:w="1248" w:type="dxa"/>
            <w:tcBorders>
              <w:top w:val="nil"/>
              <w:left w:val="nil"/>
              <w:bottom w:val="single" w:sz="4" w:space="0" w:color="auto"/>
              <w:right w:val="single" w:sz="4" w:space="0" w:color="auto"/>
            </w:tcBorders>
            <w:shd w:val="clear" w:color="000000" w:fill="D9E1F2"/>
            <w:noWrap/>
            <w:vAlign w:val="bottom"/>
            <w:hideMark/>
          </w:tcPr>
          <w:p w14:paraId="5760E666"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1.6%</w:t>
            </w:r>
          </w:p>
        </w:tc>
        <w:tc>
          <w:tcPr>
            <w:tcW w:w="1632" w:type="dxa"/>
            <w:tcBorders>
              <w:top w:val="nil"/>
              <w:left w:val="nil"/>
              <w:bottom w:val="single" w:sz="4" w:space="0" w:color="auto"/>
              <w:right w:val="single" w:sz="4" w:space="0" w:color="auto"/>
            </w:tcBorders>
            <w:shd w:val="clear" w:color="000000" w:fill="D9E1F2"/>
            <w:noWrap/>
            <w:vAlign w:val="bottom"/>
            <w:hideMark/>
          </w:tcPr>
          <w:p w14:paraId="3B73C38D"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127</w:t>
            </w:r>
          </w:p>
        </w:tc>
        <w:tc>
          <w:tcPr>
            <w:tcW w:w="1005" w:type="dxa"/>
            <w:tcBorders>
              <w:top w:val="nil"/>
              <w:left w:val="nil"/>
              <w:bottom w:val="single" w:sz="4" w:space="0" w:color="auto"/>
              <w:right w:val="single" w:sz="4" w:space="0" w:color="auto"/>
            </w:tcBorders>
            <w:shd w:val="clear" w:color="000000" w:fill="D9D9D9"/>
            <w:noWrap/>
            <w:vAlign w:val="bottom"/>
            <w:hideMark/>
          </w:tcPr>
          <w:p w14:paraId="6321D2A9"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3.6%</w:t>
            </w:r>
          </w:p>
        </w:tc>
        <w:tc>
          <w:tcPr>
            <w:tcW w:w="1554" w:type="dxa"/>
            <w:tcBorders>
              <w:top w:val="nil"/>
              <w:left w:val="nil"/>
              <w:bottom w:val="single" w:sz="4" w:space="0" w:color="auto"/>
              <w:right w:val="single" w:sz="4" w:space="0" w:color="auto"/>
            </w:tcBorders>
            <w:shd w:val="clear" w:color="000000" w:fill="D9D9D9"/>
            <w:noWrap/>
            <w:vAlign w:val="bottom"/>
            <w:hideMark/>
          </w:tcPr>
          <w:p w14:paraId="239B8074"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507</w:t>
            </w:r>
          </w:p>
        </w:tc>
        <w:tc>
          <w:tcPr>
            <w:tcW w:w="1200" w:type="dxa"/>
            <w:tcBorders>
              <w:top w:val="nil"/>
              <w:left w:val="nil"/>
              <w:bottom w:val="single" w:sz="4" w:space="0" w:color="auto"/>
              <w:right w:val="single" w:sz="4" w:space="0" w:color="auto"/>
            </w:tcBorders>
            <w:shd w:val="clear" w:color="auto" w:fill="auto"/>
            <w:noWrap/>
            <w:vAlign w:val="bottom"/>
            <w:hideMark/>
          </w:tcPr>
          <w:p w14:paraId="1F9B9A90"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0.253</w:t>
            </w:r>
          </w:p>
        </w:tc>
      </w:tr>
      <w:tr w:rsidR="00B533E5" w:rsidRPr="00B533E5" w14:paraId="03026B74"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97BF8B7" w14:textId="77777777" w:rsidR="00B533E5" w:rsidRPr="00B533E5" w:rsidRDefault="00B533E5" w:rsidP="00B533E5">
            <w:pPr>
              <w:spacing w:after="0" w:line="240" w:lineRule="auto"/>
              <w:rPr>
                <w:rFonts w:ascii="Calibri" w:eastAsia="Times New Roman" w:hAnsi="Calibri" w:cs="Calibri"/>
              </w:rPr>
            </w:pPr>
            <w:r w:rsidRPr="00B533E5">
              <w:rPr>
                <w:rFonts w:ascii="Calibri" w:eastAsia="Times New Roman" w:hAnsi="Calibri" w:cs="Calibri"/>
              </w:rPr>
              <w:t>EGFR</w:t>
            </w:r>
          </w:p>
        </w:tc>
        <w:tc>
          <w:tcPr>
            <w:tcW w:w="1248" w:type="dxa"/>
            <w:tcBorders>
              <w:top w:val="nil"/>
              <w:left w:val="nil"/>
              <w:bottom w:val="single" w:sz="4" w:space="0" w:color="auto"/>
              <w:right w:val="single" w:sz="4" w:space="0" w:color="auto"/>
            </w:tcBorders>
            <w:shd w:val="clear" w:color="000000" w:fill="D9E1F2"/>
            <w:noWrap/>
            <w:vAlign w:val="bottom"/>
            <w:hideMark/>
          </w:tcPr>
          <w:p w14:paraId="14014512"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1.8%</w:t>
            </w:r>
          </w:p>
        </w:tc>
        <w:tc>
          <w:tcPr>
            <w:tcW w:w="1632" w:type="dxa"/>
            <w:tcBorders>
              <w:top w:val="nil"/>
              <w:left w:val="nil"/>
              <w:bottom w:val="single" w:sz="4" w:space="0" w:color="auto"/>
              <w:right w:val="single" w:sz="4" w:space="0" w:color="auto"/>
            </w:tcBorders>
            <w:shd w:val="clear" w:color="000000" w:fill="D9E1F2"/>
            <w:noWrap/>
            <w:vAlign w:val="bottom"/>
            <w:hideMark/>
          </w:tcPr>
          <w:p w14:paraId="0FC38D0C"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163</w:t>
            </w:r>
          </w:p>
        </w:tc>
        <w:tc>
          <w:tcPr>
            <w:tcW w:w="1005" w:type="dxa"/>
            <w:tcBorders>
              <w:top w:val="nil"/>
              <w:left w:val="nil"/>
              <w:bottom w:val="single" w:sz="4" w:space="0" w:color="auto"/>
              <w:right w:val="single" w:sz="4" w:space="0" w:color="auto"/>
            </w:tcBorders>
            <w:shd w:val="clear" w:color="000000" w:fill="D9D9D9"/>
            <w:noWrap/>
            <w:vAlign w:val="bottom"/>
            <w:hideMark/>
          </w:tcPr>
          <w:p w14:paraId="5C06C01A"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0.8%</w:t>
            </w:r>
          </w:p>
        </w:tc>
        <w:tc>
          <w:tcPr>
            <w:tcW w:w="1554" w:type="dxa"/>
            <w:tcBorders>
              <w:top w:val="nil"/>
              <w:left w:val="nil"/>
              <w:bottom w:val="single" w:sz="4" w:space="0" w:color="auto"/>
              <w:right w:val="single" w:sz="4" w:space="0" w:color="auto"/>
            </w:tcBorders>
            <w:shd w:val="clear" w:color="000000" w:fill="D9D9D9"/>
            <w:noWrap/>
            <w:vAlign w:val="bottom"/>
            <w:hideMark/>
          </w:tcPr>
          <w:p w14:paraId="0A048EDF"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507</w:t>
            </w:r>
          </w:p>
        </w:tc>
        <w:tc>
          <w:tcPr>
            <w:tcW w:w="1200" w:type="dxa"/>
            <w:tcBorders>
              <w:top w:val="nil"/>
              <w:left w:val="nil"/>
              <w:bottom w:val="single" w:sz="4" w:space="0" w:color="auto"/>
              <w:right w:val="single" w:sz="4" w:space="0" w:color="auto"/>
            </w:tcBorders>
            <w:shd w:val="clear" w:color="auto" w:fill="auto"/>
            <w:noWrap/>
            <w:vAlign w:val="bottom"/>
            <w:hideMark/>
          </w:tcPr>
          <w:p w14:paraId="6BE9CA4A"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0.275</w:t>
            </w:r>
          </w:p>
        </w:tc>
      </w:tr>
      <w:tr w:rsidR="00B533E5" w:rsidRPr="00B533E5" w14:paraId="7E53FCA3"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EE0EA48" w14:textId="77777777" w:rsidR="00B533E5" w:rsidRPr="00B533E5" w:rsidRDefault="00B533E5" w:rsidP="00B533E5">
            <w:pPr>
              <w:spacing w:after="0" w:line="240" w:lineRule="auto"/>
              <w:rPr>
                <w:rFonts w:ascii="Calibri" w:eastAsia="Times New Roman" w:hAnsi="Calibri" w:cs="Calibri"/>
              </w:rPr>
            </w:pPr>
            <w:r w:rsidRPr="00B533E5">
              <w:rPr>
                <w:rFonts w:ascii="Calibri" w:eastAsia="Times New Roman" w:hAnsi="Calibri" w:cs="Calibri"/>
              </w:rPr>
              <w:t>APC</w:t>
            </w:r>
          </w:p>
        </w:tc>
        <w:tc>
          <w:tcPr>
            <w:tcW w:w="1248" w:type="dxa"/>
            <w:tcBorders>
              <w:top w:val="nil"/>
              <w:left w:val="nil"/>
              <w:bottom w:val="single" w:sz="4" w:space="0" w:color="auto"/>
              <w:right w:val="single" w:sz="4" w:space="0" w:color="auto"/>
            </w:tcBorders>
            <w:shd w:val="clear" w:color="000000" w:fill="D9E1F2"/>
            <w:noWrap/>
            <w:vAlign w:val="bottom"/>
            <w:hideMark/>
          </w:tcPr>
          <w:p w14:paraId="658874EB"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1.6%</w:t>
            </w:r>
          </w:p>
        </w:tc>
        <w:tc>
          <w:tcPr>
            <w:tcW w:w="1632" w:type="dxa"/>
            <w:tcBorders>
              <w:top w:val="nil"/>
              <w:left w:val="nil"/>
              <w:bottom w:val="single" w:sz="4" w:space="0" w:color="auto"/>
              <w:right w:val="single" w:sz="4" w:space="0" w:color="auto"/>
            </w:tcBorders>
            <w:shd w:val="clear" w:color="000000" w:fill="D9E1F2"/>
            <w:noWrap/>
            <w:vAlign w:val="bottom"/>
            <w:hideMark/>
          </w:tcPr>
          <w:p w14:paraId="3EFA4505"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127</w:t>
            </w:r>
          </w:p>
        </w:tc>
        <w:tc>
          <w:tcPr>
            <w:tcW w:w="1005" w:type="dxa"/>
            <w:tcBorders>
              <w:top w:val="nil"/>
              <w:left w:val="nil"/>
              <w:bottom w:val="single" w:sz="4" w:space="0" w:color="auto"/>
              <w:right w:val="single" w:sz="4" w:space="0" w:color="auto"/>
            </w:tcBorders>
            <w:shd w:val="clear" w:color="000000" w:fill="D9D9D9"/>
            <w:noWrap/>
            <w:vAlign w:val="bottom"/>
            <w:hideMark/>
          </w:tcPr>
          <w:p w14:paraId="2236AF01"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0.6%</w:t>
            </w:r>
          </w:p>
        </w:tc>
        <w:tc>
          <w:tcPr>
            <w:tcW w:w="1554" w:type="dxa"/>
            <w:tcBorders>
              <w:top w:val="nil"/>
              <w:left w:val="nil"/>
              <w:bottom w:val="single" w:sz="4" w:space="0" w:color="auto"/>
              <w:right w:val="single" w:sz="4" w:space="0" w:color="auto"/>
            </w:tcBorders>
            <w:shd w:val="clear" w:color="000000" w:fill="D9D9D9"/>
            <w:noWrap/>
            <w:vAlign w:val="bottom"/>
            <w:hideMark/>
          </w:tcPr>
          <w:p w14:paraId="26E47934"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507</w:t>
            </w:r>
          </w:p>
        </w:tc>
        <w:tc>
          <w:tcPr>
            <w:tcW w:w="1200" w:type="dxa"/>
            <w:tcBorders>
              <w:top w:val="nil"/>
              <w:left w:val="nil"/>
              <w:bottom w:val="single" w:sz="4" w:space="0" w:color="auto"/>
              <w:right w:val="single" w:sz="4" w:space="0" w:color="auto"/>
            </w:tcBorders>
            <w:shd w:val="clear" w:color="auto" w:fill="auto"/>
            <w:noWrap/>
            <w:vAlign w:val="bottom"/>
            <w:hideMark/>
          </w:tcPr>
          <w:p w14:paraId="260A9071"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0.077</w:t>
            </w:r>
          </w:p>
        </w:tc>
      </w:tr>
      <w:tr w:rsidR="00B533E5" w:rsidRPr="00B533E5" w14:paraId="6576065F"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7100541" w14:textId="77777777" w:rsidR="00B533E5" w:rsidRPr="00B533E5" w:rsidRDefault="00B533E5" w:rsidP="00B533E5">
            <w:pPr>
              <w:spacing w:after="0" w:line="240" w:lineRule="auto"/>
              <w:rPr>
                <w:rFonts w:ascii="Calibri" w:eastAsia="Times New Roman" w:hAnsi="Calibri" w:cs="Calibri"/>
              </w:rPr>
            </w:pPr>
            <w:r w:rsidRPr="00B533E5">
              <w:rPr>
                <w:rFonts w:ascii="Calibri" w:eastAsia="Times New Roman" w:hAnsi="Calibri" w:cs="Calibri"/>
              </w:rPr>
              <w:t>CDH1</w:t>
            </w:r>
          </w:p>
        </w:tc>
        <w:tc>
          <w:tcPr>
            <w:tcW w:w="1248" w:type="dxa"/>
            <w:tcBorders>
              <w:top w:val="nil"/>
              <w:left w:val="nil"/>
              <w:bottom w:val="single" w:sz="4" w:space="0" w:color="auto"/>
              <w:right w:val="single" w:sz="4" w:space="0" w:color="auto"/>
            </w:tcBorders>
            <w:shd w:val="clear" w:color="000000" w:fill="D9E1F2"/>
            <w:noWrap/>
            <w:vAlign w:val="bottom"/>
            <w:hideMark/>
          </w:tcPr>
          <w:p w14:paraId="3CA67B2F"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1.6%</w:t>
            </w:r>
          </w:p>
        </w:tc>
        <w:tc>
          <w:tcPr>
            <w:tcW w:w="1632" w:type="dxa"/>
            <w:tcBorders>
              <w:top w:val="nil"/>
              <w:left w:val="nil"/>
              <w:bottom w:val="single" w:sz="4" w:space="0" w:color="auto"/>
              <w:right w:val="single" w:sz="4" w:space="0" w:color="auto"/>
            </w:tcBorders>
            <w:shd w:val="clear" w:color="000000" w:fill="D9E1F2"/>
            <w:noWrap/>
            <w:vAlign w:val="bottom"/>
            <w:hideMark/>
          </w:tcPr>
          <w:p w14:paraId="59D09B8E"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127</w:t>
            </w:r>
          </w:p>
        </w:tc>
        <w:tc>
          <w:tcPr>
            <w:tcW w:w="1005" w:type="dxa"/>
            <w:tcBorders>
              <w:top w:val="nil"/>
              <w:left w:val="nil"/>
              <w:bottom w:val="single" w:sz="4" w:space="0" w:color="auto"/>
              <w:right w:val="single" w:sz="4" w:space="0" w:color="auto"/>
            </w:tcBorders>
            <w:shd w:val="clear" w:color="000000" w:fill="D9D9D9"/>
            <w:noWrap/>
            <w:vAlign w:val="bottom"/>
            <w:hideMark/>
          </w:tcPr>
          <w:p w14:paraId="32EC7C7D"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6.7%</w:t>
            </w:r>
          </w:p>
        </w:tc>
        <w:tc>
          <w:tcPr>
            <w:tcW w:w="1554" w:type="dxa"/>
            <w:tcBorders>
              <w:top w:val="nil"/>
              <w:left w:val="nil"/>
              <w:bottom w:val="single" w:sz="4" w:space="0" w:color="auto"/>
              <w:right w:val="single" w:sz="4" w:space="0" w:color="auto"/>
            </w:tcBorders>
            <w:shd w:val="clear" w:color="000000" w:fill="D9D9D9"/>
            <w:noWrap/>
            <w:vAlign w:val="bottom"/>
            <w:hideMark/>
          </w:tcPr>
          <w:p w14:paraId="3570A273"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507</w:t>
            </w:r>
          </w:p>
        </w:tc>
        <w:tc>
          <w:tcPr>
            <w:tcW w:w="1200" w:type="dxa"/>
            <w:tcBorders>
              <w:top w:val="nil"/>
              <w:left w:val="nil"/>
              <w:bottom w:val="single" w:sz="4" w:space="0" w:color="auto"/>
              <w:right w:val="single" w:sz="4" w:space="0" w:color="auto"/>
            </w:tcBorders>
            <w:shd w:val="clear" w:color="auto" w:fill="auto"/>
            <w:noWrap/>
            <w:vAlign w:val="bottom"/>
            <w:hideMark/>
          </w:tcPr>
          <w:p w14:paraId="3D14E3DA" w14:textId="77777777" w:rsidR="00B533E5" w:rsidRPr="00B533E5" w:rsidRDefault="00B533E5" w:rsidP="00B533E5">
            <w:pPr>
              <w:spacing w:after="0" w:line="240" w:lineRule="auto"/>
              <w:jc w:val="center"/>
              <w:rPr>
                <w:rFonts w:ascii="Calibri" w:eastAsia="Times New Roman" w:hAnsi="Calibri" w:cs="Calibri"/>
                <w:b/>
                <w:bCs/>
              </w:rPr>
            </w:pPr>
            <w:r w:rsidRPr="00B533E5">
              <w:rPr>
                <w:rFonts w:ascii="Calibri" w:eastAsia="Times New Roman" w:hAnsi="Calibri" w:cs="Calibri"/>
                <w:b/>
                <w:bCs/>
              </w:rPr>
              <w:t>0.007*</w:t>
            </w:r>
          </w:p>
        </w:tc>
      </w:tr>
      <w:tr w:rsidR="00B533E5" w:rsidRPr="00B533E5" w14:paraId="648583D5"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BDF6517" w14:textId="77777777" w:rsidR="00B533E5" w:rsidRPr="00B533E5" w:rsidRDefault="00B533E5" w:rsidP="00B533E5">
            <w:pPr>
              <w:spacing w:after="0" w:line="240" w:lineRule="auto"/>
              <w:rPr>
                <w:rFonts w:ascii="Calibri" w:eastAsia="Times New Roman" w:hAnsi="Calibri" w:cs="Calibri"/>
              </w:rPr>
            </w:pPr>
            <w:r w:rsidRPr="00B533E5">
              <w:rPr>
                <w:rFonts w:ascii="Calibri" w:eastAsia="Times New Roman" w:hAnsi="Calibri" w:cs="Calibri"/>
              </w:rPr>
              <w:t>JAK1</w:t>
            </w:r>
          </w:p>
        </w:tc>
        <w:tc>
          <w:tcPr>
            <w:tcW w:w="1248" w:type="dxa"/>
            <w:tcBorders>
              <w:top w:val="nil"/>
              <w:left w:val="nil"/>
              <w:bottom w:val="single" w:sz="4" w:space="0" w:color="auto"/>
              <w:right w:val="single" w:sz="4" w:space="0" w:color="auto"/>
            </w:tcBorders>
            <w:shd w:val="clear" w:color="000000" w:fill="D9E1F2"/>
            <w:noWrap/>
            <w:vAlign w:val="bottom"/>
            <w:hideMark/>
          </w:tcPr>
          <w:p w14:paraId="443629DA"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2.1%</w:t>
            </w:r>
          </w:p>
        </w:tc>
        <w:tc>
          <w:tcPr>
            <w:tcW w:w="1632" w:type="dxa"/>
            <w:tcBorders>
              <w:top w:val="nil"/>
              <w:left w:val="nil"/>
              <w:bottom w:val="single" w:sz="4" w:space="0" w:color="auto"/>
              <w:right w:val="single" w:sz="4" w:space="0" w:color="auto"/>
            </w:tcBorders>
            <w:shd w:val="clear" w:color="000000" w:fill="D9E1F2"/>
            <w:noWrap/>
            <w:vAlign w:val="bottom"/>
            <w:hideMark/>
          </w:tcPr>
          <w:p w14:paraId="6CF06BD5"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97</w:t>
            </w:r>
          </w:p>
        </w:tc>
        <w:tc>
          <w:tcPr>
            <w:tcW w:w="1005" w:type="dxa"/>
            <w:tcBorders>
              <w:top w:val="nil"/>
              <w:left w:val="nil"/>
              <w:bottom w:val="single" w:sz="4" w:space="0" w:color="auto"/>
              <w:right w:val="single" w:sz="4" w:space="0" w:color="auto"/>
            </w:tcBorders>
            <w:shd w:val="clear" w:color="000000" w:fill="D9D9D9"/>
            <w:noWrap/>
            <w:vAlign w:val="bottom"/>
            <w:hideMark/>
          </w:tcPr>
          <w:p w14:paraId="5E65A9D6"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0.4%</w:t>
            </w:r>
          </w:p>
        </w:tc>
        <w:tc>
          <w:tcPr>
            <w:tcW w:w="1554" w:type="dxa"/>
            <w:tcBorders>
              <w:top w:val="nil"/>
              <w:left w:val="nil"/>
              <w:bottom w:val="single" w:sz="4" w:space="0" w:color="auto"/>
              <w:right w:val="single" w:sz="4" w:space="0" w:color="auto"/>
            </w:tcBorders>
            <w:shd w:val="clear" w:color="000000" w:fill="D9D9D9"/>
            <w:noWrap/>
            <w:vAlign w:val="bottom"/>
            <w:hideMark/>
          </w:tcPr>
          <w:p w14:paraId="7D316076"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507</w:t>
            </w:r>
          </w:p>
        </w:tc>
        <w:tc>
          <w:tcPr>
            <w:tcW w:w="1200" w:type="dxa"/>
            <w:tcBorders>
              <w:top w:val="nil"/>
              <w:left w:val="nil"/>
              <w:bottom w:val="single" w:sz="4" w:space="0" w:color="auto"/>
              <w:right w:val="single" w:sz="4" w:space="0" w:color="auto"/>
            </w:tcBorders>
            <w:shd w:val="clear" w:color="auto" w:fill="auto"/>
            <w:noWrap/>
            <w:vAlign w:val="bottom"/>
            <w:hideMark/>
          </w:tcPr>
          <w:p w14:paraId="6A4E9A62"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0.061</w:t>
            </w:r>
          </w:p>
        </w:tc>
      </w:tr>
      <w:tr w:rsidR="00B533E5" w:rsidRPr="00B533E5" w14:paraId="78F7AB6E"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11F613C" w14:textId="77777777" w:rsidR="00B533E5" w:rsidRPr="00B533E5" w:rsidRDefault="00B533E5" w:rsidP="00B533E5">
            <w:pPr>
              <w:spacing w:after="0" w:line="240" w:lineRule="auto"/>
              <w:rPr>
                <w:rFonts w:ascii="Calibri" w:eastAsia="Times New Roman" w:hAnsi="Calibri" w:cs="Calibri"/>
              </w:rPr>
            </w:pPr>
            <w:r w:rsidRPr="00B533E5">
              <w:rPr>
                <w:rFonts w:ascii="Calibri" w:eastAsia="Times New Roman" w:hAnsi="Calibri" w:cs="Calibri"/>
              </w:rPr>
              <w:t>CDKN2A</w:t>
            </w:r>
          </w:p>
        </w:tc>
        <w:tc>
          <w:tcPr>
            <w:tcW w:w="1248" w:type="dxa"/>
            <w:tcBorders>
              <w:top w:val="nil"/>
              <w:left w:val="nil"/>
              <w:bottom w:val="single" w:sz="4" w:space="0" w:color="auto"/>
              <w:right w:val="single" w:sz="4" w:space="0" w:color="auto"/>
            </w:tcBorders>
            <w:shd w:val="clear" w:color="000000" w:fill="D9E1F2"/>
            <w:noWrap/>
            <w:vAlign w:val="bottom"/>
            <w:hideMark/>
          </w:tcPr>
          <w:p w14:paraId="5BE23959"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0.8%</w:t>
            </w:r>
          </w:p>
        </w:tc>
        <w:tc>
          <w:tcPr>
            <w:tcW w:w="1632" w:type="dxa"/>
            <w:tcBorders>
              <w:top w:val="nil"/>
              <w:left w:val="nil"/>
              <w:bottom w:val="single" w:sz="4" w:space="0" w:color="auto"/>
              <w:right w:val="single" w:sz="4" w:space="0" w:color="auto"/>
            </w:tcBorders>
            <w:shd w:val="clear" w:color="000000" w:fill="D9E1F2"/>
            <w:noWrap/>
            <w:vAlign w:val="bottom"/>
            <w:hideMark/>
          </w:tcPr>
          <w:p w14:paraId="10BF0398"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127</w:t>
            </w:r>
          </w:p>
        </w:tc>
        <w:tc>
          <w:tcPr>
            <w:tcW w:w="1005" w:type="dxa"/>
            <w:tcBorders>
              <w:top w:val="nil"/>
              <w:left w:val="nil"/>
              <w:bottom w:val="single" w:sz="4" w:space="0" w:color="auto"/>
              <w:right w:val="single" w:sz="4" w:space="0" w:color="auto"/>
            </w:tcBorders>
            <w:shd w:val="clear" w:color="000000" w:fill="D9D9D9"/>
            <w:noWrap/>
            <w:vAlign w:val="bottom"/>
            <w:hideMark/>
          </w:tcPr>
          <w:p w14:paraId="0AF9A627"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0.4%</w:t>
            </w:r>
          </w:p>
        </w:tc>
        <w:tc>
          <w:tcPr>
            <w:tcW w:w="1554" w:type="dxa"/>
            <w:tcBorders>
              <w:top w:val="nil"/>
              <w:left w:val="nil"/>
              <w:bottom w:val="single" w:sz="4" w:space="0" w:color="auto"/>
              <w:right w:val="single" w:sz="4" w:space="0" w:color="auto"/>
            </w:tcBorders>
            <w:shd w:val="clear" w:color="000000" w:fill="D9D9D9"/>
            <w:noWrap/>
            <w:vAlign w:val="bottom"/>
            <w:hideMark/>
          </w:tcPr>
          <w:p w14:paraId="2667E808"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507</w:t>
            </w:r>
          </w:p>
        </w:tc>
        <w:tc>
          <w:tcPr>
            <w:tcW w:w="1200" w:type="dxa"/>
            <w:tcBorders>
              <w:top w:val="nil"/>
              <w:left w:val="nil"/>
              <w:bottom w:val="single" w:sz="4" w:space="0" w:color="auto"/>
              <w:right w:val="single" w:sz="4" w:space="0" w:color="auto"/>
            </w:tcBorders>
            <w:shd w:val="clear" w:color="auto" w:fill="auto"/>
            <w:noWrap/>
            <w:vAlign w:val="bottom"/>
            <w:hideMark/>
          </w:tcPr>
          <w:p w14:paraId="7B3D47C8"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0.560</w:t>
            </w:r>
          </w:p>
        </w:tc>
      </w:tr>
      <w:tr w:rsidR="00B533E5" w:rsidRPr="00B533E5" w14:paraId="1338F096"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0788AD4" w14:textId="77777777" w:rsidR="00B533E5" w:rsidRPr="00B533E5" w:rsidRDefault="00B533E5" w:rsidP="00B533E5">
            <w:pPr>
              <w:spacing w:after="0" w:line="240" w:lineRule="auto"/>
              <w:rPr>
                <w:rFonts w:ascii="Calibri" w:eastAsia="Times New Roman" w:hAnsi="Calibri" w:cs="Calibri"/>
              </w:rPr>
            </w:pPr>
            <w:r w:rsidRPr="00B533E5">
              <w:rPr>
                <w:rFonts w:ascii="Calibri" w:eastAsia="Times New Roman" w:hAnsi="Calibri" w:cs="Calibri"/>
              </w:rPr>
              <w:t>FBXW7</w:t>
            </w:r>
          </w:p>
        </w:tc>
        <w:tc>
          <w:tcPr>
            <w:tcW w:w="1248" w:type="dxa"/>
            <w:tcBorders>
              <w:top w:val="nil"/>
              <w:left w:val="nil"/>
              <w:bottom w:val="single" w:sz="4" w:space="0" w:color="auto"/>
              <w:right w:val="single" w:sz="4" w:space="0" w:color="auto"/>
            </w:tcBorders>
            <w:shd w:val="clear" w:color="000000" w:fill="D9E1F2"/>
            <w:noWrap/>
            <w:vAlign w:val="bottom"/>
            <w:hideMark/>
          </w:tcPr>
          <w:p w14:paraId="3B72C833"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1.6%</w:t>
            </w:r>
          </w:p>
        </w:tc>
        <w:tc>
          <w:tcPr>
            <w:tcW w:w="1632" w:type="dxa"/>
            <w:tcBorders>
              <w:top w:val="nil"/>
              <w:left w:val="nil"/>
              <w:bottom w:val="single" w:sz="4" w:space="0" w:color="auto"/>
              <w:right w:val="single" w:sz="4" w:space="0" w:color="auto"/>
            </w:tcBorders>
            <w:shd w:val="clear" w:color="000000" w:fill="D9E1F2"/>
            <w:noWrap/>
            <w:vAlign w:val="bottom"/>
            <w:hideMark/>
          </w:tcPr>
          <w:p w14:paraId="3D77168F"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127</w:t>
            </w:r>
          </w:p>
        </w:tc>
        <w:tc>
          <w:tcPr>
            <w:tcW w:w="1005" w:type="dxa"/>
            <w:tcBorders>
              <w:top w:val="nil"/>
              <w:left w:val="nil"/>
              <w:bottom w:val="single" w:sz="4" w:space="0" w:color="auto"/>
              <w:right w:val="single" w:sz="4" w:space="0" w:color="auto"/>
            </w:tcBorders>
            <w:shd w:val="clear" w:color="000000" w:fill="D9D9D9"/>
            <w:noWrap/>
            <w:vAlign w:val="bottom"/>
            <w:hideMark/>
          </w:tcPr>
          <w:p w14:paraId="1CA9311C"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0.4%</w:t>
            </w:r>
          </w:p>
        </w:tc>
        <w:tc>
          <w:tcPr>
            <w:tcW w:w="1554" w:type="dxa"/>
            <w:tcBorders>
              <w:top w:val="nil"/>
              <w:left w:val="nil"/>
              <w:bottom w:val="single" w:sz="4" w:space="0" w:color="auto"/>
              <w:right w:val="single" w:sz="4" w:space="0" w:color="auto"/>
            </w:tcBorders>
            <w:shd w:val="clear" w:color="000000" w:fill="D9D9D9"/>
            <w:noWrap/>
            <w:vAlign w:val="bottom"/>
            <w:hideMark/>
          </w:tcPr>
          <w:p w14:paraId="21CDCBC0"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507</w:t>
            </w:r>
          </w:p>
        </w:tc>
        <w:tc>
          <w:tcPr>
            <w:tcW w:w="1200" w:type="dxa"/>
            <w:tcBorders>
              <w:top w:val="nil"/>
              <w:left w:val="nil"/>
              <w:bottom w:val="single" w:sz="4" w:space="0" w:color="auto"/>
              <w:right w:val="single" w:sz="4" w:space="0" w:color="auto"/>
            </w:tcBorders>
            <w:shd w:val="clear" w:color="auto" w:fill="auto"/>
            <w:noWrap/>
            <w:vAlign w:val="bottom"/>
            <w:hideMark/>
          </w:tcPr>
          <w:p w14:paraId="6F0E50A6"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0.761</w:t>
            </w:r>
          </w:p>
        </w:tc>
      </w:tr>
      <w:tr w:rsidR="00B533E5" w:rsidRPr="00B533E5" w14:paraId="5DE3B2FE"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A725CC6" w14:textId="77777777" w:rsidR="00B533E5" w:rsidRPr="00B533E5" w:rsidRDefault="00B533E5" w:rsidP="00B533E5">
            <w:pPr>
              <w:spacing w:after="0" w:line="240" w:lineRule="auto"/>
              <w:rPr>
                <w:rFonts w:ascii="Calibri" w:eastAsia="Times New Roman" w:hAnsi="Calibri" w:cs="Calibri"/>
              </w:rPr>
            </w:pPr>
            <w:r w:rsidRPr="00B533E5">
              <w:rPr>
                <w:rFonts w:ascii="Calibri" w:eastAsia="Times New Roman" w:hAnsi="Calibri" w:cs="Calibri"/>
              </w:rPr>
              <w:t>RUNX1</w:t>
            </w:r>
          </w:p>
        </w:tc>
        <w:tc>
          <w:tcPr>
            <w:tcW w:w="1248" w:type="dxa"/>
            <w:tcBorders>
              <w:top w:val="nil"/>
              <w:left w:val="nil"/>
              <w:bottom w:val="single" w:sz="4" w:space="0" w:color="auto"/>
              <w:right w:val="single" w:sz="4" w:space="0" w:color="auto"/>
            </w:tcBorders>
            <w:shd w:val="clear" w:color="000000" w:fill="D9E1F2"/>
            <w:noWrap/>
            <w:vAlign w:val="bottom"/>
            <w:hideMark/>
          </w:tcPr>
          <w:p w14:paraId="605DC6D5"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1.6%</w:t>
            </w:r>
          </w:p>
        </w:tc>
        <w:tc>
          <w:tcPr>
            <w:tcW w:w="1632" w:type="dxa"/>
            <w:tcBorders>
              <w:top w:val="nil"/>
              <w:left w:val="nil"/>
              <w:bottom w:val="single" w:sz="4" w:space="0" w:color="auto"/>
              <w:right w:val="single" w:sz="4" w:space="0" w:color="auto"/>
            </w:tcBorders>
            <w:shd w:val="clear" w:color="000000" w:fill="D9E1F2"/>
            <w:noWrap/>
            <w:vAlign w:val="bottom"/>
            <w:hideMark/>
          </w:tcPr>
          <w:p w14:paraId="08A1CE58"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127</w:t>
            </w:r>
          </w:p>
        </w:tc>
        <w:tc>
          <w:tcPr>
            <w:tcW w:w="1005" w:type="dxa"/>
            <w:tcBorders>
              <w:top w:val="nil"/>
              <w:left w:val="nil"/>
              <w:bottom w:val="single" w:sz="4" w:space="0" w:color="auto"/>
              <w:right w:val="single" w:sz="4" w:space="0" w:color="auto"/>
            </w:tcBorders>
            <w:shd w:val="clear" w:color="000000" w:fill="D9D9D9"/>
            <w:noWrap/>
            <w:vAlign w:val="bottom"/>
            <w:hideMark/>
          </w:tcPr>
          <w:p w14:paraId="4275CE33"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3.6%</w:t>
            </w:r>
          </w:p>
        </w:tc>
        <w:tc>
          <w:tcPr>
            <w:tcW w:w="1554" w:type="dxa"/>
            <w:tcBorders>
              <w:top w:val="nil"/>
              <w:left w:val="nil"/>
              <w:bottom w:val="single" w:sz="4" w:space="0" w:color="auto"/>
              <w:right w:val="single" w:sz="4" w:space="0" w:color="auto"/>
            </w:tcBorders>
            <w:shd w:val="clear" w:color="000000" w:fill="D9D9D9"/>
            <w:noWrap/>
            <w:vAlign w:val="bottom"/>
            <w:hideMark/>
          </w:tcPr>
          <w:p w14:paraId="3C745843"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507</w:t>
            </w:r>
          </w:p>
        </w:tc>
        <w:tc>
          <w:tcPr>
            <w:tcW w:w="1200" w:type="dxa"/>
            <w:tcBorders>
              <w:top w:val="nil"/>
              <w:left w:val="nil"/>
              <w:bottom w:val="single" w:sz="4" w:space="0" w:color="auto"/>
              <w:right w:val="single" w:sz="4" w:space="0" w:color="auto"/>
            </w:tcBorders>
            <w:shd w:val="clear" w:color="auto" w:fill="auto"/>
            <w:noWrap/>
            <w:vAlign w:val="bottom"/>
            <w:hideMark/>
          </w:tcPr>
          <w:p w14:paraId="566AE518"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 0.0765</w:t>
            </w:r>
          </w:p>
        </w:tc>
      </w:tr>
      <w:tr w:rsidR="00B533E5" w:rsidRPr="00B533E5" w14:paraId="6232DF4B"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3569BFC" w14:textId="77777777" w:rsidR="00B533E5" w:rsidRPr="00B533E5" w:rsidRDefault="00B533E5" w:rsidP="00B533E5">
            <w:pPr>
              <w:spacing w:after="0" w:line="240" w:lineRule="auto"/>
              <w:rPr>
                <w:rFonts w:ascii="Calibri" w:eastAsia="Times New Roman" w:hAnsi="Calibri" w:cs="Calibri"/>
              </w:rPr>
            </w:pPr>
            <w:r w:rsidRPr="00B533E5">
              <w:rPr>
                <w:rFonts w:ascii="Calibri" w:eastAsia="Times New Roman" w:hAnsi="Calibri" w:cs="Calibri"/>
              </w:rPr>
              <w:t>FGFR1</w:t>
            </w:r>
          </w:p>
        </w:tc>
        <w:tc>
          <w:tcPr>
            <w:tcW w:w="1248" w:type="dxa"/>
            <w:tcBorders>
              <w:top w:val="nil"/>
              <w:left w:val="nil"/>
              <w:bottom w:val="single" w:sz="4" w:space="0" w:color="auto"/>
              <w:right w:val="single" w:sz="4" w:space="0" w:color="auto"/>
            </w:tcBorders>
            <w:shd w:val="clear" w:color="000000" w:fill="D9E1F2"/>
            <w:noWrap/>
            <w:vAlign w:val="bottom"/>
            <w:hideMark/>
          </w:tcPr>
          <w:p w14:paraId="2CAAC0A1"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1.5%</w:t>
            </w:r>
          </w:p>
        </w:tc>
        <w:tc>
          <w:tcPr>
            <w:tcW w:w="1632" w:type="dxa"/>
            <w:tcBorders>
              <w:top w:val="nil"/>
              <w:left w:val="nil"/>
              <w:bottom w:val="single" w:sz="4" w:space="0" w:color="auto"/>
              <w:right w:val="single" w:sz="4" w:space="0" w:color="auto"/>
            </w:tcBorders>
            <w:shd w:val="clear" w:color="000000" w:fill="D9E1F2"/>
            <w:noWrap/>
            <w:vAlign w:val="bottom"/>
            <w:hideMark/>
          </w:tcPr>
          <w:p w14:paraId="2DACAF2A"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133</w:t>
            </w:r>
          </w:p>
        </w:tc>
        <w:tc>
          <w:tcPr>
            <w:tcW w:w="1005" w:type="dxa"/>
            <w:tcBorders>
              <w:top w:val="nil"/>
              <w:left w:val="nil"/>
              <w:bottom w:val="single" w:sz="4" w:space="0" w:color="auto"/>
              <w:right w:val="single" w:sz="4" w:space="0" w:color="auto"/>
            </w:tcBorders>
            <w:shd w:val="clear" w:color="000000" w:fill="D9D9D9"/>
            <w:noWrap/>
            <w:vAlign w:val="bottom"/>
            <w:hideMark/>
          </w:tcPr>
          <w:p w14:paraId="54C8AD75"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0.2%</w:t>
            </w:r>
          </w:p>
        </w:tc>
        <w:tc>
          <w:tcPr>
            <w:tcW w:w="1554" w:type="dxa"/>
            <w:tcBorders>
              <w:top w:val="nil"/>
              <w:left w:val="nil"/>
              <w:bottom w:val="single" w:sz="4" w:space="0" w:color="auto"/>
              <w:right w:val="single" w:sz="4" w:space="0" w:color="auto"/>
            </w:tcBorders>
            <w:shd w:val="clear" w:color="000000" w:fill="D9D9D9"/>
            <w:noWrap/>
            <w:vAlign w:val="bottom"/>
            <w:hideMark/>
          </w:tcPr>
          <w:p w14:paraId="31B33B1F"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507</w:t>
            </w:r>
          </w:p>
        </w:tc>
        <w:tc>
          <w:tcPr>
            <w:tcW w:w="1200" w:type="dxa"/>
            <w:tcBorders>
              <w:top w:val="nil"/>
              <w:left w:val="nil"/>
              <w:bottom w:val="single" w:sz="4" w:space="0" w:color="auto"/>
              <w:right w:val="single" w:sz="4" w:space="0" w:color="auto"/>
            </w:tcBorders>
            <w:shd w:val="clear" w:color="auto" w:fill="auto"/>
            <w:noWrap/>
            <w:vAlign w:val="bottom"/>
            <w:hideMark/>
          </w:tcPr>
          <w:p w14:paraId="43EFD107"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0.051</w:t>
            </w:r>
          </w:p>
        </w:tc>
      </w:tr>
      <w:tr w:rsidR="00B533E5" w:rsidRPr="00B533E5" w14:paraId="19132939"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4AD33B6" w14:textId="77777777" w:rsidR="00B533E5" w:rsidRPr="00B533E5" w:rsidRDefault="00B533E5" w:rsidP="00B533E5">
            <w:pPr>
              <w:spacing w:after="0" w:line="240" w:lineRule="auto"/>
              <w:rPr>
                <w:rFonts w:ascii="Calibri" w:eastAsia="Times New Roman" w:hAnsi="Calibri" w:cs="Calibri"/>
              </w:rPr>
            </w:pPr>
            <w:r w:rsidRPr="00B533E5">
              <w:rPr>
                <w:rFonts w:ascii="Calibri" w:eastAsia="Times New Roman" w:hAnsi="Calibri" w:cs="Calibri"/>
              </w:rPr>
              <w:t>KIT</w:t>
            </w:r>
          </w:p>
        </w:tc>
        <w:tc>
          <w:tcPr>
            <w:tcW w:w="1248" w:type="dxa"/>
            <w:tcBorders>
              <w:top w:val="nil"/>
              <w:left w:val="nil"/>
              <w:bottom w:val="single" w:sz="4" w:space="0" w:color="auto"/>
              <w:right w:val="single" w:sz="4" w:space="0" w:color="auto"/>
            </w:tcBorders>
            <w:shd w:val="clear" w:color="000000" w:fill="D9E1F2"/>
            <w:noWrap/>
            <w:vAlign w:val="bottom"/>
            <w:hideMark/>
          </w:tcPr>
          <w:p w14:paraId="13A5A370"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1.2%</w:t>
            </w:r>
          </w:p>
        </w:tc>
        <w:tc>
          <w:tcPr>
            <w:tcW w:w="1632" w:type="dxa"/>
            <w:tcBorders>
              <w:top w:val="nil"/>
              <w:left w:val="nil"/>
              <w:bottom w:val="single" w:sz="4" w:space="0" w:color="auto"/>
              <w:right w:val="single" w:sz="4" w:space="0" w:color="auto"/>
            </w:tcBorders>
            <w:shd w:val="clear" w:color="000000" w:fill="D9E1F2"/>
            <w:noWrap/>
            <w:vAlign w:val="bottom"/>
            <w:hideMark/>
          </w:tcPr>
          <w:p w14:paraId="547BBCC1"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163</w:t>
            </w:r>
          </w:p>
        </w:tc>
        <w:tc>
          <w:tcPr>
            <w:tcW w:w="1005" w:type="dxa"/>
            <w:tcBorders>
              <w:top w:val="nil"/>
              <w:left w:val="nil"/>
              <w:bottom w:val="single" w:sz="4" w:space="0" w:color="auto"/>
              <w:right w:val="single" w:sz="4" w:space="0" w:color="auto"/>
            </w:tcBorders>
            <w:shd w:val="clear" w:color="000000" w:fill="D9D9D9"/>
            <w:noWrap/>
            <w:vAlign w:val="bottom"/>
            <w:hideMark/>
          </w:tcPr>
          <w:p w14:paraId="2A051361"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1.0%</w:t>
            </w:r>
          </w:p>
        </w:tc>
        <w:tc>
          <w:tcPr>
            <w:tcW w:w="1554" w:type="dxa"/>
            <w:tcBorders>
              <w:top w:val="nil"/>
              <w:left w:val="nil"/>
              <w:bottom w:val="single" w:sz="4" w:space="0" w:color="auto"/>
              <w:right w:val="single" w:sz="4" w:space="0" w:color="auto"/>
            </w:tcBorders>
            <w:shd w:val="clear" w:color="000000" w:fill="D9D9D9"/>
            <w:noWrap/>
            <w:vAlign w:val="bottom"/>
            <w:hideMark/>
          </w:tcPr>
          <w:p w14:paraId="1FC52CDC"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507</w:t>
            </w:r>
          </w:p>
        </w:tc>
        <w:tc>
          <w:tcPr>
            <w:tcW w:w="1200" w:type="dxa"/>
            <w:tcBorders>
              <w:top w:val="nil"/>
              <w:left w:val="nil"/>
              <w:bottom w:val="single" w:sz="4" w:space="0" w:color="auto"/>
              <w:right w:val="single" w:sz="4" w:space="0" w:color="auto"/>
            </w:tcBorders>
            <w:shd w:val="clear" w:color="auto" w:fill="auto"/>
            <w:noWrap/>
            <w:vAlign w:val="bottom"/>
            <w:hideMark/>
          </w:tcPr>
          <w:p w14:paraId="6A56A55F"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0.828</w:t>
            </w:r>
          </w:p>
        </w:tc>
      </w:tr>
      <w:tr w:rsidR="00B533E5" w:rsidRPr="00B533E5" w14:paraId="66779EC5"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F211EEA" w14:textId="77777777" w:rsidR="00B533E5" w:rsidRPr="00B533E5" w:rsidRDefault="00B533E5" w:rsidP="00B533E5">
            <w:pPr>
              <w:spacing w:after="0" w:line="240" w:lineRule="auto"/>
              <w:rPr>
                <w:rFonts w:ascii="Calibri" w:eastAsia="Times New Roman" w:hAnsi="Calibri" w:cs="Calibri"/>
              </w:rPr>
            </w:pPr>
            <w:r w:rsidRPr="00B533E5">
              <w:rPr>
                <w:rFonts w:ascii="Calibri" w:eastAsia="Times New Roman" w:hAnsi="Calibri" w:cs="Calibri"/>
              </w:rPr>
              <w:t>ALK</w:t>
            </w:r>
          </w:p>
        </w:tc>
        <w:tc>
          <w:tcPr>
            <w:tcW w:w="1248" w:type="dxa"/>
            <w:tcBorders>
              <w:top w:val="nil"/>
              <w:left w:val="nil"/>
              <w:bottom w:val="single" w:sz="4" w:space="0" w:color="auto"/>
              <w:right w:val="single" w:sz="4" w:space="0" w:color="auto"/>
            </w:tcBorders>
            <w:shd w:val="clear" w:color="000000" w:fill="D9E1F2"/>
            <w:noWrap/>
            <w:vAlign w:val="bottom"/>
            <w:hideMark/>
          </w:tcPr>
          <w:p w14:paraId="04ABBB1F"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1.0%</w:t>
            </w:r>
          </w:p>
        </w:tc>
        <w:tc>
          <w:tcPr>
            <w:tcW w:w="1632" w:type="dxa"/>
            <w:tcBorders>
              <w:top w:val="nil"/>
              <w:left w:val="nil"/>
              <w:bottom w:val="single" w:sz="4" w:space="0" w:color="auto"/>
              <w:right w:val="single" w:sz="4" w:space="0" w:color="auto"/>
            </w:tcBorders>
            <w:shd w:val="clear" w:color="000000" w:fill="D9E1F2"/>
            <w:noWrap/>
            <w:vAlign w:val="bottom"/>
            <w:hideMark/>
          </w:tcPr>
          <w:p w14:paraId="4B364C02"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97</w:t>
            </w:r>
          </w:p>
        </w:tc>
        <w:tc>
          <w:tcPr>
            <w:tcW w:w="1005" w:type="dxa"/>
            <w:tcBorders>
              <w:top w:val="nil"/>
              <w:left w:val="nil"/>
              <w:bottom w:val="single" w:sz="4" w:space="0" w:color="auto"/>
              <w:right w:val="single" w:sz="4" w:space="0" w:color="auto"/>
            </w:tcBorders>
            <w:shd w:val="clear" w:color="000000" w:fill="D9D9D9"/>
            <w:noWrap/>
            <w:vAlign w:val="bottom"/>
            <w:hideMark/>
          </w:tcPr>
          <w:p w14:paraId="7D0EC7F5"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0.6%</w:t>
            </w:r>
          </w:p>
        </w:tc>
        <w:tc>
          <w:tcPr>
            <w:tcW w:w="1554" w:type="dxa"/>
            <w:tcBorders>
              <w:top w:val="nil"/>
              <w:left w:val="nil"/>
              <w:bottom w:val="single" w:sz="4" w:space="0" w:color="auto"/>
              <w:right w:val="single" w:sz="4" w:space="0" w:color="auto"/>
            </w:tcBorders>
            <w:shd w:val="clear" w:color="000000" w:fill="D9D9D9"/>
            <w:noWrap/>
            <w:vAlign w:val="bottom"/>
            <w:hideMark/>
          </w:tcPr>
          <w:p w14:paraId="3B19FD09"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507</w:t>
            </w:r>
          </w:p>
        </w:tc>
        <w:tc>
          <w:tcPr>
            <w:tcW w:w="1200" w:type="dxa"/>
            <w:tcBorders>
              <w:top w:val="nil"/>
              <w:left w:val="nil"/>
              <w:bottom w:val="single" w:sz="4" w:space="0" w:color="auto"/>
              <w:right w:val="single" w:sz="4" w:space="0" w:color="auto"/>
            </w:tcBorders>
            <w:shd w:val="clear" w:color="auto" w:fill="auto"/>
            <w:noWrap/>
            <w:vAlign w:val="bottom"/>
            <w:hideMark/>
          </w:tcPr>
          <w:p w14:paraId="6F0D25FF"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0.657</w:t>
            </w:r>
          </w:p>
        </w:tc>
      </w:tr>
      <w:tr w:rsidR="00B533E5" w:rsidRPr="00B533E5" w14:paraId="08195FDD"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612E494" w14:textId="77777777" w:rsidR="00B533E5" w:rsidRPr="00B533E5" w:rsidRDefault="00B533E5" w:rsidP="00B533E5">
            <w:pPr>
              <w:spacing w:after="0" w:line="240" w:lineRule="auto"/>
              <w:rPr>
                <w:rFonts w:ascii="Calibri" w:eastAsia="Times New Roman" w:hAnsi="Calibri" w:cs="Calibri"/>
              </w:rPr>
            </w:pPr>
            <w:r w:rsidRPr="00B533E5">
              <w:rPr>
                <w:rFonts w:ascii="Calibri" w:eastAsia="Times New Roman" w:hAnsi="Calibri" w:cs="Calibri"/>
              </w:rPr>
              <w:t>RNF43</w:t>
            </w:r>
          </w:p>
        </w:tc>
        <w:tc>
          <w:tcPr>
            <w:tcW w:w="1248" w:type="dxa"/>
            <w:tcBorders>
              <w:top w:val="nil"/>
              <w:left w:val="nil"/>
              <w:bottom w:val="single" w:sz="4" w:space="0" w:color="auto"/>
              <w:right w:val="single" w:sz="4" w:space="0" w:color="auto"/>
            </w:tcBorders>
            <w:shd w:val="clear" w:color="000000" w:fill="D9E1F2"/>
            <w:noWrap/>
            <w:vAlign w:val="bottom"/>
            <w:hideMark/>
          </w:tcPr>
          <w:p w14:paraId="6DD7C2A7"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1.0%</w:t>
            </w:r>
          </w:p>
        </w:tc>
        <w:tc>
          <w:tcPr>
            <w:tcW w:w="1632" w:type="dxa"/>
            <w:tcBorders>
              <w:top w:val="nil"/>
              <w:left w:val="nil"/>
              <w:bottom w:val="single" w:sz="4" w:space="0" w:color="auto"/>
              <w:right w:val="single" w:sz="4" w:space="0" w:color="auto"/>
            </w:tcBorders>
            <w:shd w:val="clear" w:color="000000" w:fill="D9E1F2"/>
            <w:noWrap/>
            <w:vAlign w:val="bottom"/>
            <w:hideMark/>
          </w:tcPr>
          <w:p w14:paraId="0953660D"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97</w:t>
            </w:r>
          </w:p>
        </w:tc>
        <w:tc>
          <w:tcPr>
            <w:tcW w:w="1005" w:type="dxa"/>
            <w:tcBorders>
              <w:top w:val="nil"/>
              <w:left w:val="nil"/>
              <w:bottom w:val="single" w:sz="4" w:space="0" w:color="auto"/>
              <w:right w:val="single" w:sz="4" w:space="0" w:color="auto"/>
            </w:tcBorders>
            <w:shd w:val="clear" w:color="000000" w:fill="D9D9D9"/>
            <w:noWrap/>
            <w:vAlign w:val="bottom"/>
            <w:hideMark/>
          </w:tcPr>
          <w:p w14:paraId="5F7EAB0E"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0.6%</w:t>
            </w:r>
          </w:p>
        </w:tc>
        <w:tc>
          <w:tcPr>
            <w:tcW w:w="1554" w:type="dxa"/>
            <w:tcBorders>
              <w:top w:val="nil"/>
              <w:left w:val="nil"/>
              <w:bottom w:val="single" w:sz="4" w:space="0" w:color="auto"/>
              <w:right w:val="single" w:sz="4" w:space="0" w:color="auto"/>
            </w:tcBorders>
            <w:shd w:val="clear" w:color="000000" w:fill="D9D9D9"/>
            <w:noWrap/>
            <w:vAlign w:val="bottom"/>
            <w:hideMark/>
          </w:tcPr>
          <w:p w14:paraId="197529FB"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507</w:t>
            </w:r>
          </w:p>
        </w:tc>
        <w:tc>
          <w:tcPr>
            <w:tcW w:w="1200" w:type="dxa"/>
            <w:tcBorders>
              <w:top w:val="nil"/>
              <w:left w:val="nil"/>
              <w:bottom w:val="single" w:sz="4" w:space="0" w:color="auto"/>
              <w:right w:val="single" w:sz="4" w:space="0" w:color="auto"/>
            </w:tcBorders>
            <w:shd w:val="clear" w:color="auto" w:fill="auto"/>
            <w:noWrap/>
            <w:vAlign w:val="bottom"/>
            <w:hideMark/>
          </w:tcPr>
          <w:p w14:paraId="3ED83942"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0.657</w:t>
            </w:r>
          </w:p>
        </w:tc>
      </w:tr>
      <w:tr w:rsidR="00B533E5" w:rsidRPr="00B533E5" w14:paraId="11773202"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07F4E51" w14:textId="77777777" w:rsidR="00B533E5" w:rsidRPr="00B533E5" w:rsidRDefault="00B533E5" w:rsidP="00B533E5">
            <w:pPr>
              <w:spacing w:after="0" w:line="240" w:lineRule="auto"/>
              <w:rPr>
                <w:rFonts w:ascii="Calibri" w:eastAsia="Times New Roman" w:hAnsi="Calibri" w:cs="Calibri"/>
              </w:rPr>
            </w:pPr>
            <w:r w:rsidRPr="00B533E5">
              <w:rPr>
                <w:rFonts w:ascii="Calibri" w:eastAsia="Times New Roman" w:hAnsi="Calibri" w:cs="Calibri"/>
              </w:rPr>
              <w:t>ERBB3</w:t>
            </w:r>
          </w:p>
        </w:tc>
        <w:tc>
          <w:tcPr>
            <w:tcW w:w="1248" w:type="dxa"/>
            <w:tcBorders>
              <w:top w:val="nil"/>
              <w:left w:val="nil"/>
              <w:bottom w:val="single" w:sz="4" w:space="0" w:color="auto"/>
              <w:right w:val="single" w:sz="4" w:space="0" w:color="auto"/>
            </w:tcBorders>
            <w:shd w:val="clear" w:color="000000" w:fill="D9E1F2"/>
            <w:noWrap/>
            <w:vAlign w:val="bottom"/>
            <w:hideMark/>
          </w:tcPr>
          <w:p w14:paraId="3EEC59A2"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0.8%</w:t>
            </w:r>
          </w:p>
        </w:tc>
        <w:tc>
          <w:tcPr>
            <w:tcW w:w="1632" w:type="dxa"/>
            <w:tcBorders>
              <w:top w:val="nil"/>
              <w:left w:val="nil"/>
              <w:bottom w:val="single" w:sz="4" w:space="0" w:color="auto"/>
              <w:right w:val="single" w:sz="4" w:space="0" w:color="auto"/>
            </w:tcBorders>
            <w:shd w:val="clear" w:color="000000" w:fill="D9E1F2"/>
            <w:noWrap/>
            <w:vAlign w:val="bottom"/>
            <w:hideMark/>
          </w:tcPr>
          <w:p w14:paraId="0C377E63"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127</w:t>
            </w:r>
          </w:p>
        </w:tc>
        <w:tc>
          <w:tcPr>
            <w:tcW w:w="1005" w:type="dxa"/>
            <w:tcBorders>
              <w:top w:val="nil"/>
              <w:left w:val="nil"/>
              <w:bottom w:val="single" w:sz="4" w:space="0" w:color="auto"/>
              <w:right w:val="single" w:sz="4" w:space="0" w:color="auto"/>
            </w:tcBorders>
            <w:shd w:val="clear" w:color="000000" w:fill="D9D9D9"/>
            <w:noWrap/>
            <w:vAlign w:val="bottom"/>
            <w:hideMark/>
          </w:tcPr>
          <w:p w14:paraId="47F849F8"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1.6%</w:t>
            </w:r>
          </w:p>
        </w:tc>
        <w:tc>
          <w:tcPr>
            <w:tcW w:w="1554" w:type="dxa"/>
            <w:tcBorders>
              <w:top w:val="nil"/>
              <w:left w:val="nil"/>
              <w:bottom w:val="single" w:sz="4" w:space="0" w:color="auto"/>
              <w:right w:val="single" w:sz="4" w:space="0" w:color="auto"/>
            </w:tcBorders>
            <w:shd w:val="clear" w:color="000000" w:fill="D9D9D9"/>
            <w:noWrap/>
            <w:vAlign w:val="bottom"/>
            <w:hideMark/>
          </w:tcPr>
          <w:p w14:paraId="1B3A9D2A"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507</w:t>
            </w:r>
          </w:p>
        </w:tc>
        <w:tc>
          <w:tcPr>
            <w:tcW w:w="1200" w:type="dxa"/>
            <w:tcBorders>
              <w:top w:val="nil"/>
              <w:left w:val="nil"/>
              <w:bottom w:val="single" w:sz="4" w:space="0" w:color="auto"/>
              <w:right w:val="single" w:sz="4" w:space="0" w:color="auto"/>
            </w:tcBorders>
            <w:shd w:val="clear" w:color="auto" w:fill="auto"/>
            <w:noWrap/>
            <w:vAlign w:val="bottom"/>
            <w:hideMark/>
          </w:tcPr>
          <w:p w14:paraId="32AC2794"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 0.4989</w:t>
            </w:r>
          </w:p>
        </w:tc>
      </w:tr>
      <w:tr w:rsidR="00B533E5" w:rsidRPr="00B533E5" w14:paraId="5957C1BC"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4C63704" w14:textId="77777777" w:rsidR="00B533E5" w:rsidRPr="00B533E5" w:rsidRDefault="00B533E5" w:rsidP="00B533E5">
            <w:pPr>
              <w:spacing w:after="0" w:line="240" w:lineRule="auto"/>
              <w:rPr>
                <w:rFonts w:ascii="Calibri" w:eastAsia="Times New Roman" w:hAnsi="Calibri" w:cs="Calibri"/>
              </w:rPr>
            </w:pPr>
            <w:r w:rsidRPr="00B533E5">
              <w:rPr>
                <w:rFonts w:ascii="Calibri" w:eastAsia="Times New Roman" w:hAnsi="Calibri" w:cs="Calibri"/>
              </w:rPr>
              <w:t>NOTCH1</w:t>
            </w:r>
          </w:p>
        </w:tc>
        <w:tc>
          <w:tcPr>
            <w:tcW w:w="1248" w:type="dxa"/>
            <w:tcBorders>
              <w:top w:val="nil"/>
              <w:left w:val="nil"/>
              <w:bottom w:val="single" w:sz="4" w:space="0" w:color="auto"/>
              <w:right w:val="single" w:sz="4" w:space="0" w:color="auto"/>
            </w:tcBorders>
            <w:shd w:val="clear" w:color="000000" w:fill="D9E1F2"/>
            <w:noWrap/>
            <w:vAlign w:val="bottom"/>
            <w:hideMark/>
          </w:tcPr>
          <w:p w14:paraId="63396872"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0.8%</w:t>
            </w:r>
          </w:p>
        </w:tc>
        <w:tc>
          <w:tcPr>
            <w:tcW w:w="1632" w:type="dxa"/>
            <w:tcBorders>
              <w:top w:val="nil"/>
              <w:left w:val="nil"/>
              <w:bottom w:val="single" w:sz="4" w:space="0" w:color="auto"/>
              <w:right w:val="single" w:sz="4" w:space="0" w:color="auto"/>
            </w:tcBorders>
            <w:shd w:val="clear" w:color="000000" w:fill="D9E1F2"/>
            <w:noWrap/>
            <w:vAlign w:val="bottom"/>
            <w:hideMark/>
          </w:tcPr>
          <w:p w14:paraId="2C68CF02"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127</w:t>
            </w:r>
          </w:p>
        </w:tc>
        <w:tc>
          <w:tcPr>
            <w:tcW w:w="1005" w:type="dxa"/>
            <w:tcBorders>
              <w:top w:val="nil"/>
              <w:left w:val="nil"/>
              <w:bottom w:val="single" w:sz="4" w:space="0" w:color="auto"/>
              <w:right w:val="single" w:sz="4" w:space="0" w:color="auto"/>
            </w:tcBorders>
            <w:shd w:val="clear" w:color="000000" w:fill="D9D9D9"/>
            <w:noWrap/>
            <w:vAlign w:val="bottom"/>
            <w:hideMark/>
          </w:tcPr>
          <w:p w14:paraId="4BDA414A"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0.4%</w:t>
            </w:r>
          </w:p>
        </w:tc>
        <w:tc>
          <w:tcPr>
            <w:tcW w:w="1554" w:type="dxa"/>
            <w:tcBorders>
              <w:top w:val="nil"/>
              <w:left w:val="nil"/>
              <w:bottom w:val="single" w:sz="4" w:space="0" w:color="auto"/>
              <w:right w:val="single" w:sz="4" w:space="0" w:color="auto"/>
            </w:tcBorders>
            <w:shd w:val="clear" w:color="000000" w:fill="D9D9D9"/>
            <w:noWrap/>
            <w:vAlign w:val="bottom"/>
            <w:hideMark/>
          </w:tcPr>
          <w:p w14:paraId="0F078B41"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507</w:t>
            </w:r>
          </w:p>
        </w:tc>
        <w:tc>
          <w:tcPr>
            <w:tcW w:w="1200" w:type="dxa"/>
            <w:tcBorders>
              <w:top w:val="nil"/>
              <w:left w:val="nil"/>
              <w:bottom w:val="single" w:sz="4" w:space="0" w:color="auto"/>
              <w:right w:val="single" w:sz="4" w:space="0" w:color="auto"/>
            </w:tcBorders>
            <w:shd w:val="clear" w:color="auto" w:fill="auto"/>
            <w:noWrap/>
            <w:vAlign w:val="bottom"/>
            <w:hideMark/>
          </w:tcPr>
          <w:p w14:paraId="2F75E826"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0.560</w:t>
            </w:r>
          </w:p>
        </w:tc>
      </w:tr>
      <w:tr w:rsidR="00B533E5" w:rsidRPr="00B533E5" w14:paraId="29244F33"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6B03186" w14:textId="77777777" w:rsidR="00B533E5" w:rsidRPr="00B533E5" w:rsidRDefault="00B533E5" w:rsidP="00B533E5">
            <w:pPr>
              <w:spacing w:after="0" w:line="240" w:lineRule="auto"/>
              <w:rPr>
                <w:rFonts w:ascii="Calibri" w:eastAsia="Times New Roman" w:hAnsi="Calibri" w:cs="Calibri"/>
              </w:rPr>
            </w:pPr>
            <w:r w:rsidRPr="00B533E5">
              <w:rPr>
                <w:rFonts w:ascii="Calibri" w:eastAsia="Times New Roman" w:hAnsi="Calibri" w:cs="Calibri"/>
              </w:rPr>
              <w:t>ABL1</w:t>
            </w:r>
          </w:p>
        </w:tc>
        <w:tc>
          <w:tcPr>
            <w:tcW w:w="1248" w:type="dxa"/>
            <w:tcBorders>
              <w:top w:val="nil"/>
              <w:left w:val="nil"/>
              <w:bottom w:val="single" w:sz="4" w:space="0" w:color="auto"/>
              <w:right w:val="single" w:sz="4" w:space="0" w:color="auto"/>
            </w:tcBorders>
            <w:shd w:val="clear" w:color="000000" w:fill="D9E1F2"/>
            <w:noWrap/>
            <w:vAlign w:val="bottom"/>
            <w:hideMark/>
          </w:tcPr>
          <w:p w14:paraId="0068AE8F"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0.8%</w:t>
            </w:r>
          </w:p>
        </w:tc>
        <w:tc>
          <w:tcPr>
            <w:tcW w:w="1632" w:type="dxa"/>
            <w:tcBorders>
              <w:top w:val="nil"/>
              <w:left w:val="nil"/>
              <w:bottom w:val="single" w:sz="4" w:space="0" w:color="auto"/>
              <w:right w:val="single" w:sz="4" w:space="0" w:color="auto"/>
            </w:tcBorders>
            <w:shd w:val="clear" w:color="000000" w:fill="D9E1F2"/>
            <w:noWrap/>
            <w:vAlign w:val="bottom"/>
            <w:hideMark/>
          </w:tcPr>
          <w:p w14:paraId="4AFD655C"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133</w:t>
            </w:r>
          </w:p>
        </w:tc>
        <w:tc>
          <w:tcPr>
            <w:tcW w:w="1005" w:type="dxa"/>
            <w:tcBorders>
              <w:top w:val="nil"/>
              <w:left w:val="nil"/>
              <w:bottom w:val="single" w:sz="4" w:space="0" w:color="auto"/>
              <w:right w:val="single" w:sz="4" w:space="0" w:color="auto"/>
            </w:tcBorders>
            <w:shd w:val="clear" w:color="000000" w:fill="D9D9D9"/>
            <w:noWrap/>
            <w:vAlign w:val="bottom"/>
            <w:hideMark/>
          </w:tcPr>
          <w:p w14:paraId="76266A37"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0.8%</w:t>
            </w:r>
          </w:p>
        </w:tc>
        <w:tc>
          <w:tcPr>
            <w:tcW w:w="1554" w:type="dxa"/>
            <w:tcBorders>
              <w:top w:val="nil"/>
              <w:left w:val="nil"/>
              <w:bottom w:val="single" w:sz="4" w:space="0" w:color="auto"/>
              <w:right w:val="single" w:sz="4" w:space="0" w:color="auto"/>
            </w:tcBorders>
            <w:shd w:val="clear" w:color="000000" w:fill="D9D9D9"/>
            <w:noWrap/>
            <w:vAlign w:val="bottom"/>
            <w:hideMark/>
          </w:tcPr>
          <w:p w14:paraId="3AC5A882"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507</w:t>
            </w:r>
          </w:p>
        </w:tc>
        <w:tc>
          <w:tcPr>
            <w:tcW w:w="1200" w:type="dxa"/>
            <w:tcBorders>
              <w:top w:val="nil"/>
              <w:left w:val="nil"/>
              <w:bottom w:val="single" w:sz="4" w:space="0" w:color="auto"/>
              <w:right w:val="single" w:sz="4" w:space="0" w:color="auto"/>
            </w:tcBorders>
            <w:shd w:val="clear" w:color="auto" w:fill="auto"/>
            <w:noWrap/>
            <w:vAlign w:val="bottom"/>
            <w:hideMark/>
          </w:tcPr>
          <w:p w14:paraId="4BDE45B0"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1.000</w:t>
            </w:r>
          </w:p>
        </w:tc>
      </w:tr>
      <w:tr w:rsidR="00B533E5" w:rsidRPr="00B533E5" w14:paraId="7C1A9331"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0FF1E55" w14:textId="77777777" w:rsidR="00B533E5" w:rsidRPr="00B533E5" w:rsidRDefault="00B533E5" w:rsidP="00B533E5">
            <w:pPr>
              <w:spacing w:after="0" w:line="240" w:lineRule="auto"/>
              <w:rPr>
                <w:rFonts w:ascii="Calibri" w:eastAsia="Times New Roman" w:hAnsi="Calibri" w:cs="Calibri"/>
              </w:rPr>
            </w:pPr>
            <w:r w:rsidRPr="00B533E5">
              <w:rPr>
                <w:rFonts w:ascii="Calibri" w:eastAsia="Times New Roman" w:hAnsi="Calibri" w:cs="Calibri"/>
              </w:rPr>
              <w:t>AKT2</w:t>
            </w:r>
          </w:p>
        </w:tc>
        <w:tc>
          <w:tcPr>
            <w:tcW w:w="1248" w:type="dxa"/>
            <w:tcBorders>
              <w:top w:val="nil"/>
              <w:left w:val="nil"/>
              <w:bottom w:val="single" w:sz="4" w:space="0" w:color="auto"/>
              <w:right w:val="single" w:sz="4" w:space="0" w:color="auto"/>
            </w:tcBorders>
            <w:shd w:val="clear" w:color="000000" w:fill="D9E1F2"/>
            <w:noWrap/>
            <w:vAlign w:val="bottom"/>
            <w:hideMark/>
          </w:tcPr>
          <w:p w14:paraId="063B95AC"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0.8%</w:t>
            </w:r>
          </w:p>
        </w:tc>
        <w:tc>
          <w:tcPr>
            <w:tcW w:w="1632" w:type="dxa"/>
            <w:tcBorders>
              <w:top w:val="nil"/>
              <w:left w:val="nil"/>
              <w:bottom w:val="single" w:sz="4" w:space="0" w:color="auto"/>
              <w:right w:val="single" w:sz="4" w:space="0" w:color="auto"/>
            </w:tcBorders>
            <w:shd w:val="clear" w:color="000000" w:fill="D9E1F2"/>
            <w:noWrap/>
            <w:vAlign w:val="bottom"/>
            <w:hideMark/>
          </w:tcPr>
          <w:p w14:paraId="36E9A573"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133</w:t>
            </w:r>
          </w:p>
        </w:tc>
        <w:tc>
          <w:tcPr>
            <w:tcW w:w="1005" w:type="dxa"/>
            <w:tcBorders>
              <w:top w:val="nil"/>
              <w:left w:val="nil"/>
              <w:bottom w:val="single" w:sz="4" w:space="0" w:color="auto"/>
              <w:right w:val="single" w:sz="4" w:space="0" w:color="auto"/>
            </w:tcBorders>
            <w:shd w:val="clear" w:color="000000" w:fill="D9D9D9"/>
            <w:noWrap/>
            <w:vAlign w:val="bottom"/>
            <w:hideMark/>
          </w:tcPr>
          <w:p w14:paraId="3C7D0EEF"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0.2%</w:t>
            </w:r>
          </w:p>
        </w:tc>
        <w:tc>
          <w:tcPr>
            <w:tcW w:w="1554" w:type="dxa"/>
            <w:tcBorders>
              <w:top w:val="nil"/>
              <w:left w:val="nil"/>
              <w:bottom w:val="single" w:sz="4" w:space="0" w:color="auto"/>
              <w:right w:val="single" w:sz="4" w:space="0" w:color="auto"/>
            </w:tcBorders>
            <w:shd w:val="clear" w:color="000000" w:fill="D9D9D9"/>
            <w:noWrap/>
            <w:vAlign w:val="bottom"/>
            <w:hideMark/>
          </w:tcPr>
          <w:p w14:paraId="24B2BEB8"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507</w:t>
            </w:r>
          </w:p>
        </w:tc>
        <w:tc>
          <w:tcPr>
            <w:tcW w:w="1200" w:type="dxa"/>
            <w:tcBorders>
              <w:top w:val="nil"/>
              <w:left w:val="nil"/>
              <w:bottom w:val="single" w:sz="4" w:space="0" w:color="auto"/>
              <w:right w:val="single" w:sz="4" w:space="0" w:color="auto"/>
            </w:tcBorders>
            <w:shd w:val="clear" w:color="auto" w:fill="auto"/>
            <w:noWrap/>
            <w:vAlign w:val="bottom"/>
            <w:hideMark/>
          </w:tcPr>
          <w:p w14:paraId="784B4ECA"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 0.2794</w:t>
            </w:r>
          </w:p>
        </w:tc>
      </w:tr>
      <w:tr w:rsidR="00B533E5" w:rsidRPr="00B533E5" w14:paraId="7BC19675"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28DA9BA" w14:textId="77777777" w:rsidR="00B533E5" w:rsidRPr="00B533E5" w:rsidRDefault="00B533E5" w:rsidP="00B533E5">
            <w:pPr>
              <w:spacing w:after="0" w:line="240" w:lineRule="auto"/>
              <w:rPr>
                <w:rFonts w:ascii="Calibri" w:eastAsia="Times New Roman" w:hAnsi="Calibri" w:cs="Calibri"/>
              </w:rPr>
            </w:pPr>
            <w:r w:rsidRPr="00B533E5">
              <w:rPr>
                <w:rFonts w:ascii="Calibri" w:eastAsia="Times New Roman" w:hAnsi="Calibri" w:cs="Calibri"/>
              </w:rPr>
              <w:t>BRAF</w:t>
            </w:r>
          </w:p>
        </w:tc>
        <w:tc>
          <w:tcPr>
            <w:tcW w:w="1248" w:type="dxa"/>
            <w:tcBorders>
              <w:top w:val="nil"/>
              <w:left w:val="nil"/>
              <w:bottom w:val="single" w:sz="4" w:space="0" w:color="auto"/>
              <w:right w:val="single" w:sz="4" w:space="0" w:color="auto"/>
            </w:tcBorders>
            <w:shd w:val="clear" w:color="000000" w:fill="D9E1F2"/>
            <w:noWrap/>
            <w:vAlign w:val="bottom"/>
            <w:hideMark/>
          </w:tcPr>
          <w:p w14:paraId="2FB4FFD7"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0.6%</w:t>
            </w:r>
          </w:p>
        </w:tc>
        <w:tc>
          <w:tcPr>
            <w:tcW w:w="1632" w:type="dxa"/>
            <w:tcBorders>
              <w:top w:val="nil"/>
              <w:left w:val="nil"/>
              <w:bottom w:val="single" w:sz="4" w:space="0" w:color="auto"/>
              <w:right w:val="single" w:sz="4" w:space="0" w:color="auto"/>
            </w:tcBorders>
            <w:shd w:val="clear" w:color="000000" w:fill="D9E1F2"/>
            <w:noWrap/>
            <w:vAlign w:val="bottom"/>
            <w:hideMark/>
          </w:tcPr>
          <w:p w14:paraId="4DC7A895"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163</w:t>
            </w:r>
          </w:p>
        </w:tc>
        <w:tc>
          <w:tcPr>
            <w:tcW w:w="1005" w:type="dxa"/>
            <w:tcBorders>
              <w:top w:val="nil"/>
              <w:left w:val="nil"/>
              <w:bottom w:val="single" w:sz="4" w:space="0" w:color="auto"/>
              <w:right w:val="single" w:sz="4" w:space="0" w:color="auto"/>
            </w:tcBorders>
            <w:shd w:val="clear" w:color="000000" w:fill="D9D9D9"/>
            <w:noWrap/>
            <w:vAlign w:val="bottom"/>
            <w:hideMark/>
          </w:tcPr>
          <w:p w14:paraId="7F9B2EEC"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0.6%</w:t>
            </w:r>
          </w:p>
        </w:tc>
        <w:tc>
          <w:tcPr>
            <w:tcW w:w="1554" w:type="dxa"/>
            <w:tcBorders>
              <w:top w:val="nil"/>
              <w:left w:val="nil"/>
              <w:bottom w:val="single" w:sz="4" w:space="0" w:color="auto"/>
              <w:right w:val="single" w:sz="4" w:space="0" w:color="auto"/>
            </w:tcBorders>
            <w:shd w:val="clear" w:color="000000" w:fill="D9D9D9"/>
            <w:noWrap/>
            <w:vAlign w:val="bottom"/>
            <w:hideMark/>
          </w:tcPr>
          <w:p w14:paraId="7F6408EB"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507</w:t>
            </w:r>
          </w:p>
        </w:tc>
        <w:tc>
          <w:tcPr>
            <w:tcW w:w="1200" w:type="dxa"/>
            <w:tcBorders>
              <w:top w:val="nil"/>
              <w:left w:val="nil"/>
              <w:bottom w:val="single" w:sz="4" w:space="0" w:color="auto"/>
              <w:right w:val="single" w:sz="4" w:space="0" w:color="auto"/>
            </w:tcBorders>
            <w:shd w:val="clear" w:color="auto" w:fill="auto"/>
            <w:noWrap/>
            <w:vAlign w:val="bottom"/>
            <w:hideMark/>
          </w:tcPr>
          <w:p w14:paraId="3BB722DF"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1.000</w:t>
            </w:r>
          </w:p>
        </w:tc>
      </w:tr>
    </w:tbl>
    <w:p w14:paraId="1E082242" w14:textId="77777777" w:rsidR="00F03299" w:rsidRDefault="00F03299" w:rsidP="000816C3">
      <w:pPr>
        <w:autoSpaceDE w:val="0"/>
        <w:autoSpaceDN w:val="0"/>
        <w:adjustRightInd w:val="0"/>
        <w:spacing w:after="0" w:line="240" w:lineRule="auto"/>
        <w:jc w:val="both"/>
        <w:rPr>
          <w:rFonts w:ascii="Times New Roman" w:hAnsi="Times New Roman" w:cs="Times New Roman"/>
          <w:b/>
          <w:bCs/>
          <w:sz w:val="24"/>
          <w:szCs w:val="24"/>
        </w:rPr>
      </w:pPr>
    </w:p>
    <w:p w14:paraId="4230CA2E" w14:textId="77777777" w:rsidR="00F03299" w:rsidRDefault="00F03299" w:rsidP="000816C3">
      <w:pPr>
        <w:autoSpaceDE w:val="0"/>
        <w:autoSpaceDN w:val="0"/>
        <w:adjustRightInd w:val="0"/>
        <w:spacing w:after="0" w:line="240" w:lineRule="auto"/>
        <w:jc w:val="both"/>
        <w:rPr>
          <w:rFonts w:ascii="Times New Roman" w:hAnsi="Times New Roman" w:cs="Times New Roman"/>
          <w:b/>
          <w:bCs/>
          <w:sz w:val="24"/>
          <w:szCs w:val="24"/>
        </w:rPr>
      </w:pPr>
    </w:p>
    <w:p w14:paraId="1409665A" w14:textId="77777777" w:rsidR="00F03299" w:rsidRDefault="00F03299" w:rsidP="000816C3">
      <w:pPr>
        <w:autoSpaceDE w:val="0"/>
        <w:autoSpaceDN w:val="0"/>
        <w:adjustRightInd w:val="0"/>
        <w:spacing w:after="0" w:line="240" w:lineRule="auto"/>
        <w:jc w:val="both"/>
        <w:rPr>
          <w:rFonts w:ascii="Times New Roman" w:hAnsi="Times New Roman" w:cs="Times New Roman"/>
          <w:b/>
          <w:bCs/>
          <w:sz w:val="24"/>
          <w:szCs w:val="24"/>
        </w:rPr>
      </w:pPr>
    </w:p>
    <w:p w14:paraId="1FAA6A06" w14:textId="77777777" w:rsidR="00F03299" w:rsidRDefault="00F03299" w:rsidP="000816C3">
      <w:pPr>
        <w:autoSpaceDE w:val="0"/>
        <w:autoSpaceDN w:val="0"/>
        <w:adjustRightInd w:val="0"/>
        <w:spacing w:after="0" w:line="240" w:lineRule="auto"/>
        <w:jc w:val="both"/>
        <w:rPr>
          <w:rFonts w:ascii="Times New Roman" w:hAnsi="Times New Roman" w:cs="Times New Roman"/>
          <w:b/>
          <w:bCs/>
          <w:sz w:val="24"/>
          <w:szCs w:val="24"/>
        </w:rPr>
      </w:pPr>
    </w:p>
    <w:p w14:paraId="3B0BFD77" w14:textId="77777777" w:rsidR="00F03299" w:rsidRDefault="00F03299" w:rsidP="000816C3">
      <w:pPr>
        <w:autoSpaceDE w:val="0"/>
        <w:autoSpaceDN w:val="0"/>
        <w:adjustRightInd w:val="0"/>
        <w:spacing w:after="0" w:line="240" w:lineRule="auto"/>
        <w:jc w:val="both"/>
        <w:rPr>
          <w:rFonts w:ascii="Times New Roman" w:hAnsi="Times New Roman" w:cs="Times New Roman"/>
          <w:b/>
          <w:bCs/>
          <w:sz w:val="24"/>
          <w:szCs w:val="24"/>
        </w:rPr>
      </w:pPr>
    </w:p>
    <w:p w14:paraId="7BEBE183" w14:textId="77777777" w:rsidR="00F03299" w:rsidRDefault="00F03299" w:rsidP="000816C3">
      <w:pPr>
        <w:autoSpaceDE w:val="0"/>
        <w:autoSpaceDN w:val="0"/>
        <w:adjustRightInd w:val="0"/>
        <w:spacing w:after="0" w:line="240" w:lineRule="auto"/>
        <w:jc w:val="both"/>
        <w:rPr>
          <w:rFonts w:ascii="Times New Roman" w:hAnsi="Times New Roman" w:cs="Times New Roman"/>
          <w:b/>
          <w:bCs/>
          <w:sz w:val="24"/>
          <w:szCs w:val="24"/>
        </w:rPr>
      </w:pPr>
    </w:p>
    <w:p w14:paraId="1ABE6BA4" w14:textId="77777777" w:rsidR="00F03299" w:rsidRDefault="00F03299" w:rsidP="000816C3">
      <w:pPr>
        <w:autoSpaceDE w:val="0"/>
        <w:autoSpaceDN w:val="0"/>
        <w:adjustRightInd w:val="0"/>
        <w:spacing w:after="0" w:line="240" w:lineRule="auto"/>
        <w:jc w:val="both"/>
        <w:rPr>
          <w:rFonts w:ascii="Times New Roman" w:hAnsi="Times New Roman" w:cs="Times New Roman"/>
          <w:b/>
          <w:bCs/>
          <w:sz w:val="24"/>
          <w:szCs w:val="24"/>
        </w:rPr>
      </w:pPr>
    </w:p>
    <w:p w14:paraId="6BEC3E81" w14:textId="77777777" w:rsidR="00F03299" w:rsidRDefault="00F03299" w:rsidP="000816C3">
      <w:pPr>
        <w:autoSpaceDE w:val="0"/>
        <w:autoSpaceDN w:val="0"/>
        <w:adjustRightInd w:val="0"/>
        <w:spacing w:after="0" w:line="240" w:lineRule="auto"/>
        <w:jc w:val="both"/>
        <w:rPr>
          <w:rFonts w:ascii="Times New Roman" w:hAnsi="Times New Roman" w:cs="Times New Roman"/>
          <w:b/>
          <w:bCs/>
          <w:sz w:val="24"/>
          <w:szCs w:val="24"/>
        </w:rPr>
      </w:pPr>
    </w:p>
    <w:p w14:paraId="25FA8309" w14:textId="77777777" w:rsidR="00F03299" w:rsidRDefault="00F03299" w:rsidP="000816C3">
      <w:pPr>
        <w:autoSpaceDE w:val="0"/>
        <w:autoSpaceDN w:val="0"/>
        <w:adjustRightInd w:val="0"/>
        <w:spacing w:after="0" w:line="240" w:lineRule="auto"/>
        <w:jc w:val="both"/>
        <w:rPr>
          <w:rFonts w:ascii="Times New Roman" w:hAnsi="Times New Roman" w:cs="Times New Roman"/>
          <w:b/>
          <w:bCs/>
          <w:sz w:val="24"/>
          <w:szCs w:val="24"/>
        </w:rPr>
      </w:pPr>
    </w:p>
    <w:p w14:paraId="0C3085FA" w14:textId="77777777" w:rsidR="00F03299" w:rsidRDefault="00F03299" w:rsidP="000816C3">
      <w:pPr>
        <w:autoSpaceDE w:val="0"/>
        <w:autoSpaceDN w:val="0"/>
        <w:adjustRightInd w:val="0"/>
        <w:spacing w:after="0" w:line="240" w:lineRule="auto"/>
        <w:jc w:val="both"/>
        <w:rPr>
          <w:rFonts w:ascii="Times New Roman" w:hAnsi="Times New Roman" w:cs="Times New Roman"/>
          <w:b/>
          <w:bCs/>
          <w:sz w:val="24"/>
          <w:szCs w:val="24"/>
        </w:rPr>
      </w:pPr>
    </w:p>
    <w:p w14:paraId="0E63BDF3" w14:textId="77777777" w:rsidR="00F03299" w:rsidRDefault="00F03299" w:rsidP="000816C3">
      <w:pPr>
        <w:autoSpaceDE w:val="0"/>
        <w:autoSpaceDN w:val="0"/>
        <w:adjustRightInd w:val="0"/>
        <w:spacing w:after="0" w:line="240" w:lineRule="auto"/>
        <w:jc w:val="both"/>
        <w:rPr>
          <w:rFonts w:ascii="Times New Roman" w:hAnsi="Times New Roman" w:cs="Times New Roman"/>
          <w:b/>
          <w:bCs/>
          <w:sz w:val="24"/>
          <w:szCs w:val="24"/>
        </w:rPr>
      </w:pPr>
    </w:p>
    <w:p w14:paraId="3E88E959" w14:textId="4F92D74A" w:rsidR="00B533E5" w:rsidRDefault="00B533E5" w:rsidP="00B533E5">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Table S4. T</w:t>
      </w:r>
      <w:r w:rsidRPr="00F03299">
        <w:rPr>
          <w:rFonts w:ascii="Times New Roman" w:hAnsi="Times New Roman" w:cs="Times New Roman"/>
          <w:b/>
          <w:bCs/>
          <w:sz w:val="24"/>
          <w:szCs w:val="24"/>
        </w:rPr>
        <w:t>able with the actual proportions of </w:t>
      </w:r>
      <w:r w:rsidRPr="00AE0D09">
        <w:rPr>
          <w:rFonts w:ascii="Times New Roman" w:hAnsi="Times New Roman" w:cs="Times New Roman"/>
          <w:b/>
          <w:bCs/>
          <w:sz w:val="24"/>
          <w:szCs w:val="24"/>
        </w:rPr>
        <w:t xml:space="preserve">mutation in </w:t>
      </w:r>
      <w:r w:rsidR="008531C2">
        <w:rPr>
          <w:rFonts w:ascii="Times New Roman" w:hAnsi="Times New Roman" w:cs="Times New Roman"/>
          <w:b/>
          <w:bCs/>
          <w:sz w:val="24"/>
          <w:szCs w:val="24"/>
        </w:rPr>
        <w:t xml:space="preserve">cancer-driven genes </w:t>
      </w:r>
      <w:r>
        <w:rPr>
          <w:rFonts w:ascii="Times New Roman" w:hAnsi="Times New Roman" w:cs="Times New Roman"/>
          <w:b/>
          <w:bCs/>
          <w:sz w:val="24"/>
          <w:szCs w:val="24"/>
        </w:rPr>
        <w:t>metastatic</w:t>
      </w:r>
      <w:r w:rsidRPr="00AE0D09">
        <w:rPr>
          <w:rFonts w:ascii="Times New Roman" w:hAnsi="Times New Roman" w:cs="Times New Roman"/>
          <w:b/>
          <w:bCs/>
          <w:sz w:val="24"/>
          <w:szCs w:val="24"/>
        </w:rPr>
        <w:t xml:space="preserve"> tumors</w:t>
      </w:r>
      <w:r>
        <w:rPr>
          <w:rFonts w:ascii="Times New Roman" w:hAnsi="Times New Roman" w:cs="Times New Roman"/>
          <w:b/>
          <w:bCs/>
          <w:i/>
          <w:iCs/>
          <w:sz w:val="24"/>
          <w:szCs w:val="24"/>
        </w:rPr>
        <w:t xml:space="preserve"> </w:t>
      </w:r>
      <w:r w:rsidRPr="00F03299">
        <w:rPr>
          <w:rFonts w:ascii="Times New Roman" w:hAnsi="Times New Roman" w:cs="Times New Roman"/>
          <w:b/>
          <w:bCs/>
          <w:sz w:val="24"/>
          <w:szCs w:val="24"/>
        </w:rPr>
        <w:t xml:space="preserve">in both </w:t>
      </w:r>
      <w:r>
        <w:rPr>
          <w:rFonts w:ascii="Times New Roman" w:hAnsi="Times New Roman" w:cs="Times New Roman"/>
          <w:b/>
          <w:bCs/>
          <w:sz w:val="24"/>
          <w:szCs w:val="24"/>
        </w:rPr>
        <w:t xml:space="preserve">AGATA and MSK </w:t>
      </w:r>
      <w:r w:rsidRPr="00F03299">
        <w:rPr>
          <w:rFonts w:ascii="Times New Roman" w:hAnsi="Times New Roman" w:cs="Times New Roman"/>
          <w:b/>
          <w:bCs/>
          <w:sz w:val="24"/>
          <w:szCs w:val="24"/>
        </w:rPr>
        <w:t>datasets. </w:t>
      </w:r>
    </w:p>
    <w:p w14:paraId="36925E05" w14:textId="77777777" w:rsidR="00F03299" w:rsidRDefault="00F03299" w:rsidP="000816C3">
      <w:pPr>
        <w:autoSpaceDE w:val="0"/>
        <w:autoSpaceDN w:val="0"/>
        <w:adjustRightInd w:val="0"/>
        <w:spacing w:after="0" w:line="240" w:lineRule="auto"/>
        <w:jc w:val="both"/>
        <w:rPr>
          <w:rFonts w:ascii="Times New Roman" w:hAnsi="Times New Roman" w:cs="Times New Roman"/>
          <w:b/>
          <w:bCs/>
          <w:sz w:val="24"/>
          <w:szCs w:val="24"/>
        </w:rPr>
      </w:pPr>
    </w:p>
    <w:p w14:paraId="7EE4B8C7" w14:textId="77777777" w:rsidR="00F03299" w:rsidRDefault="00F03299" w:rsidP="000816C3">
      <w:pPr>
        <w:autoSpaceDE w:val="0"/>
        <w:autoSpaceDN w:val="0"/>
        <w:adjustRightInd w:val="0"/>
        <w:spacing w:after="0" w:line="240" w:lineRule="auto"/>
        <w:jc w:val="both"/>
        <w:rPr>
          <w:rFonts w:ascii="Times New Roman" w:hAnsi="Times New Roman" w:cs="Times New Roman"/>
          <w:b/>
          <w:bCs/>
          <w:sz w:val="24"/>
          <w:szCs w:val="24"/>
        </w:rPr>
      </w:pPr>
    </w:p>
    <w:tbl>
      <w:tblPr>
        <w:tblW w:w="7200" w:type="dxa"/>
        <w:tblLook w:val="04A0" w:firstRow="1" w:lastRow="0" w:firstColumn="1" w:lastColumn="0" w:noHBand="0" w:noVBand="1"/>
      </w:tblPr>
      <w:tblGrid>
        <w:gridCol w:w="1200"/>
        <w:gridCol w:w="1211"/>
        <w:gridCol w:w="1200"/>
        <w:gridCol w:w="1211"/>
        <w:gridCol w:w="1200"/>
        <w:gridCol w:w="1200"/>
      </w:tblGrid>
      <w:tr w:rsidR="00B533E5" w:rsidRPr="00B533E5" w14:paraId="4EEB5C0D" w14:textId="77777777" w:rsidTr="00B533E5">
        <w:trPr>
          <w:trHeight w:val="290"/>
        </w:trPr>
        <w:tc>
          <w:tcPr>
            <w:tcW w:w="1200" w:type="dxa"/>
            <w:tcBorders>
              <w:top w:val="nil"/>
              <w:left w:val="nil"/>
              <w:bottom w:val="nil"/>
              <w:right w:val="nil"/>
            </w:tcBorders>
            <w:shd w:val="clear" w:color="auto" w:fill="auto"/>
            <w:noWrap/>
            <w:vAlign w:val="bottom"/>
            <w:hideMark/>
          </w:tcPr>
          <w:p w14:paraId="5E13CBA6" w14:textId="77777777" w:rsidR="00B533E5" w:rsidRPr="00B533E5" w:rsidRDefault="00B533E5" w:rsidP="00B533E5">
            <w:pPr>
              <w:spacing w:after="0" w:line="240" w:lineRule="auto"/>
              <w:rPr>
                <w:rFonts w:ascii="Times New Roman" w:eastAsia="Times New Roman" w:hAnsi="Times New Roman" w:cs="Times New Roman"/>
                <w:sz w:val="24"/>
                <w:szCs w:val="24"/>
              </w:rPr>
            </w:pPr>
          </w:p>
        </w:tc>
        <w:tc>
          <w:tcPr>
            <w:tcW w:w="2400"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8787732" w14:textId="77777777" w:rsidR="00B533E5" w:rsidRPr="00B533E5" w:rsidRDefault="00B533E5" w:rsidP="00B533E5">
            <w:pPr>
              <w:spacing w:after="0" w:line="240" w:lineRule="auto"/>
              <w:jc w:val="center"/>
              <w:rPr>
                <w:rFonts w:ascii="Calibri" w:eastAsia="Times New Roman" w:hAnsi="Calibri" w:cs="Calibri"/>
                <w:b/>
                <w:bCs/>
                <w:color w:val="000000"/>
              </w:rPr>
            </w:pPr>
            <w:r w:rsidRPr="00B533E5">
              <w:rPr>
                <w:rFonts w:ascii="Calibri" w:eastAsia="Times New Roman" w:hAnsi="Calibri" w:cs="Calibri"/>
                <w:b/>
                <w:bCs/>
                <w:color w:val="000000"/>
              </w:rPr>
              <w:t>AGATA</w:t>
            </w:r>
          </w:p>
        </w:tc>
        <w:tc>
          <w:tcPr>
            <w:tcW w:w="2400"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0081957B" w14:textId="77777777" w:rsidR="00B533E5" w:rsidRPr="00B533E5" w:rsidRDefault="00B533E5" w:rsidP="00B533E5">
            <w:pPr>
              <w:spacing w:after="0" w:line="240" w:lineRule="auto"/>
              <w:jc w:val="center"/>
              <w:rPr>
                <w:rFonts w:ascii="Calibri" w:eastAsia="Times New Roman" w:hAnsi="Calibri" w:cs="Calibri"/>
                <w:b/>
                <w:bCs/>
                <w:color w:val="000000"/>
              </w:rPr>
            </w:pPr>
            <w:r w:rsidRPr="00B533E5">
              <w:rPr>
                <w:rFonts w:ascii="Calibri" w:eastAsia="Times New Roman" w:hAnsi="Calibri" w:cs="Calibri"/>
                <w:b/>
                <w:bCs/>
                <w:color w:val="000000"/>
              </w:rPr>
              <w:t>MSK</w:t>
            </w:r>
          </w:p>
        </w:tc>
        <w:tc>
          <w:tcPr>
            <w:tcW w:w="1200" w:type="dxa"/>
            <w:tcBorders>
              <w:top w:val="nil"/>
              <w:left w:val="nil"/>
              <w:bottom w:val="nil"/>
              <w:right w:val="nil"/>
            </w:tcBorders>
            <w:shd w:val="clear" w:color="auto" w:fill="auto"/>
            <w:noWrap/>
            <w:vAlign w:val="center"/>
            <w:hideMark/>
          </w:tcPr>
          <w:p w14:paraId="06503AC5" w14:textId="77777777" w:rsidR="00B533E5" w:rsidRPr="00B533E5" w:rsidRDefault="00B533E5" w:rsidP="00B533E5">
            <w:pPr>
              <w:spacing w:after="0" w:line="240" w:lineRule="auto"/>
              <w:jc w:val="center"/>
              <w:rPr>
                <w:rFonts w:ascii="Calibri" w:eastAsia="Times New Roman" w:hAnsi="Calibri" w:cs="Calibri"/>
                <w:b/>
                <w:bCs/>
                <w:color w:val="000000"/>
              </w:rPr>
            </w:pPr>
          </w:p>
        </w:tc>
      </w:tr>
      <w:tr w:rsidR="00B533E5" w:rsidRPr="00B533E5" w14:paraId="31E8BE7C" w14:textId="77777777" w:rsidTr="00B533E5">
        <w:trPr>
          <w:trHeight w:val="870"/>
        </w:trPr>
        <w:tc>
          <w:tcPr>
            <w:tcW w:w="1200" w:type="dxa"/>
            <w:tcBorders>
              <w:top w:val="nil"/>
              <w:left w:val="nil"/>
              <w:bottom w:val="nil"/>
              <w:right w:val="nil"/>
            </w:tcBorders>
            <w:shd w:val="clear" w:color="auto" w:fill="auto"/>
            <w:noWrap/>
            <w:vAlign w:val="bottom"/>
            <w:hideMark/>
          </w:tcPr>
          <w:p w14:paraId="363744CF" w14:textId="77777777" w:rsidR="00B533E5" w:rsidRPr="00B533E5" w:rsidRDefault="00B533E5" w:rsidP="00B533E5">
            <w:pPr>
              <w:spacing w:after="0" w:line="240" w:lineRule="auto"/>
              <w:jc w:val="center"/>
              <w:rPr>
                <w:rFonts w:ascii="Times New Roman" w:eastAsia="Times New Roman" w:hAnsi="Times New Roman" w:cs="Times New Roman"/>
                <w:sz w:val="20"/>
                <w:szCs w:val="20"/>
              </w:rPr>
            </w:pPr>
          </w:p>
        </w:tc>
        <w:tc>
          <w:tcPr>
            <w:tcW w:w="1200" w:type="dxa"/>
            <w:tcBorders>
              <w:top w:val="nil"/>
              <w:left w:val="single" w:sz="4" w:space="0" w:color="auto"/>
              <w:bottom w:val="nil"/>
              <w:right w:val="single" w:sz="4" w:space="0" w:color="auto"/>
            </w:tcBorders>
            <w:shd w:val="clear" w:color="000000" w:fill="D9E1F2"/>
            <w:vAlign w:val="center"/>
            <w:hideMark/>
          </w:tcPr>
          <w:p w14:paraId="01578AE0" w14:textId="77777777" w:rsidR="00B533E5" w:rsidRPr="00B533E5" w:rsidRDefault="00B533E5" w:rsidP="00B533E5">
            <w:pPr>
              <w:spacing w:after="0" w:line="240" w:lineRule="auto"/>
              <w:jc w:val="center"/>
              <w:rPr>
                <w:rFonts w:ascii="Calibri" w:eastAsia="Times New Roman" w:hAnsi="Calibri" w:cs="Calibri"/>
                <w:b/>
                <w:bCs/>
              </w:rPr>
            </w:pPr>
            <w:r w:rsidRPr="00B533E5">
              <w:rPr>
                <w:rFonts w:ascii="Calibri" w:eastAsia="Times New Roman" w:hAnsi="Calibri" w:cs="Calibri"/>
                <w:b/>
                <w:bCs/>
              </w:rPr>
              <w:t>Proportion tumors wit mutation</w:t>
            </w:r>
          </w:p>
        </w:tc>
        <w:tc>
          <w:tcPr>
            <w:tcW w:w="1200" w:type="dxa"/>
            <w:tcBorders>
              <w:top w:val="nil"/>
              <w:left w:val="nil"/>
              <w:bottom w:val="nil"/>
              <w:right w:val="single" w:sz="4" w:space="0" w:color="auto"/>
            </w:tcBorders>
            <w:shd w:val="clear" w:color="000000" w:fill="D9E1F2"/>
            <w:vAlign w:val="center"/>
            <w:hideMark/>
          </w:tcPr>
          <w:p w14:paraId="16776667" w14:textId="77777777" w:rsidR="00B533E5" w:rsidRPr="00B533E5" w:rsidRDefault="00B533E5" w:rsidP="00B533E5">
            <w:pPr>
              <w:spacing w:after="0" w:line="240" w:lineRule="auto"/>
              <w:jc w:val="center"/>
              <w:rPr>
                <w:rFonts w:ascii="Calibri" w:eastAsia="Times New Roman" w:hAnsi="Calibri" w:cs="Calibri"/>
                <w:b/>
                <w:bCs/>
              </w:rPr>
            </w:pPr>
            <w:r w:rsidRPr="00B533E5">
              <w:rPr>
                <w:rFonts w:ascii="Calibri" w:eastAsia="Times New Roman" w:hAnsi="Calibri" w:cs="Calibri"/>
                <w:b/>
                <w:bCs/>
              </w:rPr>
              <w:t>N Metastatic tumors</w:t>
            </w:r>
          </w:p>
        </w:tc>
        <w:tc>
          <w:tcPr>
            <w:tcW w:w="1200" w:type="dxa"/>
            <w:tcBorders>
              <w:top w:val="nil"/>
              <w:left w:val="nil"/>
              <w:bottom w:val="single" w:sz="4" w:space="0" w:color="auto"/>
              <w:right w:val="single" w:sz="4" w:space="0" w:color="auto"/>
            </w:tcBorders>
            <w:shd w:val="clear" w:color="000000" w:fill="D9D9D9"/>
            <w:vAlign w:val="center"/>
            <w:hideMark/>
          </w:tcPr>
          <w:p w14:paraId="7DA04BA4" w14:textId="77777777" w:rsidR="00B533E5" w:rsidRPr="00B533E5" w:rsidRDefault="00B533E5" w:rsidP="00B533E5">
            <w:pPr>
              <w:spacing w:after="0" w:line="240" w:lineRule="auto"/>
              <w:jc w:val="center"/>
              <w:rPr>
                <w:rFonts w:ascii="Calibri" w:eastAsia="Times New Roman" w:hAnsi="Calibri" w:cs="Calibri"/>
                <w:b/>
                <w:bCs/>
              </w:rPr>
            </w:pPr>
            <w:r w:rsidRPr="00B533E5">
              <w:rPr>
                <w:rFonts w:ascii="Calibri" w:eastAsia="Times New Roman" w:hAnsi="Calibri" w:cs="Calibri"/>
                <w:b/>
                <w:bCs/>
              </w:rPr>
              <w:t>Proportion tumors wit mutation</w:t>
            </w:r>
          </w:p>
        </w:tc>
        <w:tc>
          <w:tcPr>
            <w:tcW w:w="1200" w:type="dxa"/>
            <w:tcBorders>
              <w:top w:val="nil"/>
              <w:left w:val="nil"/>
              <w:bottom w:val="single" w:sz="4" w:space="0" w:color="auto"/>
              <w:right w:val="single" w:sz="4" w:space="0" w:color="auto"/>
            </w:tcBorders>
            <w:shd w:val="clear" w:color="000000" w:fill="D9D9D9"/>
            <w:vAlign w:val="center"/>
            <w:hideMark/>
          </w:tcPr>
          <w:p w14:paraId="0982D033" w14:textId="77777777" w:rsidR="00B533E5" w:rsidRPr="00B533E5" w:rsidRDefault="00B533E5" w:rsidP="00B533E5">
            <w:pPr>
              <w:spacing w:after="0" w:line="240" w:lineRule="auto"/>
              <w:jc w:val="center"/>
              <w:rPr>
                <w:rFonts w:ascii="Calibri" w:eastAsia="Times New Roman" w:hAnsi="Calibri" w:cs="Calibri"/>
                <w:b/>
                <w:bCs/>
              </w:rPr>
            </w:pPr>
            <w:r w:rsidRPr="00B533E5">
              <w:rPr>
                <w:rFonts w:ascii="Calibri" w:eastAsia="Times New Roman" w:hAnsi="Calibri" w:cs="Calibri"/>
                <w:b/>
                <w:bCs/>
              </w:rPr>
              <w:t>N Metastatic tumors</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7A79E8E6" w14:textId="77777777" w:rsidR="00B533E5" w:rsidRPr="00B533E5" w:rsidRDefault="00B533E5" w:rsidP="00B533E5">
            <w:pPr>
              <w:spacing w:after="0" w:line="240" w:lineRule="auto"/>
              <w:jc w:val="center"/>
              <w:rPr>
                <w:rFonts w:ascii="Calibri" w:eastAsia="Times New Roman" w:hAnsi="Calibri" w:cs="Calibri"/>
                <w:b/>
                <w:bCs/>
                <w:color w:val="000000"/>
              </w:rPr>
            </w:pPr>
            <w:r w:rsidRPr="00B533E5">
              <w:rPr>
                <w:rFonts w:ascii="Calibri" w:eastAsia="Times New Roman" w:hAnsi="Calibri" w:cs="Calibri"/>
                <w:b/>
                <w:bCs/>
                <w:color w:val="000000"/>
              </w:rPr>
              <w:t>p-value</w:t>
            </w:r>
          </w:p>
        </w:tc>
      </w:tr>
      <w:tr w:rsidR="00B533E5" w:rsidRPr="00B533E5" w14:paraId="3253CAF0" w14:textId="77777777" w:rsidTr="00B533E5">
        <w:trPr>
          <w:trHeight w:val="29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0697F"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PIK3CA</w:t>
            </w:r>
          </w:p>
        </w:tc>
        <w:tc>
          <w:tcPr>
            <w:tcW w:w="1200" w:type="dxa"/>
            <w:tcBorders>
              <w:top w:val="single" w:sz="4" w:space="0" w:color="auto"/>
              <w:left w:val="nil"/>
              <w:bottom w:val="single" w:sz="4" w:space="0" w:color="auto"/>
              <w:right w:val="single" w:sz="4" w:space="0" w:color="auto"/>
            </w:tcBorders>
            <w:shd w:val="clear" w:color="000000" w:fill="D9E1F2"/>
            <w:noWrap/>
            <w:vAlign w:val="center"/>
            <w:hideMark/>
          </w:tcPr>
          <w:p w14:paraId="643C0DCB"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40.2%</w:t>
            </w:r>
          </w:p>
        </w:tc>
        <w:tc>
          <w:tcPr>
            <w:tcW w:w="1200" w:type="dxa"/>
            <w:tcBorders>
              <w:top w:val="single" w:sz="4" w:space="0" w:color="auto"/>
              <w:left w:val="nil"/>
              <w:bottom w:val="single" w:sz="4" w:space="0" w:color="auto"/>
              <w:right w:val="single" w:sz="4" w:space="0" w:color="auto"/>
            </w:tcBorders>
            <w:shd w:val="clear" w:color="000000" w:fill="D9E1F2"/>
            <w:noWrap/>
            <w:vAlign w:val="center"/>
            <w:hideMark/>
          </w:tcPr>
          <w:p w14:paraId="6EEA0AB9"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97</w:t>
            </w:r>
          </w:p>
        </w:tc>
        <w:tc>
          <w:tcPr>
            <w:tcW w:w="1200" w:type="dxa"/>
            <w:tcBorders>
              <w:top w:val="nil"/>
              <w:left w:val="nil"/>
              <w:bottom w:val="single" w:sz="4" w:space="0" w:color="auto"/>
              <w:right w:val="single" w:sz="4" w:space="0" w:color="auto"/>
            </w:tcBorders>
            <w:shd w:val="clear" w:color="000000" w:fill="D9D9D9"/>
            <w:noWrap/>
            <w:vAlign w:val="center"/>
            <w:hideMark/>
          </w:tcPr>
          <w:p w14:paraId="23AA3D37" w14:textId="77777777" w:rsidR="00B533E5" w:rsidRPr="00B533E5" w:rsidRDefault="00B533E5" w:rsidP="00B533E5">
            <w:pPr>
              <w:spacing w:after="0" w:line="240" w:lineRule="auto"/>
              <w:jc w:val="center"/>
              <w:rPr>
                <w:rFonts w:ascii="Calibri" w:eastAsia="Times New Roman" w:hAnsi="Calibri" w:cs="Calibri"/>
                <w:color w:val="333333"/>
              </w:rPr>
            </w:pPr>
            <w:r w:rsidRPr="00B533E5">
              <w:rPr>
                <w:rFonts w:ascii="Calibri" w:eastAsia="Times New Roman" w:hAnsi="Calibri" w:cs="Calibri"/>
                <w:color w:val="333333"/>
              </w:rPr>
              <w:t>36.20%</w:t>
            </w:r>
          </w:p>
        </w:tc>
        <w:tc>
          <w:tcPr>
            <w:tcW w:w="1200" w:type="dxa"/>
            <w:tcBorders>
              <w:top w:val="nil"/>
              <w:left w:val="nil"/>
              <w:bottom w:val="single" w:sz="4" w:space="0" w:color="auto"/>
              <w:right w:val="single" w:sz="4" w:space="0" w:color="auto"/>
            </w:tcBorders>
            <w:shd w:val="clear" w:color="000000" w:fill="D9D9D9"/>
            <w:noWrap/>
            <w:vAlign w:val="center"/>
            <w:hideMark/>
          </w:tcPr>
          <w:p w14:paraId="54FB30EF"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395</w:t>
            </w:r>
          </w:p>
        </w:tc>
        <w:tc>
          <w:tcPr>
            <w:tcW w:w="1200" w:type="dxa"/>
            <w:tcBorders>
              <w:top w:val="nil"/>
              <w:left w:val="nil"/>
              <w:bottom w:val="single" w:sz="4" w:space="0" w:color="auto"/>
              <w:right w:val="single" w:sz="4" w:space="0" w:color="auto"/>
            </w:tcBorders>
            <w:shd w:val="clear" w:color="auto" w:fill="auto"/>
            <w:noWrap/>
            <w:vAlign w:val="center"/>
            <w:hideMark/>
          </w:tcPr>
          <w:p w14:paraId="43912561" w14:textId="77777777" w:rsidR="00B533E5" w:rsidRPr="00B533E5" w:rsidRDefault="00B533E5" w:rsidP="00B533E5">
            <w:pPr>
              <w:spacing w:after="0" w:line="240" w:lineRule="auto"/>
              <w:jc w:val="center"/>
              <w:rPr>
                <w:rFonts w:ascii="Calibri" w:eastAsia="Times New Roman" w:hAnsi="Calibri" w:cs="Calibri"/>
                <w:color w:val="000000"/>
              </w:rPr>
            </w:pPr>
            <w:r w:rsidRPr="00B533E5">
              <w:rPr>
                <w:rFonts w:ascii="Calibri" w:eastAsia="Times New Roman" w:hAnsi="Calibri" w:cs="Calibri"/>
                <w:color w:val="000000"/>
              </w:rPr>
              <w:t>0.465</w:t>
            </w:r>
          </w:p>
        </w:tc>
      </w:tr>
      <w:tr w:rsidR="00B533E5" w:rsidRPr="00B533E5" w14:paraId="4010C052"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39D24B7"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TP53</w:t>
            </w:r>
          </w:p>
        </w:tc>
        <w:tc>
          <w:tcPr>
            <w:tcW w:w="1200" w:type="dxa"/>
            <w:tcBorders>
              <w:top w:val="nil"/>
              <w:left w:val="nil"/>
              <w:bottom w:val="single" w:sz="4" w:space="0" w:color="auto"/>
              <w:right w:val="single" w:sz="4" w:space="0" w:color="auto"/>
            </w:tcBorders>
            <w:shd w:val="clear" w:color="000000" w:fill="D9E1F2"/>
            <w:noWrap/>
            <w:vAlign w:val="center"/>
            <w:hideMark/>
          </w:tcPr>
          <w:p w14:paraId="4E965DEA"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27.8%</w:t>
            </w:r>
          </w:p>
        </w:tc>
        <w:tc>
          <w:tcPr>
            <w:tcW w:w="1200" w:type="dxa"/>
            <w:tcBorders>
              <w:top w:val="nil"/>
              <w:left w:val="nil"/>
              <w:bottom w:val="single" w:sz="4" w:space="0" w:color="auto"/>
              <w:right w:val="single" w:sz="4" w:space="0" w:color="auto"/>
            </w:tcBorders>
            <w:shd w:val="clear" w:color="000000" w:fill="D9E1F2"/>
            <w:noWrap/>
            <w:vAlign w:val="center"/>
            <w:hideMark/>
          </w:tcPr>
          <w:p w14:paraId="799DC740"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72</w:t>
            </w:r>
          </w:p>
        </w:tc>
        <w:tc>
          <w:tcPr>
            <w:tcW w:w="1200" w:type="dxa"/>
            <w:tcBorders>
              <w:top w:val="nil"/>
              <w:left w:val="nil"/>
              <w:bottom w:val="single" w:sz="4" w:space="0" w:color="auto"/>
              <w:right w:val="single" w:sz="4" w:space="0" w:color="auto"/>
            </w:tcBorders>
            <w:shd w:val="clear" w:color="000000" w:fill="D9D9D9"/>
            <w:noWrap/>
            <w:vAlign w:val="center"/>
            <w:hideMark/>
          </w:tcPr>
          <w:p w14:paraId="34F1DC02"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37.5%</w:t>
            </w:r>
          </w:p>
        </w:tc>
        <w:tc>
          <w:tcPr>
            <w:tcW w:w="1200" w:type="dxa"/>
            <w:tcBorders>
              <w:top w:val="nil"/>
              <w:left w:val="nil"/>
              <w:bottom w:val="single" w:sz="4" w:space="0" w:color="auto"/>
              <w:right w:val="single" w:sz="4" w:space="0" w:color="auto"/>
            </w:tcBorders>
            <w:shd w:val="clear" w:color="000000" w:fill="D9D9D9"/>
            <w:noWrap/>
            <w:vAlign w:val="center"/>
            <w:hideMark/>
          </w:tcPr>
          <w:p w14:paraId="3D921903"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395</w:t>
            </w:r>
          </w:p>
        </w:tc>
        <w:tc>
          <w:tcPr>
            <w:tcW w:w="1200" w:type="dxa"/>
            <w:tcBorders>
              <w:top w:val="nil"/>
              <w:left w:val="nil"/>
              <w:bottom w:val="single" w:sz="4" w:space="0" w:color="auto"/>
              <w:right w:val="single" w:sz="4" w:space="0" w:color="auto"/>
            </w:tcBorders>
            <w:shd w:val="clear" w:color="auto" w:fill="auto"/>
            <w:noWrap/>
            <w:vAlign w:val="center"/>
            <w:hideMark/>
          </w:tcPr>
          <w:p w14:paraId="28D64B3A" w14:textId="77777777" w:rsidR="00B533E5" w:rsidRPr="00B533E5" w:rsidRDefault="00B533E5" w:rsidP="00B533E5">
            <w:pPr>
              <w:spacing w:after="0" w:line="240" w:lineRule="auto"/>
              <w:jc w:val="center"/>
              <w:rPr>
                <w:rFonts w:ascii="Calibri" w:eastAsia="Times New Roman" w:hAnsi="Calibri" w:cs="Calibri"/>
                <w:color w:val="000000"/>
              </w:rPr>
            </w:pPr>
            <w:r w:rsidRPr="00B533E5">
              <w:rPr>
                <w:rFonts w:ascii="Calibri" w:eastAsia="Times New Roman" w:hAnsi="Calibri" w:cs="Calibri"/>
                <w:color w:val="000000"/>
              </w:rPr>
              <w:t>0.115</w:t>
            </w:r>
          </w:p>
        </w:tc>
      </w:tr>
      <w:tr w:rsidR="00B533E5" w:rsidRPr="00B533E5" w14:paraId="07492E5E"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DAED1DE"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MAP3K1</w:t>
            </w:r>
          </w:p>
        </w:tc>
        <w:tc>
          <w:tcPr>
            <w:tcW w:w="1200" w:type="dxa"/>
            <w:tcBorders>
              <w:top w:val="nil"/>
              <w:left w:val="nil"/>
              <w:bottom w:val="single" w:sz="4" w:space="0" w:color="auto"/>
              <w:right w:val="single" w:sz="4" w:space="0" w:color="auto"/>
            </w:tcBorders>
            <w:shd w:val="clear" w:color="000000" w:fill="D9E1F2"/>
            <w:noWrap/>
            <w:vAlign w:val="center"/>
            <w:hideMark/>
          </w:tcPr>
          <w:p w14:paraId="16B627D0"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18.2%</w:t>
            </w:r>
          </w:p>
        </w:tc>
        <w:tc>
          <w:tcPr>
            <w:tcW w:w="1200" w:type="dxa"/>
            <w:tcBorders>
              <w:top w:val="nil"/>
              <w:left w:val="nil"/>
              <w:bottom w:val="single" w:sz="4" w:space="0" w:color="auto"/>
              <w:right w:val="single" w:sz="4" w:space="0" w:color="auto"/>
            </w:tcBorders>
            <w:shd w:val="clear" w:color="000000" w:fill="D9E1F2"/>
            <w:noWrap/>
            <w:vAlign w:val="center"/>
            <w:hideMark/>
          </w:tcPr>
          <w:p w14:paraId="65221B32"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11</w:t>
            </w:r>
          </w:p>
        </w:tc>
        <w:tc>
          <w:tcPr>
            <w:tcW w:w="1200" w:type="dxa"/>
            <w:tcBorders>
              <w:top w:val="nil"/>
              <w:left w:val="nil"/>
              <w:bottom w:val="single" w:sz="4" w:space="0" w:color="auto"/>
              <w:right w:val="single" w:sz="4" w:space="0" w:color="auto"/>
            </w:tcBorders>
            <w:shd w:val="clear" w:color="000000" w:fill="D9D9D9"/>
            <w:noWrap/>
            <w:vAlign w:val="center"/>
            <w:hideMark/>
          </w:tcPr>
          <w:p w14:paraId="687A35B0"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6.8%</w:t>
            </w:r>
          </w:p>
        </w:tc>
        <w:tc>
          <w:tcPr>
            <w:tcW w:w="1200" w:type="dxa"/>
            <w:tcBorders>
              <w:top w:val="nil"/>
              <w:left w:val="nil"/>
              <w:bottom w:val="single" w:sz="4" w:space="0" w:color="auto"/>
              <w:right w:val="single" w:sz="4" w:space="0" w:color="auto"/>
            </w:tcBorders>
            <w:shd w:val="clear" w:color="000000" w:fill="D9D9D9"/>
            <w:noWrap/>
            <w:vAlign w:val="center"/>
            <w:hideMark/>
          </w:tcPr>
          <w:p w14:paraId="336A89B0"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395</w:t>
            </w:r>
          </w:p>
        </w:tc>
        <w:tc>
          <w:tcPr>
            <w:tcW w:w="1200" w:type="dxa"/>
            <w:tcBorders>
              <w:top w:val="nil"/>
              <w:left w:val="nil"/>
              <w:bottom w:val="single" w:sz="4" w:space="0" w:color="auto"/>
              <w:right w:val="single" w:sz="4" w:space="0" w:color="auto"/>
            </w:tcBorders>
            <w:shd w:val="clear" w:color="auto" w:fill="auto"/>
            <w:noWrap/>
            <w:vAlign w:val="center"/>
            <w:hideMark/>
          </w:tcPr>
          <w:p w14:paraId="1930FC3B" w14:textId="77777777" w:rsidR="00B533E5" w:rsidRPr="00B533E5" w:rsidRDefault="00B533E5" w:rsidP="00B533E5">
            <w:pPr>
              <w:spacing w:after="0" w:line="240" w:lineRule="auto"/>
              <w:jc w:val="center"/>
              <w:rPr>
                <w:rFonts w:ascii="Calibri" w:eastAsia="Times New Roman" w:hAnsi="Calibri" w:cs="Calibri"/>
                <w:color w:val="000000"/>
              </w:rPr>
            </w:pPr>
            <w:r w:rsidRPr="00B533E5">
              <w:rPr>
                <w:rFonts w:ascii="Calibri" w:eastAsia="Times New Roman" w:hAnsi="Calibri" w:cs="Calibri"/>
                <w:color w:val="000000"/>
              </w:rPr>
              <w:t>0.147</w:t>
            </w:r>
          </w:p>
        </w:tc>
      </w:tr>
      <w:tr w:rsidR="00B533E5" w:rsidRPr="00B533E5" w14:paraId="7E3E1C8A"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D8471D7"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KMT2D</w:t>
            </w:r>
          </w:p>
        </w:tc>
        <w:tc>
          <w:tcPr>
            <w:tcW w:w="1200" w:type="dxa"/>
            <w:tcBorders>
              <w:top w:val="nil"/>
              <w:left w:val="nil"/>
              <w:bottom w:val="single" w:sz="4" w:space="0" w:color="auto"/>
              <w:right w:val="single" w:sz="4" w:space="0" w:color="auto"/>
            </w:tcBorders>
            <w:shd w:val="clear" w:color="000000" w:fill="D9E1F2"/>
            <w:noWrap/>
            <w:vAlign w:val="center"/>
            <w:hideMark/>
          </w:tcPr>
          <w:p w14:paraId="7D100697"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0.0%</w:t>
            </w:r>
          </w:p>
        </w:tc>
        <w:tc>
          <w:tcPr>
            <w:tcW w:w="1200" w:type="dxa"/>
            <w:tcBorders>
              <w:top w:val="nil"/>
              <w:left w:val="nil"/>
              <w:bottom w:val="single" w:sz="4" w:space="0" w:color="auto"/>
              <w:right w:val="single" w:sz="4" w:space="0" w:color="auto"/>
            </w:tcBorders>
            <w:shd w:val="clear" w:color="000000" w:fill="D9E1F2"/>
            <w:noWrap/>
            <w:vAlign w:val="center"/>
            <w:hideMark/>
          </w:tcPr>
          <w:p w14:paraId="6AD9C59D"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11</w:t>
            </w:r>
          </w:p>
        </w:tc>
        <w:tc>
          <w:tcPr>
            <w:tcW w:w="1200" w:type="dxa"/>
            <w:tcBorders>
              <w:top w:val="nil"/>
              <w:left w:val="nil"/>
              <w:bottom w:val="single" w:sz="4" w:space="0" w:color="auto"/>
              <w:right w:val="single" w:sz="4" w:space="0" w:color="auto"/>
            </w:tcBorders>
            <w:shd w:val="clear" w:color="000000" w:fill="D9D9D9"/>
            <w:noWrap/>
            <w:vAlign w:val="center"/>
            <w:hideMark/>
          </w:tcPr>
          <w:p w14:paraId="3F7F147E"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3.8%</w:t>
            </w:r>
          </w:p>
        </w:tc>
        <w:tc>
          <w:tcPr>
            <w:tcW w:w="1200" w:type="dxa"/>
            <w:tcBorders>
              <w:top w:val="nil"/>
              <w:left w:val="nil"/>
              <w:bottom w:val="single" w:sz="4" w:space="0" w:color="auto"/>
              <w:right w:val="single" w:sz="4" w:space="0" w:color="auto"/>
            </w:tcBorders>
            <w:shd w:val="clear" w:color="000000" w:fill="D9D9D9"/>
            <w:noWrap/>
            <w:vAlign w:val="center"/>
            <w:hideMark/>
          </w:tcPr>
          <w:p w14:paraId="0941F460"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395</w:t>
            </w:r>
          </w:p>
        </w:tc>
        <w:tc>
          <w:tcPr>
            <w:tcW w:w="1200" w:type="dxa"/>
            <w:tcBorders>
              <w:top w:val="nil"/>
              <w:left w:val="nil"/>
              <w:bottom w:val="single" w:sz="4" w:space="0" w:color="auto"/>
              <w:right w:val="single" w:sz="4" w:space="0" w:color="auto"/>
            </w:tcBorders>
            <w:shd w:val="clear" w:color="auto" w:fill="auto"/>
            <w:noWrap/>
            <w:vAlign w:val="center"/>
            <w:hideMark/>
          </w:tcPr>
          <w:p w14:paraId="4248CF1B" w14:textId="77777777" w:rsidR="00B533E5" w:rsidRPr="00B533E5" w:rsidRDefault="00B533E5" w:rsidP="00B533E5">
            <w:pPr>
              <w:spacing w:after="0" w:line="240" w:lineRule="auto"/>
              <w:jc w:val="center"/>
              <w:rPr>
                <w:rFonts w:ascii="Calibri" w:eastAsia="Times New Roman" w:hAnsi="Calibri" w:cs="Calibri"/>
                <w:color w:val="000000"/>
              </w:rPr>
            </w:pPr>
            <w:r w:rsidRPr="00B533E5">
              <w:rPr>
                <w:rFonts w:ascii="Calibri" w:eastAsia="Times New Roman" w:hAnsi="Calibri" w:cs="Calibri"/>
                <w:color w:val="000000"/>
              </w:rPr>
              <w:t> 0.511</w:t>
            </w:r>
          </w:p>
        </w:tc>
      </w:tr>
      <w:tr w:rsidR="00B533E5" w:rsidRPr="00B533E5" w14:paraId="179F12EA"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FD9E341"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SETD2</w:t>
            </w:r>
          </w:p>
        </w:tc>
        <w:tc>
          <w:tcPr>
            <w:tcW w:w="1200" w:type="dxa"/>
            <w:tcBorders>
              <w:top w:val="nil"/>
              <w:left w:val="nil"/>
              <w:bottom w:val="single" w:sz="4" w:space="0" w:color="auto"/>
              <w:right w:val="single" w:sz="4" w:space="0" w:color="auto"/>
            </w:tcBorders>
            <w:shd w:val="clear" w:color="000000" w:fill="D9E1F2"/>
            <w:noWrap/>
            <w:vAlign w:val="center"/>
            <w:hideMark/>
          </w:tcPr>
          <w:p w14:paraId="54EFF7AC"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9.1%</w:t>
            </w:r>
          </w:p>
        </w:tc>
        <w:tc>
          <w:tcPr>
            <w:tcW w:w="1200" w:type="dxa"/>
            <w:tcBorders>
              <w:top w:val="nil"/>
              <w:left w:val="nil"/>
              <w:bottom w:val="single" w:sz="4" w:space="0" w:color="auto"/>
              <w:right w:val="single" w:sz="4" w:space="0" w:color="auto"/>
            </w:tcBorders>
            <w:shd w:val="clear" w:color="000000" w:fill="D9E1F2"/>
            <w:noWrap/>
            <w:vAlign w:val="center"/>
            <w:hideMark/>
          </w:tcPr>
          <w:p w14:paraId="14FD7121"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11</w:t>
            </w:r>
          </w:p>
        </w:tc>
        <w:tc>
          <w:tcPr>
            <w:tcW w:w="1200" w:type="dxa"/>
            <w:tcBorders>
              <w:top w:val="nil"/>
              <w:left w:val="nil"/>
              <w:bottom w:val="single" w:sz="4" w:space="0" w:color="auto"/>
              <w:right w:val="single" w:sz="4" w:space="0" w:color="auto"/>
            </w:tcBorders>
            <w:shd w:val="clear" w:color="000000" w:fill="D9D9D9"/>
            <w:noWrap/>
            <w:vAlign w:val="center"/>
            <w:hideMark/>
          </w:tcPr>
          <w:p w14:paraId="59E9CB30"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2.5%</w:t>
            </w:r>
          </w:p>
        </w:tc>
        <w:tc>
          <w:tcPr>
            <w:tcW w:w="1200" w:type="dxa"/>
            <w:tcBorders>
              <w:top w:val="nil"/>
              <w:left w:val="nil"/>
              <w:bottom w:val="single" w:sz="4" w:space="0" w:color="auto"/>
              <w:right w:val="single" w:sz="4" w:space="0" w:color="auto"/>
            </w:tcBorders>
            <w:shd w:val="clear" w:color="000000" w:fill="D9D9D9"/>
            <w:noWrap/>
            <w:vAlign w:val="center"/>
            <w:hideMark/>
          </w:tcPr>
          <w:p w14:paraId="7924E639"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395</w:t>
            </w:r>
          </w:p>
        </w:tc>
        <w:tc>
          <w:tcPr>
            <w:tcW w:w="1200" w:type="dxa"/>
            <w:tcBorders>
              <w:top w:val="nil"/>
              <w:left w:val="nil"/>
              <w:bottom w:val="single" w:sz="4" w:space="0" w:color="auto"/>
              <w:right w:val="single" w:sz="4" w:space="0" w:color="auto"/>
            </w:tcBorders>
            <w:shd w:val="clear" w:color="auto" w:fill="auto"/>
            <w:noWrap/>
            <w:vAlign w:val="center"/>
            <w:hideMark/>
          </w:tcPr>
          <w:p w14:paraId="17A1073B" w14:textId="77777777" w:rsidR="00B533E5" w:rsidRPr="00B533E5" w:rsidRDefault="00B533E5" w:rsidP="00B533E5">
            <w:pPr>
              <w:spacing w:after="0" w:line="240" w:lineRule="auto"/>
              <w:jc w:val="center"/>
              <w:rPr>
                <w:rFonts w:ascii="Calibri" w:eastAsia="Times New Roman" w:hAnsi="Calibri" w:cs="Calibri"/>
                <w:color w:val="000000"/>
              </w:rPr>
            </w:pPr>
            <w:r w:rsidRPr="00B533E5">
              <w:rPr>
                <w:rFonts w:ascii="Calibri" w:eastAsia="Times New Roman" w:hAnsi="Calibri" w:cs="Calibri"/>
                <w:color w:val="000000"/>
              </w:rPr>
              <w:t>0.182</w:t>
            </w:r>
          </w:p>
        </w:tc>
      </w:tr>
      <w:tr w:rsidR="00B533E5" w:rsidRPr="00B533E5" w14:paraId="6CD29B55"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CA5627D"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ESR1</w:t>
            </w:r>
          </w:p>
        </w:tc>
        <w:tc>
          <w:tcPr>
            <w:tcW w:w="1200" w:type="dxa"/>
            <w:tcBorders>
              <w:top w:val="nil"/>
              <w:left w:val="nil"/>
              <w:bottom w:val="single" w:sz="4" w:space="0" w:color="auto"/>
              <w:right w:val="single" w:sz="4" w:space="0" w:color="auto"/>
            </w:tcBorders>
            <w:shd w:val="clear" w:color="000000" w:fill="D9E1F2"/>
            <w:noWrap/>
            <w:vAlign w:val="center"/>
            <w:hideMark/>
          </w:tcPr>
          <w:p w14:paraId="7FC03A2F"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8.2%</w:t>
            </w:r>
          </w:p>
        </w:tc>
        <w:tc>
          <w:tcPr>
            <w:tcW w:w="1200" w:type="dxa"/>
            <w:tcBorders>
              <w:top w:val="nil"/>
              <w:left w:val="nil"/>
              <w:bottom w:val="single" w:sz="4" w:space="0" w:color="auto"/>
              <w:right w:val="single" w:sz="4" w:space="0" w:color="auto"/>
            </w:tcBorders>
            <w:shd w:val="clear" w:color="000000" w:fill="D9E1F2"/>
            <w:noWrap/>
            <w:vAlign w:val="center"/>
            <w:hideMark/>
          </w:tcPr>
          <w:p w14:paraId="0C85290B"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61</w:t>
            </w:r>
          </w:p>
        </w:tc>
        <w:tc>
          <w:tcPr>
            <w:tcW w:w="1200" w:type="dxa"/>
            <w:tcBorders>
              <w:top w:val="nil"/>
              <w:left w:val="nil"/>
              <w:bottom w:val="single" w:sz="4" w:space="0" w:color="auto"/>
              <w:right w:val="single" w:sz="4" w:space="0" w:color="auto"/>
            </w:tcBorders>
            <w:shd w:val="clear" w:color="000000" w:fill="D9D9D9"/>
            <w:noWrap/>
            <w:vAlign w:val="center"/>
            <w:hideMark/>
          </w:tcPr>
          <w:p w14:paraId="6B844A29"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9.1%</w:t>
            </w:r>
          </w:p>
        </w:tc>
        <w:tc>
          <w:tcPr>
            <w:tcW w:w="1200" w:type="dxa"/>
            <w:tcBorders>
              <w:top w:val="nil"/>
              <w:left w:val="nil"/>
              <w:bottom w:val="single" w:sz="4" w:space="0" w:color="auto"/>
              <w:right w:val="single" w:sz="4" w:space="0" w:color="auto"/>
            </w:tcBorders>
            <w:shd w:val="clear" w:color="000000" w:fill="D9D9D9"/>
            <w:noWrap/>
            <w:vAlign w:val="center"/>
            <w:hideMark/>
          </w:tcPr>
          <w:p w14:paraId="4D1DE574"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395</w:t>
            </w:r>
          </w:p>
        </w:tc>
        <w:tc>
          <w:tcPr>
            <w:tcW w:w="1200" w:type="dxa"/>
            <w:tcBorders>
              <w:top w:val="nil"/>
              <w:left w:val="nil"/>
              <w:bottom w:val="single" w:sz="4" w:space="0" w:color="auto"/>
              <w:right w:val="single" w:sz="4" w:space="0" w:color="auto"/>
            </w:tcBorders>
            <w:shd w:val="clear" w:color="auto" w:fill="auto"/>
            <w:noWrap/>
            <w:vAlign w:val="center"/>
            <w:hideMark/>
          </w:tcPr>
          <w:p w14:paraId="0EF875F9" w14:textId="77777777" w:rsidR="00B533E5" w:rsidRPr="00B533E5" w:rsidRDefault="00B533E5" w:rsidP="00B533E5">
            <w:pPr>
              <w:spacing w:after="0" w:line="240" w:lineRule="auto"/>
              <w:jc w:val="center"/>
              <w:rPr>
                <w:rFonts w:ascii="Calibri" w:eastAsia="Times New Roman" w:hAnsi="Calibri" w:cs="Calibri"/>
                <w:color w:val="000000"/>
              </w:rPr>
            </w:pPr>
            <w:r w:rsidRPr="00B533E5">
              <w:rPr>
                <w:rFonts w:ascii="Calibri" w:eastAsia="Times New Roman" w:hAnsi="Calibri" w:cs="Calibri"/>
                <w:color w:val="000000"/>
              </w:rPr>
              <w:t>0.819</w:t>
            </w:r>
          </w:p>
        </w:tc>
      </w:tr>
      <w:tr w:rsidR="00B533E5" w:rsidRPr="00B533E5" w14:paraId="707010EC"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69E0FD3"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MLL3</w:t>
            </w:r>
          </w:p>
        </w:tc>
        <w:tc>
          <w:tcPr>
            <w:tcW w:w="1200" w:type="dxa"/>
            <w:tcBorders>
              <w:top w:val="nil"/>
              <w:left w:val="nil"/>
              <w:bottom w:val="single" w:sz="4" w:space="0" w:color="auto"/>
              <w:right w:val="single" w:sz="4" w:space="0" w:color="auto"/>
            </w:tcBorders>
            <w:shd w:val="clear" w:color="000000" w:fill="D9E1F2"/>
            <w:noWrap/>
            <w:vAlign w:val="center"/>
            <w:hideMark/>
          </w:tcPr>
          <w:p w14:paraId="58D20CE8"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9.1%</w:t>
            </w:r>
          </w:p>
        </w:tc>
        <w:tc>
          <w:tcPr>
            <w:tcW w:w="1200" w:type="dxa"/>
            <w:tcBorders>
              <w:top w:val="nil"/>
              <w:left w:val="nil"/>
              <w:bottom w:val="single" w:sz="4" w:space="0" w:color="auto"/>
              <w:right w:val="single" w:sz="4" w:space="0" w:color="auto"/>
            </w:tcBorders>
            <w:shd w:val="clear" w:color="000000" w:fill="D9E1F2"/>
            <w:noWrap/>
            <w:vAlign w:val="center"/>
            <w:hideMark/>
          </w:tcPr>
          <w:p w14:paraId="0D4618C5"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11</w:t>
            </w:r>
          </w:p>
        </w:tc>
        <w:tc>
          <w:tcPr>
            <w:tcW w:w="1200" w:type="dxa"/>
            <w:tcBorders>
              <w:top w:val="nil"/>
              <w:left w:val="nil"/>
              <w:bottom w:val="single" w:sz="4" w:space="0" w:color="auto"/>
              <w:right w:val="single" w:sz="4" w:space="0" w:color="auto"/>
            </w:tcBorders>
            <w:shd w:val="clear" w:color="000000" w:fill="D9D9D9"/>
            <w:noWrap/>
            <w:vAlign w:val="center"/>
            <w:hideMark/>
          </w:tcPr>
          <w:p w14:paraId="5530F40A"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9.4%</w:t>
            </w:r>
          </w:p>
        </w:tc>
        <w:tc>
          <w:tcPr>
            <w:tcW w:w="1200" w:type="dxa"/>
            <w:tcBorders>
              <w:top w:val="nil"/>
              <w:left w:val="nil"/>
              <w:bottom w:val="single" w:sz="4" w:space="0" w:color="auto"/>
              <w:right w:val="single" w:sz="4" w:space="0" w:color="auto"/>
            </w:tcBorders>
            <w:shd w:val="clear" w:color="000000" w:fill="D9D9D9"/>
            <w:noWrap/>
            <w:vAlign w:val="center"/>
            <w:hideMark/>
          </w:tcPr>
          <w:p w14:paraId="520EFF7E"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395</w:t>
            </w:r>
          </w:p>
        </w:tc>
        <w:tc>
          <w:tcPr>
            <w:tcW w:w="1200" w:type="dxa"/>
            <w:tcBorders>
              <w:top w:val="nil"/>
              <w:left w:val="nil"/>
              <w:bottom w:val="single" w:sz="4" w:space="0" w:color="auto"/>
              <w:right w:val="single" w:sz="4" w:space="0" w:color="auto"/>
            </w:tcBorders>
            <w:shd w:val="clear" w:color="auto" w:fill="auto"/>
            <w:noWrap/>
            <w:vAlign w:val="center"/>
            <w:hideMark/>
          </w:tcPr>
          <w:p w14:paraId="246C7924" w14:textId="77777777" w:rsidR="00B533E5" w:rsidRPr="00B533E5" w:rsidRDefault="00B533E5" w:rsidP="00B533E5">
            <w:pPr>
              <w:spacing w:after="0" w:line="240" w:lineRule="auto"/>
              <w:jc w:val="center"/>
              <w:rPr>
                <w:rFonts w:ascii="Calibri" w:eastAsia="Times New Roman" w:hAnsi="Calibri" w:cs="Calibri"/>
                <w:color w:val="000000"/>
              </w:rPr>
            </w:pPr>
            <w:r w:rsidRPr="00B533E5">
              <w:rPr>
                <w:rFonts w:ascii="Calibri" w:eastAsia="Times New Roman" w:hAnsi="Calibri" w:cs="Calibri"/>
                <w:color w:val="000000"/>
              </w:rPr>
              <w:t>0.973</w:t>
            </w:r>
          </w:p>
        </w:tc>
      </w:tr>
      <w:tr w:rsidR="00B533E5" w:rsidRPr="00B533E5" w14:paraId="14BE2E65"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6462C71"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AKT1</w:t>
            </w:r>
          </w:p>
        </w:tc>
        <w:tc>
          <w:tcPr>
            <w:tcW w:w="1200" w:type="dxa"/>
            <w:tcBorders>
              <w:top w:val="nil"/>
              <w:left w:val="nil"/>
              <w:bottom w:val="single" w:sz="4" w:space="0" w:color="auto"/>
              <w:right w:val="single" w:sz="4" w:space="0" w:color="auto"/>
            </w:tcBorders>
            <w:shd w:val="clear" w:color="000000" w:fill="D9E1F2"/>
            <w:noWrap/>
            <w:vAlign w:val="center"/>
            <w:hideMark/>
          </w:tcPr>
          <w:p w14:paraId="1D23A486"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9.3%</w:t>
            </w:r>
          </w:p>
        </w:tc>
        <w:tc>
          <w:tcPr>
            <w:tcW w:w="1200" w:type="dxa"/>
            <w:tcBorders>
              <w:top w:val="nil"/>
              <w:left w:val="nil"/>
              <w:bottom w:val="single" w:sz="4" w:space="0" w:color="auto"/>
              <w:right w:val="single" w:sz="4" w:space="0" w:color="auto"/>
            </w:tcBorders>
            <w:shd w:val="clear" w:color="000000" w:fill="D9E1F2"/>
            <w:noWrap/>
            <w:vAlign w:val="center"/>
            <w:hideMark/>
          </w:tcPr>
          <w:p w14:paraId="7B6B685E"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97</w:t>
            </w:r>
          </w:p>
        </w:tc>
        <w:tc>
          <w:tcPr>
            <w:tcW w:w="1200" w:type="dxa"/>
            <w:tcBorders>
              <w:top w:val="nil"/>
              <w:left w:val="nil"/>
              <w:bottom w:val="single" w:sz="4" w:space="0" w:color="auto"/>
              <w:right w:val="single" w:sz="4" w:space="0" w:color="auto"/>
            </w:tcBorders>
            <w:shd w:val="clear" w:color="000000" w:fill="D9D9D9"/>
            <w:noWrap/>
            <w:vAlign w:val="center"/>
            <w:hideMark/>
          </w:tcPr>
          <w:p w14:paraId="628FC71F"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4.3%</w:t>
            </w:r>
          </w:p>
        </w:tc>
        <w:tc>
          <w:tcPr>
            <w:tcW w:w="1200" w:type="dxa"/>
            <w:tcBorders>
              <w:top w:val="nil"/>
              <w:left w:val="nil"/>
              <w:bottom w:val="single" w:sz="4" w:space="0" w:color="auto"/>
              <w:right w:val="single" w:sz="4" w:space="0" w:color="auto"/>
            </w:tcBorders>
            <w:shd w:val="clear" w:color="000000" w:fill="D9D9D9"/>
            <w:noWrap/>
            <w:vAlign w:val="center"/>
            <w:hideMark/>
          </w:tcPr>
          <w:p w14:paraId="40D6DC89"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395</w:t>
            </w:r>
          </w:p>
        </w:tc>
        <w:tc>
          <w:tcPr>
            <w:tcW w:w="1200" w:type="dxa"/>
            <w:tcBorders>
              <w:top w:val="nil"/>
              <w:left w:val="nil"/>
              <w:bottom w:val="single" w:sz="4" w:space="0" w:color="auto"/>
              <w:right w:val="single" w:sz="4" w:space="0" w:color="auto"/>
            </w:tcBorders>
            <w:shd w:val="clear" w:color="auto" w:fill="auto"/>
            <w:noWrap/>
            <w:vAlign w:val="center"/>
            <w:hideMark/>
          </w:tcPr>
          <w:p w14:paraId="0DD7394E" w14:textId="3D084AA9" w:rsidR="00B533E5" w:rsidRPr="00B533E5" w:rsidRDefault="00B533E5" w:rsidP="00B533E5">
            <w:pPr>
              <w:spacing w:after="0" w:line="240" w:lineRule="auto"/>
              <w:jc w:val="center"/>
              <w:rPr>
                <w:rFonts w:ascii="Calibri" w:eastAsia="Times New Roman" w:hAnsi="Calibri" w:cs="Calibri"/>
                <w:b/>
                <w:bCs/>
                <w:color w:val="000000"/>
              </w:rPr>
            </w:pPr>
            <w:r w:rsidRPr="00B533E5">
              <w:rPr>
                <w:rFonts w:ascii="Calibri" w:eastAsia="Times New Roman" w:hAnsi="Calibri" w:cs="Calibri"/>
                <w:b/>
                <w:bCs/>
                <w:color w:val="000000"/>
              </w:rPr>
              <w:t>0.04</w:t>
            </w:r>
            <w:r>
              <w:rPr>
                <w:rFonts w:ascii="Calibri" w:eastAsia="Times New Roman" w:hAnsi="Calibri" w:cs="Calibri"/>
                <w:b/>
                <w:bCs/>
                <w:color w:val="000000"/>
              </w:rPr>
              <w:t>9</w:t>
            </w:r>
            <w:r w:rsidRPr="00B533E5">
              <w:rPr>
                <w:rFonts w:ascii="Calibri" w:eastAsia="Times New Roman" w:hAnsi="Calibri" w:cs="Calibri"/>
                <w:b/>
                <w:bCs/>
                <w:color w:val="000000"/>
              </w:rPr>
              <w:t>*</w:t>
            </w:r>
          </w:p>
        </w:tc>
      </w:tr>
      <w:tr w:rsidR="00B533E5" w:rsidRPr="00B533E5" w14:paraId="60D30753"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F068FFD"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ERBB2</w:t>
            </w:r>
          </w:p>
        </w:tc>
        <w:tc>
          <w:tcPr>
            <w:tcW w:w="1200" w:type="dxa"/>
            <w:tcBorders>
              <w:top w:val="nil"/>
              <w:left w:val="nil"/>
              <w:bottom w:val="single" w:sz="4" w:space="0" w:color="auto"/>
              <w:right w:val="single" w:sz="4" w:space="0" w:color="auto"/>
            </w:tcBorders>
            <w:shd w:val="clear" w:color="000000" w:fill="D9E1F2"/>
            <w:noWrap/>
            <w:vAlign w:val="center"/>
            <w:hideMark/>
          </w:tcPr>
          <w:p w14:paraId="19CEB8B3"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3.1%</w:t>
            </w:r>
          </w:p>
        </w:tc>
        <w:tc>
          <w:tcPr>
            <w:tcW w:w="1200" w:type="dxa"/>
            <w:tcBorders>
              <w:top w:val="nil"/>
              <w:left w:val="nil"/>
              <w:bottom w:val="single" w:sz="4" w:space="0" w:color="auto"/>
              <w:right w:val="single" w:sz="4" w:space="0" w:color="auto"/>
            </w:tcBorders>
            <w:shd w:val="clear" w:color="000000" w:fill="D9E1F2"/>
            <w:noWrap/>
            <w:vAlign w:val="center"/>
            <w:hideMark/>
          </w:tcPr>
          <w:p w14:paraId="2A907210"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97</w:t>
            </w:r>
          </w:p>
        </w:tc>
        <w:tc>
          <w:tcPr>
            <w:tcW w:w="1200" w:type="dxa"/>
            <w:tcBorders>
              <w:top w:val="nil"/>
              <w:left w:val="nil"/>
              <w:bottom w:val="single" w:sz="4" w:space="0" w:color="auto"/>
              <w:right w:val="single" w:sz="4" w:space="0" w:color="auto"/>
            </w:tcBorders>
            <w:shd w:val="clear" w:color="000000" w:fill="D9D9D9"/>
            <w:noWrap/>
            <w:vAlign w:val="center"/>
            <w:hideMark/>
          </w:tcPr>
          <w:p w14:paraId="02748AC9"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5.1%</w:t>
            </w:r>
          </w:p>
        </w:tc>
        <w:tc>
          <w:tcPr>
            <w:tcW w:w="1200" w:type="dxa"/>
            <w:tcBorders>
              <w:top w:val="nil"/>
              <w:left w:val="nil"/>
              <w:bottom w:val="single" w:sz="4" w:space="0" w:color="auto"/>
              <w:right w:val="single" w:sz="4" w:space="0" w:color="auto"/>
            </w:tcBorders>
            <w:shd w:val="clear" w:color="000000" w:fill="D9D9D9"/>
            <w:noWrap/>
            <w:vAlign w:val="center"/>
            <w:hideMark/>
          </w:tcPr>
          <w:p w14:paraId="4BFCF29F"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395</w:t>
            </w:r>
          </w:p>
        </w:tc>
        <w:tc>
          <w:tcPr>
            <w:tcW w:w="1200" w:type="dxa"/>
            <w:tcBorders>
              <w:top w:val="nil"/>
              <w:left w:val="nil"/>
              <w:bottom w:val="single" w:sz="4" w:space="0" w:color="auto"/>
              <w:right w:val="single" w:sz="4" w:space="0" w:color="auto"/>
            </w:tcBorders>
            <w:shd w:val="clear" w:color="auto" w:fill="auto"/>
            <w:noWrap/>
            <w:vAlign w:val="center"/>
            <w:hideMark/>
          </w:tcPr>
          <w:p w14:paraId="41F4A10B" w14:textId="77777777" w:rsidR="00B533E5" w:rsidRPr="00B533E5" w:rsidRDefault="00B533E5" w:rsidP="00B533E5">
            <w:pPr>
              <w:spacing w:after="0" w:line="240" w:lineRule="auto"/>
              <w:jc w:val="center"/>
              <w:rPr>
                <w:rFonts w:ascii="Calibri" w:eastAsia="Times New Roman" w:hAnsi="Calibri" w:cs="Calibri"/>
                <w:color w:val="000000"/>
              </w:rPr>
            </w:pPr>
            <w:r w:rsidRPr="00B533E5">
              <w:rPr>
                <w:rFonts w:ascii="Calibri" w:eastAsia="Times New Roman" w:hAnsi="Calibri" w:cs="Calibri"/>
                <w:color w:val="000000"/>
              </w:rPr>
              <w:t>0.405</w:t>
            </w:r>
          </w:p>
        </w:tc>
      </w:tr>
      <w:tr w:rsidR="00B533E5" w:rsidRPr="00B533E5" w14:paraId="24D78632"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ACCDD50"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PIK3R1</w:t>
            </w:r>
          </w:p>
        </w:tc>
        <w:tc>
          <w:tcPr>
            <w:tcW w:w="1200" w:type="dxa"/>
            <w:tcBorders>
              <w:top w:val="nil"/>
              <w:left w:val="nil"/>
              <w:bottom w:val="single" w:sz="4" w:space="0" w:color="auto"/>
              <w:right w:val="single" w:sz="4" w:space="0" w:color="auto"/>
            </w:tcBorders>
            <w:shd w:val="clear" w:color="000000" w:fill="D9E1F2"/>
            <w:noWrap/>
            <w:vAlign w:val="center"/>
            <w:hideMark/>
          </w:tcPr>
          <w:p w14:paraId="4052F797"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4.2%</w:t>
            </w:r>
          </w:p>
        </w:tc>
        <w:tc>
          <w:tcPr>
            <w:tcW w:w="1200" w:type="dxa"/>
            <w:tcBorders>
              <w:top w:val="nil"/>
              <w:left w:val="nil"/>
              <w:bottom w:val="single" w:sz="4" w:space="0" w:color="auto"/>
              <w:right w:val="single" w:sz="4" w:space="0" w:color="auto"/>
            </w:tcBorders>
            <w:shd w:val="clear" w:color="000000" w:fill="D9E1F2"/>
            <w:noWrap/>
            <w:vAlign w:val="center"/>
            <w:hideMark/>
          </w:tcPr>
          <w:p w14:paraId="49F1382B"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72</w:t>
            </w:r>
          </w:p>
        </w:tc>
        <w:tc>
          <w:tcPr>
            <w:tcW w:w="1200" w:type="dxa"/>
            <w:tcBorders>
              <w:top w:val="nil"/>
              <w:left w:val="nil"/>
              <w:bottom w:val="single" w:sz="4" w:space="0" w:color="auto"/>
              <w:right w:val="single" w:sz="4" w:space="0" w:color="auto"/>
            </w:tcBorders>
            <w:shd w:val="clear" w:color="000000" w:fill="D9D9D9"/>
            <w:noWrap/>
            <w:vAlign w:val="center"/>
            <w:hideMark/>
          </w:tcPr>
          <w:p w14:paraId="46049B11"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1.0%</w:t>
            </w:r>
          </w:p>
        </w:tc>
        <w:tc>
          <w:tcPr>
            <w:tcW w:w="1200" w:type="dxa"/>
            <w:tcBorders>
              <w:top w:val="nil"/>
              <w:left w:val="nil"/>
              <w:bottom w:val="single" w:sz="4" w:space="0" w:color="auto"/>
              <w:right w:val="single" w:sz="4" w:space="0" w:color="auto"/>
            </w:tcBorders>
            <w:shd w:val="clear" w:color="000000" w:fill="D9D9D9"/>
            <w:noWrap/>
            <w:vAlign w:val="center"/>
            <w:hideMark/>
          </w:tcPr>
          <w:p w14:paraId="39BDC606"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395</w:t>
            </w:r>
          </w:p>
        </w:tc>
        <w:tc>
          <w:tcPr>
            <w:tcW w:w="1200" w:type="dxa"/>
            <w:tcBorders>
              <w:top w:val="nil"/>
              <w:left w:val="nil"/>
              <w:bottom w:val="single" w:sz="4" w:space="0" w:color="auto"/>
              <w:right w:val="single" w:sz="4" w:space="0" w:color="auto"/>
            </w:tcBorders>
            <w:shd w:val="clear" w:color="auto" w:fill="auto"/>
            <w:noWrap/>
            <w:vAlign w:val="center"/>
            <w:hideMark/>
          </w:tcPr>
          <w:p w14:paraId="4062AEC5" w14:textId="097D7BF5" w:rsidR="00B533E5" w:rsidRPr="00B533E5" w:rsidRDefault="00B533E5" w:rsidP="00B533E5">
            <w:pPr>
              <w:spacing w:after="0" w:line="240" w:lineRule="auto"/>
              <w:jc w:val="center"/>
              <w:rPr>
                <w:rFonts w:ascii="Calibri" w:eastAsia="Times New Roman" w:hAnsi="Calibri" w:cs="Calibri"/>
                <w:b/>
                <w:bCs/>
                <w:color w:val="000000"/>
              </w:rPr>
            </w:pPr>
            <w:r w:rsidRPr="00B533E5">
              <w:rPr>
                <w:rFonts w:ascii="Calibri" w:eastAsia="Times New Roman" w:hAnsi="Calibri" w:cs="Calibri"/>
                <w:b/>
                <w:bCs/>
                <w:color w:val="000000"/>
              </w:rPr>
              <w:t>0.0</w:t>
            </w:r>
            <w:r>
              <w:rPr>
                <w:rFonts w:ascii="Calibri" w:eastAsia="Times New Roman" w:hAnsi="Calibri" w:cs="Calibri"/>
                <w:b/>
                <w:bCs/>
                <w:color w:val="000000"/>
              </w:rPr>
              <w:t>40</w:t>
            </w:r>
            <w:r w:rsidRPr="00B533E5">
              <w:rPr>
                <w:rFonts w:ascii="Calibri" w:eastAsia="Times New Roman" w:hAnsi="Calibri" w:cs="Calibri"/>
                <w:b/>
                <w:bCs/>
                <w:color w:val="000000"/>
              </w:rPr>
              <w:t>*</w:t>
            </w:r>
          </w:p>
        </w:tc>
      </w:tr>
      <w:tr w:rsidR="00B533E5" w:rsidRPr="00B533E5" w14:paraId="4DDA667D"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B4402B4"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GATA3</w:t>
            </w:r>
          </w:p>
        </w:tc>
        <w:tc>
          <w:tcPr>
            <w:tcW w:w="1200" w:type="dxa"/>
            <w:tcBorders>
              <w:top w:val="nil"/>
              <w:left w:val="nil"/>
              <w:bottom w:val="single" w:sz="4" w:space="0" w:color="auto"/>
              <w:right w:val="single" w:sz="4" w:space="0" w:color="auto"/>
            </w:tcBorders>
            <w:shd w:val="clear" w:color="000000" w:fill="D9E1F2"/>
            <w:noWrap/>
            <w:vAlign w:val="center"/>
            <w:hideMark/>
          </w:tcPr>
          <w:p w14:paraId="7B28ABB9"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0.0%</w:t>
            </w:r>
          </w:p>
        </w:tc>
        <w:tc>
          <w:tcPr>
            <w:tcW w:w="1200" w:type="dxa"/>
            <w:tcBorders>
              <w:top w:val="nil"/>
              <w:left w:val="nil"/>
              <w:bottom w:val="single" w:sz="4" w:space="0" w:color="auto"/>
              <w:right w:val="single" w:sz="4" w:space="0" w:color="auto"/>
            </w:tcBorders>
            <w:shd w:val="clear" w:color="000000" w:fill="D9E1F2"/>
            <w:noWrap/>
            <w:vAlign w:val="center"/>
            <w:hideMark/>
          </w:tcPr>
          <w:p w14:paraId="6250CD9E"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11</w:t>
            </w:r>
          </w:p>
        </w:tc>
        <w:tc>
          <w:tcPr>
            <w:tcW w:w="1200" w:type="dxa"/>
            <w:tcBorders>
              <w:top w:val="nil"/>
              <w:left w:val="nil"/>
              <w:bottom w:val="single" w:sz="4" w:space="0" w:color="auto"/>
              <w:right w:val="single" w:sz="4" w:space="0" w:color="auto"/>
            </w:tcBorders>
            <w:shd w:val="clear" w:color="000000" w:fill="D9D9D9"/>
            <w:noWrap/>
            <w:vAlign w:val="center"/>
            <w:hideMark/>
          </w:tcPr>
          <w:p w14:paraId="50ED1883"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16.5%</w:t>
            </w:r>
          </w:p>
        </w:tc>
        <w:tc>
          <w:tcPr>
            <w:tcW w:w="1200" w:type="dxa"/>
            <w:tcBorders>
              <w:top w:val="nil"/>
              <w:left w:val="nil"/>
              <w:bottom w:val="single" w:sz="4" w:space="0" w:color="auto"/>
              <w:right w:val="single" w:sz="4" w:space="0" w:color="auto"/>
            </w:tcBorders>
            <w:shd w:val="clear" w:color="000000" w:fill="D9D9D9"/>
            <w:noWrap/>
            <w:vAlign w:val="center"/>
            <w:hideMark/>
          </w:tcPr>
          <w:p w14:paraId="32D24BEE"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395</w:t>
            </w:r>
          </w:p>
        </w:tc>
        <w:tc>
          <w:tcPr>
            <w:tcW w:w="1200" w:type="dxa"/>
            <w:tcBorders>
              <w:top w:val="nil"/>
              <w:left w:val="nil"/>
              <w:bottom w:val="single" w:sz="4" w:space="0" w:color="auto"/>
              <w:right w:val="single" w:sz="4" w:space="0" w:color="auto"/>
            </w:tcBorders>
            <w:shd w:val="clear" w:color="auto" w:fill="auto"/>
            <w:noWrap/>
            <w:vAlign w:val="center"/>
            <w:hideMark/>
          </w:tcPr>
          <w:p w14:paraId="48B7CA58" w14:textId="77777777" w:rsidR="00B533E5" w:rsidRPr="00B533E5" w:rsidRDefault="00B533E5" w:rsidP="00B533E5">
            <w:pPr>
              <w:spacing w:after="0" w:line="240" w:lineRule="auto"/>
              <w:jc w:val="center"/>
              <w:rPr>
                <w:rFonts w:ascii="Calibri" w:eastAsia="Times New Roman" w:hAnsi="Calibri" w:cs="Calibri"/>
                <w:color w:val="000000"/>
              </w:rPr>
            </w:pPr>
            <w:r w:rsidRPr="00B533E5">
              <w:rPr>
                <w:rFonts w:ascii="Calibri" w:eastAsia="Times New Roman" w:hAnsi="Calibri" w:cs="Calibri"/>
                <w:color w:val="000000"/>
              </w:rPr>
              <w:t>0.142</w:t>
            </w:r>
          </w:p>
        </w:tc>
      </w:tr>
      <w:tr w:rsidR="00B533E5" w:rsidRPr="00B533E5" w14:paraId="6146F0D8"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E9A9F0D"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PTEN</w:t>
            </w:r>
          </w:p>
        </w:tc>
        <w:tc>
          <w:tcPr>
            <w:tcW w:w="1200" w:type="dxa"/>
            <w:tcBorders>
              <w:top w:val="nil"/>
              <w:left w:val="nil"/>
              <w:bottom w:val="single" w:sz="4" w:space="0" w:color="auto"/>
              <w:right w:val="single" w:sz="4" w:space="0" w:color="auto"/>
            </w:tcBorders>
            <w:shd w:val="clear" w:color="000000" w:fill="D9E1F2"/>
            <w:noWrap/>
            <w:vAlign w:val="center"/>
            <w:hideMark/>
          </w:tcPr>
          <w:p w14:paraId="1CD4A72B"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2.8%</w:t>
            </w:r>
          </w:p>
        </w:tc>
        <w:tc>
          <w:tcPr>
            <w:tcW w:w="1200" w:type="dxa"/>
            <w:tcBorders>
              <w:top w:val="nil"/>
              <w:left w:val="nil"/>
              <w:bottom w:val="single" w:sz="4" w:space="0" w:color="auto"/>
              <w:right w:val="single" w:sz="4" w:space="0" w:color="auto"/>
            </w:tcBorders>
            <w:shd w:val="clear" w:color="000000" w:fill="D9E1F2"/>
            <w:noWrap/>
            <w:vAlign w:val="center"/>
            <w:hideMark/>
          </w:tcPr>
          <w:p w14:paraId="251DD040"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72</w:t>
            </w:r>
          </w:p>
        </w:tc>
        <w:tc>
          <w:tcPr>
            <w:tcW w:w="1200" w:type="dxa"/>
            <w:tcBorders>
              <w:top w:val="nil"/>
              <w:left w:val="nil"/>
              <w:bottom w:val="single" w:sz="4" w:space="0" w:color="auto"/>
              <w:right w:val="single" w:sz="4" w:space="0" w:color="auto"/>
            </w:tcBorders>
            <w:shd w:val="clear" w:color="000000" w:fill="D9D9D9"/>
            <w:noWrap/>
            <w:vAlign w:val="center"/>
            <w:hideMark/>
          </w:tcPr>
          <w:p w14:paraId="03CAE080"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8.4%</w:t>
            </w:r>
          </w:p>
        </w:tc>
        <w:tc>
          <w:tcPr>
            <w:tcW w:w="1200" w:type="dxa"/>
            <w:tcBorders>
              <w:top w:val="nil"/>
              <w:left w:val="nil"/>
              <w:bottom w:val="single" w:sz="4" w:space="0" w:color="auto"/>
              <w:right w:val="single" w:sz="4" w:space="0" w:color="auto"/>
            </w:tcBorders>
            <w:shd w:val="clear" w:color="000000" w:fill="D9D9D9"/>
            <w:noWrap/>
            <w:vAlign w:val="center"/>
            <w:hideMark/>
          </w:tcPr>
          <w:p w14:paraId="19133949"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395</w:t>
            </w:r>
          </w:p>
        </w:tc>
        <w:tc>
          <w:tcPr>
            <w:tcW w:w="1200" w:type="dxa"/>
            <w:tcBorders>
              <w:top w:val="nil"/>
              <w:left w:val="nil"/>
              <w:bottom w:val="single" w:sz="4" w:space="0" w:color="auto"/>
              <w:right w:val="single" w:sz="4" w:space="0" w:color="auto"/>
            </w:tcBorders>
            <w:shd w:val="clear" w:color="auto" w:fill="auto"/>
            <w:noWrap/>
            <w:vAlign w:val="center"/>
            <w:hideMark/>
          </w:tcPr>
          <w:p w14:paraId="1189747F" w14:textId="77777777" w:rsidR="00B533E5" w:rsidRPr="00B533E5" w:rsidRDefault="00B533E5" w:rsidP="00B533E5">
            <w:pPr>
              <w:spacing w:after="0" w:line="240" w:lineRule="auto"/>
              <w:jc w:val="center"/>
              <w:rPr>
                <w:rFonts w:ascii="Calibri" w:eastAsia="Times New Roman" w:hAnsi="Calibri" w:cs="Calibri"/>
                <w:color w:val="000000"/>
              </w:rPr>
            </w:pPr>
            <w:r w:rsidRPr="00B533E5">
              <w:rPr>
                <w:rFonts w:ascii="Calibri" w:eastAsia="Times New Roman" w:hAnsi="Calibri" w:cs="Calibri"/>
                <w:color w:val="000000"/>
              </w:rPr>
              <w:t> 0.098</w:t>
            </w:r>
          </w:p>
        </w:tc>
      </w:tr>
      <w:tr w:rsidR="00B533E5" w:rsidRPr="00B533E5" w14:paraId="1DFB0BD7"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9927DF5"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EGFR</w:t>
            </w:r>
          </w:p>
        </w:tc>
        <w:tc>
          <w:tcPr>
            <w:tcW w:w="1200" w:type="dxa"/>
            <w:tcBorders>
              <w:top w:val="nil"/>
              <w:left w:val="nil"/>
              <w:bottom w:val="single" w:sz="4" w:space="0" w:color="auto"/>
              <w:right w:val="single" w:sz="4" w:space="0" w:color="auto"/>
            </w:tcBorders>
            <w:shd w:val="clear" w:color="000000" w:fill="D9E1F2"/>
            <w:noWrap/>
            <w:vAlign w:val="center"/>
            <w:hideMark/>
          </w:tcPr>
          <w:p w14:paraId="03F72B00"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2.1%</w:t>
            </w:r>
          </w:p>
        </w:tc>
        <w:tc>
          <w:tcPr>
            <w:tcW w:w="1200" w:type="dxa"/>
            <w:tcBorders>
              <w:top w:val="nil"/>
              <w:left w:val="nil"/>
              <w:bottom w:val="single" w:sz="4" w:space="0" w:color="auto"/>
              <w:right w:val="single" w:sz="4" w:space="0" w:color="auto"/>
            </w:tcBorders>
            <w:shd w:val="clear" w:color="000000" w:fill="D9E1F2"/>
            <w:noWrap/>
            <w:vAlign w:val="center"/>
            <w:hideMark/>
          </w:tcPr>
          <w:p w14:paraId="3C395061"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97</w:t>
            </w:r>
          </w:p>
        </w:tc>
        <w:tc>
          <w:tcPr>
            <w:tcW w:w="1200" w:type="dxa"/>
            <w:tcBorders>
              <w:top w:val="nil"/>
              <w:left w:val="nil"/>
              <w:bottom w:val="single" w:sz="4" w:space="0" w:color="auto"/>
              <w:right w:val="single" w:sz="4" w:space="0" w:color="auto"/>
            </w:tcBorders>
            <w:shd w:val="clear" w:color="000000" w:fill="D9D9D9"/>
            <w:noWrap/>
            <w:vAlign w:val="center"/>
            <w:hideMark/>
          </w:tcPr>
          <w:p w14:paraId="7DCD679C"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1.3%</w:t>
            </w:r>
          </w:p>
        </w:tc>
        <w:tc>
          <w:tcPr>
            <w:tcW w:w="1200" w:type="dxa"/>
            <w:tcBorders>
              <w:top w:val="nil"/>
              <w:left w:val="nil"/>
              <w:bottom w:val="single" w:sz="4" w:space="0" w:color="auto"/>
              <w:right w:val="single" w:sz="4" w:space="0" w:color="auto"/>
            </w:tcBorders>
            <w:shd w:val="clear" w:color="000000" w:fill="D9D9D9"/>
            <w:noWrap/>
            <w:vAlign w:val="center"/>
            <w:hideMark/>
          </w:tcPr>
          <w:p w14:paraId="4C0CCBB9"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395</w:t>
            </w:r>
          </w:p>
        </w:tc>
        <w:tc>
          <w:tcPr>
            <w:tcW w:w="1200" w:type="dxa"/>
            <w:tcBorders>
              <w:top w:val="nil"/>
              <w:left w:val="nil"/>
              <w:bottom w:val="single" w:sz="4" w:space="0" w:color="auto"/>
              <w:right w:val="single" w:sz="4" w:space="0" w:color="auto"/>
            </w:tcBorders>
            <w:shd w:val="clear" w:color="auto" w:fill="auto"/>
            <w:noWrap/>
            <w:vAlign w:val="center"/>
            <w:hideMark/>
          </w:tcPr>
          <w:p w14:paraId="21F06262" w14:textId="77777777" w:rsidR="00B533E5" w:rsidRPr="00B533E5" w:rsidRDefault="00B533E5" w:rsidP="00B533E5">
            <w:pPr>
              <w:spacing w:after="0" w:line="240" w:lineRule="auto"/>
              <w:jc w:val="center"/>
              <w:rPr>
                <w:rFonts w:ascii="Calibri" w:eastAsia="Times New Roman" w:hAnsi="Calibri" w:cs="Calibri"/>
                <w:color w:val="000000"/>
              </w:rPr>
            </w:pPr>
            <w:r w:rsidRPr="00B533E5">
              <w:rPr>
                <w:rFonts w:ascii="Calibri" w:eastAsia="Times New Roman" w:hAnsi="Calibri" w:cs="Calibri"/>
                <w:color w:val="000000"/>
              </w:rPr>
              <w:t>0.556</w:t>
            </w:r>
          </w:p>
        </w:tc>
      </w:tr>
      <w:tr w:rsidR="00B533E5" w:rsidRPr="00B533E5" w14:paraId="44B02DE6"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3020076"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APC</w:t>
            </w:r>
          </w:p>
        </w:tc>
        <w:tc>
          <w:tcPr>
            <w:tcW w:w="1200" w:type="dxa"/>
            <w:tcBorders>
              <w:top w:val="nil"/>
              <w:left w:val="nil"/>
              <w:bottom w:val="single" w:sz="4" w:space="0" w:color="auto"/>
              <w:right w:val="single" w:sz="4" w:space="0" w:color="auto"/>
            </w:tcBorders>
            <w:shd w:val="clear" w:color="000000" w:fill="D9E1F2"/>
            <w:noWrap/>
            <w:vAlign w:val="center"/>
            <w:hideMark/>
          </w:tcPr>
          <w:p w14:paraId="3ED8820A"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1.4%</w:t>
            </w:r>
          </w:p>
        </w:tc>
        <w:tc>
          <w:tcPr>
            <w:tcW w:w="1200" w:type="dxa"/>
            <w:tcBorders>
              <w:top w:val="nil"/>
              <w:left w:val="nil"/>
              <w:bottom w:val="single" w:sz="4" w:space="0" w:color="auto"/>
              <w:right w:val="single" w:sz="4" w:space="0" w:color="auto"/>
            </w:tcBorders>
            <w:shd w:val="clear" w:color="000000" w:fill="D9E1F2"/>
            <w:noWrap/>
            <w:vAlign w:val="center"/>
            <w:hideMark/>
          </w:tcPr>
          <w:p w14:paraId="130184F0"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72</w:t>
            </w:r>
          </w:p>
        </w:tc>
        <w:tc>
          <w:tcPr>
            <w:tcW w:w="1200" w:type="dxa"/>
            <w:tcBorders>
              <w:top w:val="nil"/>
              <w:left w:val="nil"/>
              <w:bottom w:val="single" w:sz="4" w:space="0" w:color="auto"/>
              <w:right w:val="single" w:sz="4" w:space="0" w:color="auto"/>
            </w:tcBorders>
            <w:shd w:val="clear" w:color="000000" w:fill="D9D9D9"/>
            <w:noWrap/>
            <w:vAlign w:val="center"/>
            <w:hideMark/>
          </w:tcPr>
          <w:p w14:paraId="3C55B3B8"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1.5%</w:t>
            </w:r>
          </w:p>
        </w:tc>
        <w:tc>
          <w:tcPr>
            <w:tcW w:w="1200" w:type="dxa"/>
            <w:tcBorders>
              <w:top w:val="nil"/>
              <w:left w:val="nil"/>
              <w:bottom w:val="single" w:sz="4" w:space="0" w:color="auto"/>
              <w:right w:val="single" w:sz="4" w:space="0" w:color="auto"/>
            </w:tcBorders>
            <w:shd w:val="clear" w:color="000000" w:fill="D9D9D9"/>
            <w:noWrap/>
            <w:vAlign w:val="center"/>
            <w:hideMark/>
          </w:tcPr>
          <w:p w14:paraId="3EDC6D17"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395</w:t>
            </w:r>
          </w:p>
        </w:tc>
        <w:tc>
          <w:tcPr>
            <w:tcW w:w="1200" w:type="dxa"/>
            <w:tcBorders>
              <w:top w:val="nil"/>
              <w:left w:val="nil"/>
              <w:bottom w:val="single" w:sz="4" w:space="0" w:color="auto"/>
              <w:right w:val="single" w:sz="4" w:space="0" w:color="auto"/>
            </w:tcBorders>
            <w:shd w:val="clear" w:color="auto" w:fill="auto"/>
            <w:noWrap/>
            <w:vAlign w:val="center"/>
            <w:hideMark/>
          </w:tcPr>
          <w:p w14:paraId="2951DDA1" w14:textId="77777777" w:rsidR="00B533E5" w:rsidRPr="00B533E5" w:rsidRDefault="00B533E5" w:rsidP="00B533E5">
            <w:pPr>
              <w:spacing w:after="0" w:line="240" w:lineRule="auto"/>
              <w:jc w:val="center"/>
              <w:rPr>
                <w:rFonts w:ascii="Calibri" w:eastAsia="Times New Roman" w:hAnsi="Calibri" w:cs="Calibri"/>
                <w:color w:val="000000"/>
              </w:rPr>
            </w:pPr>
            <w:r w:rsidRPr="00B533E5">
              <w:rPr>
                <w:rFonts w:ascii="Calibri" w:eastAsia="Times New Roman" w:hAnsi="Calibri" w:cs="Calibri"/>
                <w:color w:val="000000"/>
              </w:rPr>
              <w:t>0.949</w:t>
            </w:r>
          </w:p>
        </w:tc>
      </w:tr>
      <w:tr w:rsidR="00B533E5" w:rsidRPr="00B533E5" w14:paraId="23A96F4A"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5DDA42D"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CDH1</w:t>
            </w:r>
          </w:p>
        </w:tc>
        <w:tc>
          <w:tcPr>
            <w:tcW w:w="1200" w:type="dxa"/>
            <w:tcBorders>
              <w:top w:val="nil"/>
              <w:left w:val="nil"/>
              <w:bottom w:val="single" w:sz="4" w:space="0" w:color="auto"/>
              <w:right w:val="single" w:sz="4" w:space="0" w:color="auto"/>
            </w:tcBorders>
            <w:shd w:val="clear" w:color="000000" w:fill="D9E1F2"/>
            <w:noWrap/>
            <w:vAlign w:val="center"/>
            <w:hideMark/>
          </w:tcPr>
          <w:p w14:paraId="12F0211A"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1.4%</w:t>
            </w:r>
          </w:p>
        </w:tc>
        <w:tc>
          <w:tcPr>
            <w:tcW w:w="1200" w:type="dxa"/>
            <w:tcBorders>
              <w:top w:val="nil"/>
              <w:left w:val="nil"/>
              <w:bottom w:val="single" w:sz="4" w:space="0" w:color="auto"/>
              <w:right w:val="single" w:sz="4" w:space="0" w:color="auto"/>
            </w:tcBorders>
            <w:shd w:val="clear" w:color="000000" w:fill="D9E1F2"/>
            <w:noWrap/>
            <w:vAlign w:val="center"/>
            <w:hideMark/>
          </w:tcPr>
          <w:p w14:paraId="21329240"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72</w:t>
            </w:r>
          </w:p>
        </w:tc>
        <w:tc>
          <w:tcPr>
            <w:tcW w:w="1200" w:type="dxa"/>
            <w:tcBorders>
              <w:top w:val="nil"/>
              <w:left w:val="nil"/>
              <w:bottom w:val="single" w:sz="4" w:space="0" w:color="auto"/>
              <w:right w:val="single" w:sz="4" w:space="0" w:color="auto"/>
            </w:tcBorders>
            <w:shd w:val="clear" w:color="000000" w:fill="D9D9D9"/>
            <w:noWrap/>
            <w:vAlign w:val="center"/>
            <w:hideMark/>
          </w:tcPr>
          <w:p w14:paraId="2C2176BF"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13.7%</w:t>
            </w:r>
          </w:p>
        </w:tc>
        <w:tc>
          <w:tcPr>
            <w:tcW w:w="1200" w:type="dxa"/>
            <w:tcBorders>
              <w:top w:val="nil"/>
              <w:left w:val="nil"/>
              <w:bottom w:val="single" w:sz="4" w:space="0" w:color="auto"/>
              <w:right w:val="single" w:sz="4" w:space="0" w:color="auto"/>
            </w:tcBorders>
            <w:shd w:val="clear" w:color="000000" w:fill="D9D9D9"/>
            <w:noWrap/>
            <w:vAlign w:val="center"/>
            <w:hideMark/>
          </w:tcPr>
          <w:p w14:paraId="1AD53A88"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395</w:t>
            </w:r>
          </w:p>
        </w:tc>
        <w:tc>
          <w:tcPr>
            <w:tcW w:w="1200" w:type="dxa"/>
            <w:tcBorders>
              <w:top w:val="nil"/>
              <w:left w:val="nil"/>
              <w:bottom w:val="single" w:sz="4" w:space="0" w:color="auto"/>
              <w:right w:val="single" w:sz="4" w:space="0" w:color="auto"/>
            </w:tcBorders>
            <w:shd w:val="clear" w:color="auto" w:fill="auto"/>
            <w:noWrap/>
            <w:vAlign w:val="center"/>
            <w:hideMark/>
          </w:tcPr>
          <w:p w14:paraId="01332F47" w14:textId="77777777" w:rsidR="00B533E5" w:rsidRPr="00B533E5" w:rsidRDefault="00B533E5" w:rsidP="00B533E5">
            <w:pPr>
              <w:spacing w:after="0" w:line="240" w:lineRule="auto"/>
              <w:jc w:val="center"/>
              <w:rPr>
                <w:rFonts w:ascii="Calibri" w:eastAsia="Times New Roman" w:hAnsi="Calibri" w:cs="Calibri"/>
                <w:b/>
                <w:bCs/>
                <w:color w:val="000000"/>
              </w:rPr>
            </w:pPr>
            <w:r w:rsidRPr="00B533E5">
              <w:rPr>
                <w:rFonts w:ascii="Calibri" w:eastAsia="Times New Roman" w:hAnsi="Calibri" w:cs="Calibri"/>
                <w:b/>
                <w:bCs/>
                <w:color w:val="000000"/>
              </w:rPr>
              <w:t>0.003*</w:t>
            </w:r>
          </w:p>
        </w:tc>
      </w:tr>
      <w:tr w:rsidR="00B533E5" w:rsidRPr="00B533E5" w14:paraId="493C245E"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61F4213"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JAK1</w:t>
            </w:r>
          </w:p>
        </w:tc>
        <w:tc>
          <w:tcPr>
            <w:tcW w:w="1200" w:type="dxa"/>
            <w:tcBorders>
              <w:top w:val="nil"/>
              <w:left w:val="nil"/>
              <w:bottom w:val="single" w:sz="4" w:space="0" w:color="auto"/>
              <w:right w:val="single" w:sz="4" w:space="0" w:color="auto"/>
            </w:tcBorders>
            <w:shd w:val="clear" w:color="000000" w:fill="D9E1F2"/>
            <w:noWrap/>
            <w:vAlign w:val="center"/>
            <w:hideMark/>
          </w:tcPr>
          <w:p w14:paraId="6836B039"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0.0%</w:t>
            </w:r>
          </w:p>
        </w:tc>
        <w:tc>
          <w:tcPr>
            <w:tcW w:w="1200" w:type="dxa"/>
            <w:tcBorders>
              <w:top w:val="nil"/>
              <w:left w:val="nil"/>
              <w:bottom w:val="single" w:sz="4" w:space="0" w:color="auto"/>
              <w:right w:val="single" w:sz="4" w:space="0" w:color="auto"/>
            </w:tcBorders>
            <w:shd w:val="clear" w:color="000000" w:fill="D9E1F2"/>
            <w:noWrap/>
            <w:vAlign w:val="center"/>
            <w:hideMark/>
          </w:tcPr>
          <w:p w14:paraId="151370A6"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61</w:t>
            </w:r>
          </w:p>
        </w:tc>
        <w:tc>
          <w:tcPr>
            <w:tcW w:w="1200" w:type="dxa"/>
            <w:tcBorders>
              <w:top w:val="nil"/>
              <w:left w:val="nil"/>
              <w:bottom w:val="single" w:sz="4" w:space="0" w:color="auto"/>
              <w:right w:val="single" w:sz="4" w:space="0" w:color="auto"/>
            </w:tcBorders>
            <w:shd w:val="clear" w:color="000000" w:fill="D9D9D9"/>
            <w:noWrap/>
            <w:vAlign w:val="center"/>
            <w:hideMark/>
          </w:tcPr>
          <w:p w14:paraId="25D54009"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2.0%</w:t>
            </w:r>
          </w:p>
        </w:tc>
        <w:tc>
          <w:tcPr>
            <w:tcW w:w="1200" w:type="dxa"/>
            <w:tcBorders>
              <w:top w:val="nil"/>
              <w:left w:val="nil"/>
              <w:bottom w:val="single" w:sz="4" w:space="0" w:color="auto"/>
              <w:right w:val="single" w:sz="4" w:space="0" w:color="auto"/>
            </w:tcBorders>
            <w:shd w:val="clear" w:color="000000" w:fill="D9D9D9"/>
            <w:noWrap/>
            <w:vAlign w:val="center"/>
            <w:hideMark/>
          </w:tcPr>
          <w:p w14:paraId="010667CC"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395</w:t>
            </w:r>
          </w:p>
        </w:tc>
        <w:tc>
          <w:tcPr>
            <w:tcW w:w="1200" w:type="dxa"/>
            <w:tcBorders>
              <w:top w:val="nil"/>
              <w:left w:val="nil"/>
              <w:bottom w:val="single" w:sz="4" w:space="0" w:color="auto"/>
              <w:right w:val="single" w:sz="4" w:space="0" w:color="auto"/>
            </w:tcBorders>
            <w:shd w:val="clear" w:color="auto" w:fill="auto"/>
            <w:noWrap/>
            <w:vAlign w:val="center"/>
            <w:hideMark/>
          </w:tcPr>
          <w:p w14:paraId="6DC8BE5F" w14:textId="77777777" w:rsidR="00B533E5" w:rsidRPr="00B533E5" w:rsidRDefault="00B533E5" w:rsidP="00B533E5">
            <w:pPr>
              <w:spacing w:after="0" w:line="240" w:lineRule="auto"/>
              <w:jc w:val="center"/>
              <w:rPr>
                <w:rFonts w:ascii="Calibri" w:eastAsia="Times New Roman" w:hAnsi="Calibri" w:cs="Calibri"/>
                <w:color w:val="000000"/>
              </w:rPr>
            </w:pPr>
            <w:r w:rsidRPr="00B533E5">
              <w:rPr>
                <w:rFonts w:ascii="Calibri" w:eastAsia="Times New Roman" w:hAnsi="Calibri" w:cs="Calibri"/>
                <w:color w:val="000000"/>
              </w:rPr>
              <w:t>0.266</w:t>
            </w:r>
          </w:p>
        </w:tc>
      </w:tr>
      <w:tr w:rsidR="00B533E5" w:rsidRPr="00B533E5" w14:paraId="69A73C59"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34C1812"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CDKN2A</w:t>
            </w:r>
          </w:p>
        </w:tc>
        <w:tc>
          <w:tcPr>
            <w:tcW w:w="1200" w:type="dxa"/>
            <w:tcBorders>
              <w:top w:val="nil"/>
              <w:left w:val="nil"/>
              <w:bottom w:val="single" w:sz="4" w:space="0" w:color="auto"/>
              <w:right w:val="single" w:sz="4" w:space="0" w:color="auto"/>
            </w:tcBorders>
            <w:shd w:val="clear" w:color="000000" w:fill="D9E1F2"/>
            <w:noWrap/>
            <w:vAlign w:val="center"/>
            <w:hideMark/>
          </w:tcPr>
          <w:p w14:paraId="39442FEC"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1.4%</w:t>
            </w:r>
          </w:p>
        </w:tc>
        <w:tc>
          <w:tcPr>
            <w:tcW w:w="1200" w:type="dxa"/>
            <w:tcBorders>
              <w:top w:val="nil"/>
              <w:left w:val="nil"/>
              <w:bottom w:val="single" w:sz="4" w:space="0" w:color="auto"/>
              <w:right w:val="single" w:sz="4" w:space="0" w:color="auto"/>
            </w:tcBorders>
            <w:shd w:val="clear" w:color="000000" w:fill="D9E1F2"/>
            <w:noWrap/>
            <w:vAlign w:val="center"/>
            <w:hideMark/>
          </w:tcPr>
          <w:p w14:paraId="07EF5238"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72</w:t>
            </w:r>
          </w:p>
        </w:tc>
        <w:tc>
          <w:tcPr>
            <w:tcW w:w="1200" w:type="dxa"/>
            <w:tcBorders>
              <w:top w:val="nil"/>
              <w:left w:val="nil"/>
              <w:bottom w:val="single" w:sz="4" w:space="0" w:color="auto"/>
              <w:right w:val="single" w:sz="4" w:space="0" w:color="auto"/>
            </w:tcBorders>
            <w:shd w:val="clear" w:color="000000" w:fill="D9D9D9"/>
            <w:noWrap/>
            <w:vAlign w:val="center"/>
            <w:hideMark/>
          </w:tcPr>
          <w:p w14:paraId="0331EDE3"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0.5%</w:t>
            </w:r>
          </w:p>
        </w:tc>
        <w:tc>
          <w:tcPr>
            <w:tcW w:w="1200" w:type="dxa"/>
            <w:tcBorders>
              <w:top w:val="nil"/>
              <w:left w:val="nil"/>
              <w:bottom w:val="single" w:sz="4" w:space="0" w:color="auto"/>
              <w:right w:val="single" w:sz="4" w:space="0" w:color="auto"/>
            </w:tcBorders>
            <w:shd w:val="clear" w:color="000000" w:fill="D9D9D9"/>
            <w:noWrap/>
            <w:vAlign w:val="center"/>
            <w:hideMark/>
          </w:tcPr>
          <w:p w14:paraId="2D7FD224"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395</w:t>
            </w:r>
          </w:p>
        </w:tc>
        <w:tc>
          <w:tcPr>
            <w:tcW w:w="1200" w:type="dxa"/>
            <w:tcBorders>
              <w:top w:val="nil"/>
              <w:left w:val="nil"/>
              <w:bottom w:val="single" w:sz="4" w:space="0" w:color="auto"/>
              <w:right w:val="single" w:sz="4" w:space="0" w:color="auto"/>
            </w:tcBorders>
            <w:shd w:val="clear" w:color="auto" w:fill="auto"/>
            <w:noWrap/>
            <w:vAlign w:val="center"/>
            <w:hideMark/>
          </w:tcPr>
          <w:p w14:paraId="1BAD7D29" w14:textId="77777777" w:rsidR="00B533E5" w:rsidRPr="00B533E5" w:rsidRDefault="00B533E5" w:rsidP="00B533E5">
            <w:pPr>
              <w:spacing w:after="0" w:line="240" w:lineRule="auto"/>
              <w:jc w:val="center"/>
              <w:rPr>
                <w:rFonts w:ascii="Calibri" w:eastAsia="Times New Roman" w:hAnsi="Calibri" w:cs="Calibri"/>
                <w:color w:val="000000"/>
              </w:rPr>
            </w:pPr>
            <w:r w:rsidRPr="00B533E5">
              <w:rPr>
                <w:rFonts w:ascii="Calibri" w:eastAsia="Times New Roman" w:hAnsi="Calibri" w:cs="Calibri"/>
                <w:color w:val="000000"/>
              </w:rPr>
              <w:t>0.379</w:t>
            </w:r>
          </w:p>
        </w:tc>
      </w:tr>
      <w:tr w:rsidR="00B533E5" w:rsidRPr="00B533E5" w14:paraId="633A9959"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FC313D9"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FBXW7</w:t>
            </w:r>
          </w:p>
        </w:tc>
        <w:tc>
          <w:tcPr>
            <w:tcW w:w="1200" w:type="dxa"/>
            <w:tcBorders>
              <w:top w:val="nil"/>
              <w:left w:val="nil"/>
              <w:bottom w:val="single" w:sz="4" w:space="0" w:color="auto"/>
              <w:right w:val="single" w:sz="4" w:space="0" w:color="auto"/>
            </w:tcBorders>
            <w:shd w:val="clear" w:color="000000" w:fill="D9E1F2"/>
            <w:noWrap/>
            <w:vAlign w:val="center"/>
            <w:hideMark/>
          </w:tcPr>
          <w:p w14:paraId="09DD4CCB"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0.0%</w:t>
            </w:r>
          </w:p>
        </w:tc>
        <w:tc>
          <w:tcPr>
            <w:tcW w:w="1200" w:type="dxa"/>
            <w:tcBorders>
              <w:top w:val="nil"/>
              <w:left w:val="nil"/>
              <w:bottom w:val="single" w:sz="4" w:space="0" w:color="auto"/>
              <w:right w:val="single" w:sz="4" w:space="0" w:color="auto"/>
            </w:tcBorders>
            <w:shd w:val="clear" w:color="000000" w:fill="D9E1F2"/>
            <w:noWrap/>
            <w:vAlign w:val="center"/>
            <w:hideMark/>
          </w:tcPr>
          <w:p w14:paraId="09D7BCE0"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72</w:t>
            </w:r>
          </w:p>
        </w:tc>
        <w:tc>
          <w:tcPr>
            <w:tcW w:w="1200" w:type="dxa"/>
            <w:tcBorders>
              <w:top w:val="nil"/>
              <w:left w:val="nil"/>
              <w:bottom w:val="single" w:sz="4" w:space="0" w:color="auto"/>
              <w:right w:val="single" w:sz="4" w:space="0" w:color="auto"/>
            </w:tcBorders>
            <w:shd w:val="clear" w:color="000000" w:fill="D9D9D9"/>
            <w:noWrap/>
            <w:vAlign w:val="center"/>
            <w:hideMark/>
          </w:tcPr>
          <w:p w14:paraId="34758889"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1.0%</w:t>
            </w:r>
          </w:p>
        </w:tc>
        <w:tc>
          <w:tcPr>
            <w:tcW w:w="1200" w:type="dxa"/>
            <w:tcBorders>
              <w:top w:val="nil"/>
              <w:left w:val="nil"/>
              <w:bottom w:val="single" w:sz="4" w:space="0" w:color="auto"/>
              <w:right w:val="single" w:sz="4" w:space="0" w:color="auto"/>
            </w:tcBorders>
            <w:shd w:val="clear" w:color="000000" w:fill="D9D9D9"/>
            <w:noWrap/>
            <w:vAlign w:val="center"/>
            <w:hideMark/>
          </w:tcPr>
          <w:p w14:paraId="1C03BB3A"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395</w:t>
            </w:r>
          </w:p>
        </w:tc>
        <w:tc>
          <w:tcPr>
            <w:tcW w:w="1200" w:type="dxa"/>
            <w:tcBorders>
              <w:top w:val="nil"/>
              <w:left w:val="nil"/>
              <w:bottom w:val="single" w:sz="4" w:space="0" w:color="auto"/>
              <w:right w:val="single" w:sz="4" w:space="0" w:color="auto"/>
            </w:tcBorders>
            <w:shd w:val="clear" w:color="auto" w:fill="auto"/>
            <w:noWrap/>
            <w:vAlign w:val="center"/>
            <w:hideMark/>
          </w:tcPr>
          <w:p w14:paraId="5632502C" w14:textId="77777777" w:rsidR="00B533E5" w:rsidRPr="00B533E5" w:rsidRDefault="00B533E5" w:rsidP="00B533E5">
            <w:pPr>
              <w:spacing w:after="0" w:line="240" w:lineRule="auto"/>
              <w:jc w:val="center"/>
              <w:rPr>
                <w:rFonts w:ascii="Calibri" w:eastAsia="Times New Roman" w:hAnsi="Calibri" w:cs="Calibri"/>
                <w:color w:val="000000"/>
              </w:rPr>
            </w:pPr>
            <w:r w:rsidRPr="00B533E5">
              <w:rPr>
                <w:rFonts w:ascii="Calibri" w:eastAsia="Times New Roman" w:hAnsi="Calibri" w:cs="Calibri"/>
                <w:color w:val="000000"/>
              </w:rPr>
              <w:t>0.395</w:t>
            </w:r>
          </w:p>
        </w:tc>
      </w:tr>
      <w:tr w:rsidR="00B533E5" w:rsidRPr="00B533E5" w14:paraId="3FCD7476"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A19E4B7"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RUNX1</w:t>
            </w:r>
          </w:p>
        </w:tc>
        <w:tc>
          <w:tcPr>
            <w:tcW w:w="1200" w:type="dxa"/>
            <w:tcBorders>
              <w:top w:val="nil"/>
              <w:left w:val="nil"/>
              <w:bottom w:val="single" w:sz="4" w:space="0" w:color="auto"/>
              <w:right w:val="single" w:sz="4" w:space="0" w:color="auto"/>
            </w:tcBorders>
            <w:shd w:val="clear" w:color="000000" w:fill="D9E1F2"/>
            <w:noWrap/>
            <w:vAlign w:val="center"/>
            <w:hideMark/>
          </w:tcPr>
          <w:p w14:paraId="2E682436"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0.0%</w:t>
            </w:r>
          </w:p>
        </w:tc>
        <w:tc>
          <w:tcPr>
            <w:tcW w:w="1200" w:type="dxa"/>
            <w:tcBorders>
              <w:top w:val="nil"/>
              <w:left w:val="nil"/>
              <w:bottom w:val="single" w:sz="4" w:space="0" w:color="auto"/>
              <w:right w:val="single" w:sz="4" w:space="0" w:color="auto"/>
            </w:tcBorders>
            <w:shd w:val="clear" w:color="000000" w:fill="D9E1F2"/>
            <w:noWrap/>
            <w:vAlign w:val="center"/>
            <w:hideMark/>
          </w:tcPr>
          <w:p w14:paraId="6C41FC63"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72</w:t>
            </w:r>
          </w:p>
        </w:tc>
        <w:tc>
          <w:tcPr>
            <w:tcW w:w="1200" w:type="dxa"/>
            <w:tcBorders>
              <w:top w:val="nil"/>
              <w:left w:val="nil"/>
              <w:bottom w:val="single" w:sz="4" w:space="0" w:color="auto"/>
              <w:right w:val="single" w:sz="4" w:space="0" w:color="auto"/>
            </w:tcBorders>
            <w:shd w:val="clear" w:color="000000" w:fill="D9D9D9"/>
            <w:noWrap/>
            <w:vAlign w:val="center"/>
            <w:hideMark/>
          </w:tcPr>
          <w:p w14:paraId="3A7C5AD3"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4.8%</w:t>
            </w:r>
          </w:p>
        </w:tc>
        <w:tc>
          <w:tcPr>
            <w:tcW w:w="1200" w:type="dxa"/>
            <w:tcBorders>
              <w:top w:val="nil"/>
              <w:left w:val="nil"/>
              <w:bottom w:val="single" w:sz="4" w:space="0" w:color="auto"/>
              <w:right w:val="single" w:sz="4" w:space="0" w:color="auto"/>
            </w:tcBorders>
            <w:shd w:val="clear" w:color="000000" w:fill="D9D9D9"/>
            <w:noWrap/>
            <w:vAlign w:val="center"/>
            <w:hideMark/>
          </w:tcPr>
          <w:p w14:paraId="4FB52A0B"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395</w:t>
            </w:r>
          </w:p>
        </w:tc>
        <w:tc>
          <w:tcPr>
            <w:tcW w:w="1200" w:type="dxa"/>
            <w:tcBorders>
              <w:top w:val="nil"/>
              <w:left w:val="nil"/>
              <w:bottom w:val="single" w:sz="4" w:space="0" w:color="auto"/>
              <w:right w:val="single" w:sz="4" w:space="0" w:color="auto"/>
            </w:tcBorders>
            <w:shd w:val="clear" w:color="auto" w:fill="auto"/>
            <w:noWrap/>
            <w:vAlign w:val="center"/>
            <w:hideMark/>
          </w:tcPr>
          <w:p w14:paraId="741AB638" w14:textId="77777777" w:rsidR="00B533E5" w:rsidRPr="00B533E5" w:rsidRDefault="00B533E5" w:rsidP="00B533E5">
            <w:pPr>
              <w:spacing w:after="0" w:line="240" w:lineRule="auto"/>
              <w:jc w:val="center"/>
              <w:rPr>
                <w:rFonts w:ascii="Calibri" w:eastAsia="Times New Roman" w:hAnsi="Calibri" w:cs="Calibri"/>
                <w:color w:val="000000"/>
              </w:rPr>
            </w:pPr>
            <w:r w:rsidRPr="00B533E5">
              <w:rPr>
                <w:rFonts w:ascii="Calibri" w:eastAsia="Times New Roman" w:hAnsi="Calibri" w:cs="Calibri"/>
                <w:color w:val="000000"/>
              </w:rPr>
              <w:t>0.058</w:t>
            </w:r>
          </w:p>
        </w:tc>
      </w:tr>
      <w:tr w:rsidR="00B533E5" w:rsidRPr="00B533E5" w14:paraId="0EA6D9A8"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7F99EEB"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FGFR1</w:t>
            </w:r>
          </w:p>
        </w:tc>
        <w:tc>
          <w:tcPr>
            <w:tcW w:w="1200" w:type="dxa"/>
            <w:tcBorders>
              <w:top w:val="nil"/>
              <w:left w:val="nil"/>
              <w:bottom w:val="single" w:sz="4" w:space="0" w:color="auto"/>
              <w:right w:val="single" w:sz="4" w:space="0" w:color="auto"/>
            </w:tcBorders>
            <w:shd w:val="clear" w:color="000000" w:fill="D9E1F2"/>
            <w:noWrap/>
            <w:vAlign w:val="center"/>
            <w:hideMark/>
          </w:tcPr>
          <w:p w14:paraId="4E528539"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0.0%</w:t>
            </w:r>
          </w:p>
        </w:tc>
        <w:tc>
          <w:tcPr>
            <w:tcW w:w="1200" w:type="dxa"/>
            <w:tcBorders>
              <w:top w:val="nil"/>
              <w:left w:val="nil"/>
              <w:bottom w:val="single" w:sz="4" w:space="0" w:color="auto"/>
              <w:right w:val="single" w:sz="4" w:space="0" w:color="auto"/>
            </w:tcBorders>
            <w:shd w:val="clear" w:color="000000" w:fill="D9E1F2"/>
            <w:noWrap/>
            <w:vAlign w:val="center"/>
            <w:hideMark/>
          </w:tcPr>
          <w:p w14:paraId="4ECDAC1B"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86</w:t>
            </w:r>
          </w:p>
        </w:tc>
        <w:tc>
          <w:tcPr>
            <w:tcW w:w="1200" w:type="dxa"/>
            <w:tcBorders>
              <w:top w:val="nil"/>
              <w:left w:val="nil"/>
              <w:bottom w:val="single" w:sz="4" w:space="0" w:color="auto"/>
              <w:right w:val="single" w:sz="4" w:space="0" w:color="auto"/>
            </w:tcBorders>
            <w:shd w:val="clear" w:color="000000" w:fill="D9D9D9"/>
            <w:noWrap/>
            <w:vAlign w:val="center"/>
            <w:hideMark/>
          </w:tcPr>
          <w:p w14:paraId="43505DD4"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0.8%</w:t>
            </w:r>
          </w:p>
        </w:tc>
        <w:tc>
          <w:tcPr>
            <w:tcW w:w="1200" w:type="dxa"/>
            <w:tcBorders>
              <w:top w:val="nil"/>
              <w:left w:val="nil"/>
              <w:bottom w:val="single" w:sz="4" w:space="0" w:color="auto"/>
              <w:right w:val="single" w:sz="4" w:space="0" w:color="auto"/>
            </w:tcBorders>
            <w:shd w:val="clear" w:color="000000" w:fill="D9D9D9"/>
            <w:noWrap/>
            <w:vAlign w:val="center"/>
            <w:hideMark/>
          </w:tcPr>
          <w:p w14:paraId="7D2C5592"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395</w:t>
            </w:r>
          </w:p>
        </w:tc>
        <w:tc>
          <w:tcPr>
            <w:tcW w:w="1200" w:type="dxa"/>
            <w:tcBorders>
              <w:top w:val="nil"/>
              <w:left w:val="nil"/>
              <w:bottom w:val="single" w:sz="4" w:space="0" w:color="auto"/>
              <w:right w:val="single" w:sz="4" w:space="0" w:color="auto"/>
            </w:tcBorders>
            <w:shd w:val="clear" w:color="auto" w:fill="auto"/>
            <w:noWrap/>
            <w:vAlign w:val="center"/>
            <w:hideMark/>
          </w:tcPr>
          <w:p w14:paraId="28DBADCA" w14:textId="77777777" w:rsidR="00B533E5" w:rsidRPr="00B533E5" w:rsidRDefault="00B533E5" w:rsidP="00B533E5">
            <w:pPr>
              <w:spacing w:after="0" w:line="240" w:lineRule="auto"/>
              <w:jc w:val="center"/>
              <w:rPr>
                <w:rFonts w:ascii="Calibri" w:eastAsia="Times New Roman" w:hAnsi="Calibri" w:cs="Calibri"/>
                <w:color w:val="000000"/>
              </w:rPr>
            </w:pPr>
            <w:r w:rsidRPr="00B533E5">
              <w:rPr>
                <w:rFonts w:ascii="Calibri" w:eastAsia="Times New Roman" w:hAnsi="Calibri" w:cs="Calibri"/>
                <w:color w:val="000000"/>
              </w:rPr>
              <w:t>0.406</w:t>
            </w:r>
          </w:p>
        </w:tc>
      </w:tr>
      <w:tr w:rsidR="00B533E5" w:rsidRPr="00B533E5" w14:paraId="30C08875"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1F8A925"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KIT</w:t>
            </w:r>
          </w:p>
        </w:tc>
        <w:tc>
          <w:tcPr>
            <w:tcW w:w="1200" w:type="dxa"/>
            <w:tcBorders>
              <w:top w:val="nil"/>
              <w:left w:val="nil"/>
              <w:bottom w:val="single" w:sz="4" w:space="0" w:color="auto"/>
              <w:right w:val="single" w:sz="4" w:space="0" w:color="auto"/>
            </w:tcBorders>
            <w:shd w:val="clear" w:color="000000" w:fill="D9E1F2"/>
            <w:noWrap/>
            <w:vAlign w:val="center"/>
            <w:hideMark/>
          </w:tcPr>
          <w:p w14:paraId="2B7DC33D"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0.0%</w:t>
            </w:r>
          </w:p>
        </w:tc>
        <w:tc>
          <w:tcPr>
            <w:tcW w:w="1200" w:type="dxa"/>
            <w:tcBorders>
              <w:top w:val="nil"/>
              <w:left w:val="nil"/>
              <w:bottom w:val="single" w:sz="4" w:space="0" w:color="auto"/>
              <w:right w:val="single" w:sz="4" w:space="0" w:color="auto"/>
            </w:tcBorders>
            <w:shd w:val="clear" w:color="000000" w:fill="D9E1F2"/>
            <w:noWrap/>
            <w:vAlign w:val="center"/>
            <w:hideMark/>
          </w:tcPr>
          <w:p w14:paraId="12B7C9FD"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97</w:t>
            </w:r>
          </w:p>
        </w:tc>
        <w:tc>
          <w:tcPr>
            <w:tcW w:w="1200" w:type="dxa"/>
            <w:tcBorders>
              <w:top w:val="nil"/>
              <w:left w:val="nil"/>
              <w:bottom w:val="single" w:sz="4" w:space="0" w:color="auto"/>
              <w:right w:val="single" w:sz="4" w:space="0" w:color="auto"/>
            </w:tcBorders>
            <w:shd w:val="clear" w:color="000000" w:fill="D9D9D9"/>
            <w:noWrap/>
            <w:vAlign w:val="center"/>
            <w:hideMark/>
          </w:tcPr>
          <w:p w14:paraId="2FCCA5AF"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1.3%</w:t>
            </w:r>
          </w:p>
        </w:tc>
        <w:tc>
          <w:tcPr>
            <w:tcW w:w="1200" w:type="dxa"/>
            <w:tcBorders>
              <w:top w:val="nil"/>
              <w:left w:val="nil"/>
              <w:bottom w:val="single" w:sz="4" w:space="0" w:color="auto"/>
              <w:right w:val="single" w:sz="4" w:space="0" w:color="auto"/>
            </w:tcBorders>
            <w:shd w:val="clear" w:color="000000" w:fill="D9D9D9"/>
            <w:noWrap/>
            <w:vAlign w:val="center"/>
            <w:hideMark/>
          </w:tcPr>
          <w:p w14:paraId="58FCFBF2"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395</w:t>
            </w:r>
          </w:p>
        </w:tc>
        <w:tc>
          <w:tcPr>
            <w:tcW w:w="1200" w:type="dxa"/>
            <w:tcBorders>
              <w:top w:val="nil"/>
              <w:left w:val="nil"/>
              <w:bottom w:val="single" w:sz="4" w:space="0" w:color="auto"/>
              <w:right w:val="single" w:sz="4" w:space="0" w:color="auto"/>
            </w:tcBorders>
            <w:shd w:val="clear" w:color="auto" w:fill="auto"/>
            <w:noWrap/>
            <w:vAlign w:val="center"/>
            <w:hideMark/>
          </w:tcPr>
          <w:p w14:paraId="7C5A56CA" w14:textId="77777777" w:rsidR="00B533E5" w:rsidRPr="00B533E5" w:rsidRDefault="00B533E5" w:rsidP="00B533E5">
            <w:pPr>
              <w:spacing w:after="0" w:line="240" w:lineRule="auto"/>
              <w:jc w:val="center"/>
              <w:rPr>
                <w:rFonts w:ascii="Calibri" w:eastAsia="Times New Roman" w:hAnsi="Calibri" w:cs="Calibri"/>
                <w:color w:val="000000"/>
              </w:rPr>
            </w:pPr>
            <w:r w:rsidRPr="00B533E5">
              <w:rPr>
                <w:rFonts w:ascii="Calibri" w:eastAsia="Times New Roman" w:hAnsi="Calibri" w:cs="Calibri"/>
                <w:color w:val="000000"/>
              </w:rPr>
              <w:t>0.406</w:t>
            </w:r>
          </w:p>
        </w:tc>
      </w:tr>
      <w:tr w:rsidR="00B533E5" w:rsidRPr="00B533E5" w14:paraId="22512AB7"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53FBAC2"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ALK</w:t>
            </w:r>
          </w:p>
        </w:tc>
        <w:tc>
          <w:tcPr>
            <w:tcW w:w="1200" w:type="dxa"/>
            <w:tcBorders>
              <w:top w:val="nil"/>
              <w:left w:val="nil"/>
              <w:bottom w:val="single" w:sz="4" w:space="0" w:color="auto"/>
              <w:right w:val="single" w:sz="4" w:space="0" w:color="auto"/>
            </w:tcBorders>
            <w:shd w:val="clear" w:color="000000" w:fill="D9E1F2"/>
            <w:noWrap/>
            <w:vAlign w:val="center"/>
            <w:hideMark/>
          </w:tcPr>
          <w:p w14:paraId="58EC7E8A"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0.0%</w:t>
            </w:r>
          </w:p>
        </w:tc>
        <w:tc>
          <w:tcPr>
            <w:tcW w:w="1200" w:type="dxa"/>
            <w:tcBorders>
              <w:top w:val="nil"/>
              <w:left w:val="nil"/>
              <w:bottom w:val="single" w:sz="4" w:space="0" w:color="auto"/>
              <w:right w:val="single" w:sz="4" w:space="0" w:color="auto"/>
            </w:tcBorders>
            <w:shd w:val="clear" w:color="000000" w:fill="D9E1F2"/>
            <w:noWrap/>
            <w:vAlign w:val="center"/>
            <w:hideMark/>
          </w:tcPr>
          <w:p w14:paraId="03BF5AB7"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61</w:t>
            </w:r>
          </w:p>
        </w:tc>
        <w:tc>
          <w:tcPr>
            <w:tcW w:w="1200" w:type="dxa"/>
            <w:tcBorders>
              <w:top w:val="nil"/>
              <w:left w:val="nil"/>
              <w:bottom w:val="single" w:sz="4" w:space="0" w:color="auto"/>
              <w:right w:val="single" w:sz="4" w:space="0" w:color="auto"/>
            </w:tcBorders>
            <w:shd w:val="clear" w:color="000000" w:fill="D9D9D9"/>
            <w:noWrap/>
            <w:vAlign w:val="center"/>
            <w:hideMark/>
          </w:tcPr>
          <w:p w14:paraId="5F07C524"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1.5%</w:t>
            </w:r>
          </w:p>
        </w:tc>
        <w:tc>
          <w:tcPr>
            <w:tcW w:w="1200" w:type="dxa"/>
            <w:tcBorders>
              <w:top w:val="nil"/>
              <w:left w:val="nil"/>
              <w:bottom w:val="single" w:sz="4" w:space="0" w:color="auto"/>
              <w:right w:val="single" w:sz="4" w:space="0" w:color="auto"/>
            </w:tcBorders>
            <w:shd w:val="clear" w:color="000000" w:fill="D9D9D9"/>
            <w:noWrap/>
            <w:vAlign w:val="center"/>
            <w:hideMark/>
          </w:tcPr>
          <w:p w14:paraId="4822EBCA"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395</w:t>
            </w:r>
          </w:p>
        </w:tc>
        <w:tc>
          <w:tcPr>
            <w:tcW w:w="1200" w:type="dxa"/>
            <w:tcBorders>
              <w:top w:val="nil"/>
              <w:left w:val="nil"/>
              <w:bottom w:val="single" w:sz="4" w:space="0" w:color="auto"/>
              <w:right w:val="single" w:sz="4" w:space="0" w:color="auto"/>
            </w:tcBorders>
            <w:shd w:val="clear" w:color="auto" w:fill="auto"/>
            <w:noWrap/>
            <w:vAlign w:val="center"/>
            <w:hideMark/>
          </w:tcPr>
          <w:p w14:paraId="7EBC8BEE" w14:textId="77777777" w:rsidR="00B533E5" w:rsidRPr="00B533E5" w:rsidRDefault="00B533E5" w:rsidP="00B533E5">
            <w:pPr>
              <w:spacing w:after="0" w:line="240" w:lineRule="auto"/>
              <w:jc w:val="center"/>
              <w:rPr>
                <w:rFonts w:ascii="Calibri" w:eastAsia="Times New Roman" w:hAnsi="Calibri" w:cs="Calibri"/>
                <w:color w:val="000000"/>
              </w:rPr>
            </w:pPr>
            <w:r w:rsidRPr="00B533E5">
              <w:rPr>
                <w:rFonts w:ascii="Calibri" w:eastAsia="Times New Roman" w:hAnsi="Calibri" w:cs="Calibri"/>
                <w:color w:val="000000"/>
              </w:rPr>
              <w:t>0.336</w:t>
            </w:r>
          </w:p>
        </w:tc>
      </w:tr>
      <w:tr w:rsidR="00B533E5" w:rsidRPr="00B533E5" w14:paraId="5B64436D"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EE06EB2"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RNF43</w:t>
            </w:r>
          </w:p>
        </w:tc>
        <w:tc>
          <w:tcPr>
            <w:tcW w:w="1200" w:type="dxa"/>
            <w:tcBorders>
              <w:top w:val="nil"/>
              <w:left w:val="nil"/>
              <w:bottom w:val="single" w:sz="4" w:space="0" w:color="auto"/>
              <w:right w:val="single" w:sz="4" w:space="0" w:color="auto"/>
            </w:tcBorders>
            <w:shd w:val="clear" w:color="000000" w:fill="D9E1F2"/>
            <w:noWrap/>
            <w:vAlign w:val="center"/>
            <w:hideMark/>
          </w:tcPr>
          <w:p w14:paraId="23036FB1"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0.0%</w:t>
            </w:r>
          </w:p>
        </w:tc>
        <w:tc>
          <w:tcPr>
            <w:tcW w:w="1200" w:type="dxa"/>
            <w:tcBorders>
              <w:top w:val="nil"/>
              <w:left w:val="nil"/>
              <w:bottom w:val="single" w:sz="4" w:space="0" w:color="auto"/>
              <w:right w:val="single" w:sz="4" w:space="0" w:color="auto"/>
            </w:tcBorders>
            <w:shd w:val="clear" w:color="000000" w:fill="D9E1F2"/>
            <w:noWrap/>
            <w:vAlign w:val="center"/>
            <w:hideMark/>
          </w:tcPr>
          <w:p w14:paraId="55E0A8A6"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61</w:t>
            </w:r>
          </w:p>
        </w:tc>
        <w:tc>
          <w:tcPr>
            <w:tcW w:w="1200" w:type="dxa"/>
            <w:tcBorders>
              <w:top w:val="nil"/>
              <w:left w:val="nil"/>
              <w:bottom w:val="single" w:sz="4" w:space="0" w:color="auto"/>
              <w:right w:val="single" w:sz="4" w:space="0" w:color="auto"/>
            </w:tcBorders>
            <w:shd w:val="clear" w:color="000000" w:fill="D9D9D9"/>
            <w:noWrap/>
            <w:vAlign w:val="center"/>
            <w:hideMark/>
          </w:tcPr>
          <w:p w14:paraId="26B2CFDC"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0.5%</w:t>
            </w:r>
          </w:p>
        </w:tc>
        <w:tc>
          <w:tcPr>
            <w:tcW w:w="1200" w:type="dxa"/>
            <w:tcBorders>
              <w:top w:val="nil"/>
              <w:left w:val="nil"/>
              <w:bottom w:val="single" w:sz="4" w:space="0" w:color="auto"/>
              <w:right w:val="single" w:sz="4" w:space="0" w:color="auto"/>
            </w:tcBorders>
            <w:shd w:val="clear" w:color="000000" w:fill="D9D9D9"/>
            <w:noWrap/>
            <w:vAlign w:val="center"/>
            <w:hideMark/>
          </w:tcPr>
          <w:p w14:paraId="34DCDF73"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395</w:t>
            </w:r>
          </w:p>
        </w:tc>
        <w:tc>
          <w:tcPr>
            <w:tcW w:w="1200" w:type="dxa"/>
            <w:tcBorders>
              <w:top w:val="nil"/>
              <w:left w:val="nil"/>
              <w:bottom w:val="single" w:sz="4" w:space="0" w:color="auto"/>
              <w:right w:val="single" w:sz="4" w:space="0" w:color="auto"/>
            </w:tcBorders>
            <w:shd w:val="clear" w:color="auto" w:fill="auto"/>
            <w:noWrap/>
            <w:vAlign w:val="center"/>
            <w:hideMark/>
          </w:tcPr>
          <w:p w14:paraId="1874FEEB" w14:textId="77777777" w:rsidR="00B533E5" w:rsidRPr="00B533E5" w:rsidRDefault="00B533E5" w:rsidP="00B533E5">
            <w:pPr>
              <w:spacing w:after="0" w:line="240" w:lineRule="auto"/>
              <w:jc w:val="center"/>
              <w:rPr>
                <w:rFonts w:ascii="Calibri" w:eastAsia="Times New Roman" w:hAnsi="Calibri" w:cs="Calibri"/>
                <w:color w:val="000000"/>
              </w:rPr>
            </w:pPr>
            <w:r w:rsidRPr="00B533E5">
              <w:rPr>
                <w:rFonts w:ascii="Calibri" w:eastAsia="Times New Roman" w:hAnsi="Calibri" w:cs="Calibri"/>
                <w:color w:val="000000"/>
              </w:rPr>
              <w:t>0.580</w:t>
            </w:r>
          </w:p>
        </w:tc>
      </w:tr>
      <w:tr w:rsidR="00B533E5" w:rsidRPr="00B533E5" w14:paraId="28EAAB37"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07BA66F"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ERBB3</w:t>
            </w:r>
          </w:p>
        </w:tc>
        <w:tc>
          <w:tcPr>
            <w:tcW w:w="1200" w:type="dxa"/>
            <w:tcBorders>
              <w:top w:val="nil"/>
              <w:left w:val="nil"/>
              <w:bottom w:val="single" w:sz="4" w:space="0" w:color="auto"/>
              <w:right w:val="single" w:sz="4" w:space="0" w:color="auto"/>
            </w:tcBorders>
            <w:shd w:val="clear" w:color="000000" w:fill="D9E1F2"/>
            <w:noWrap/>
            <w:vAlign w:val="center"/>
            <w:hideMark/>
          </w:tcPr>
          <w:p w14:paraId="12ACB124"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0.0%</w:t>
            </w:r>
          </w:p>
        </w:tc>
        <w:tc>
          <w:tcPr>
            <w:tcW w:w="1200" w:type="dxa"/>
            <w:tcBorders>
              <w:top w:val="nil"/>
              <w:left w:val="nil"/>
              <w:bottom w:val="single" w:sz="4" w:space="0" w:color="auto"/>
              <w:right w:val="single" w:sz="4" w:space="0" w:color="auto"/>
            </w:tcBorders>
            <w:shd w:val="clear" w:color="000000" w:fill="D9E1F2"/>
            <w:noWrap/>
            <w:vAlign w:val="center"/>
            <w:hideMark/>
          </w:tcPr>
          <w:p w14:paraId="06146A21"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72</w:t>
            </w:r>
          </w:p>
        </w:tc>
        <w:tc>
          <w:tcPr>
            <w:tcW w:w="1200" w:type="dxa"/>
            <w:tcBorders>
              <w:top w:val="nil"/>
              <w:left w:val="nil"/>
              <w:bottom w:val="single" w:sz="4" w:space="0" w:color="auto"/>
              <w:right w:val="single" w:sz="4" w:space="0" w:color="auto"/>
            </w:tcBorders>
            <w:shd w:val="clear" w:color="000000" w:fill="D9D9D9"/>
            <w:noWrap/>
            <w:vAlign w:val="center"/>
            <w:hideMark/>
          </w:tcPr>
          <w:p w14:paraId="5838225E"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3.0%</w:t>
            </w:r>
          </w:p>
        </w:tc>
        <w:tc>
          <w:tcPr>
            <w:tcW w:w="1200" w:type="dxa"/>
            <w:tcBorders>
              <w:top w:val="nil"/>
              <w:left w:val="nil"/>
              <w:bottom w:val="single" w:sz="4" w:space="0" w:color="auto"/>
              <w:right w:val="single" w:sz="4" w:space="0" w:color="auto"/>
            </w:tcBorders>
            <w:shd w:val="clear" w:color="000000" w:fill="D9D9D9"/>
            <w:noWrap/>
            <w:vAlign w:val="center"/>
            <w:hideMark/>
          </w:tcPr>
          <w:p w14:paraId="7C8B5AB1"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395</w:t>
            </w:r>
          </w:p>
        </w:tc>
        <w:tc>
          <w:tcPr>
            <w:tcW w:w="1200" w:type="dxa"/>
            <w:tcBorders>
              <w:top w:val="nil"/>
              <w:left w:val="nil"/>
              <w:bottom w:val="single" w:sz="4" w:space="0" w:color="auto"/>
              <w:right w:val="single" w:sz="4" w:space="0" w:color="auto"/>
            </w:tcBorders>
            <w:shd w:val="clear" w:color="auto" w:fill="auto"/>
            <w:noWrap/>
            <w:vAlign w:val="center"/>
            <w:hideMark/>
          </w:tcPr>
          <w:p w14:paraId="092343BF" w14:textId="77777777" w:rsidR="00B533E5" w:rsidRPr="00B533E5" w:rsidRDefault="00B533E5" w:rsidP="00B533E5">
            <w:pPr>
              <w:spacing w:after="0" w:line="240" w:lineRule="auto"/>
              <w:jc w:val="center"/>
              <w:rPr>
                <w:rFonts w:ascii="Calibri" w:eastAsia="Times New Roman" w:hAnsi="Calibri" w:cs="Calibri"/>
                <w:color w:val="000000"/>
              </w:rPr>
            </w:pPr>
            <w:r w:rsidRPr="00B533E5">
              <w:rPr>
                <w:rFonts w:ascii="Calibri" w:eastAsia="Times New Roman" w:hAnsi="Calibri" w:cs="Calibri"/>
                <w:color w:val="000000"/>
              </w:rPr>
              <w:t> 0.137</w:t>
            </w:r>
          </w:p>
        </w:tc>
      </w:tr>
      <w:tr w:rsidR="00B533E5" w:rsidRPr="00B533E5" w14:paraId="78A67495"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DB712A1"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NOTCH1</w:t>
            </w:r>
          </w:p>
        </w:tc>
        <w:tc>
          <w:tcPr>
            <w:tcW w:w="1200" w:type="dxa"/>
            <w:tcBorders>
              <w:top w:val="nil"/>
              <w:left w:val="nil"/>
              <w:bottom w:val="single" w:sz="4" w:space="0" w:color="auto"/>
              <w:right w:val="single" w:sz="4" w:space="0" w:color="auto"/>
            </w:tcBorders>
            <w:shd w:val="clear" w:color="000000" w:fill="D9E1F2"/>
            <w:noWrap/>
            <w:vAlign w:val="center"/>
            <w:hideMark/>
          </w:tcPr>
          <w:p w14:paraId="0352866E"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0.0%</w:t>
            </w:r>
          </w:p>
        </w:tc>
        <w:tc>
          <w:tcPr>
            <w:tcW w:w="1200" w:type="dxa"/>
            <w:tcBorders>
              <w:top w:val="nil"/>
              <w:left w:val="nil"/>
              <w:bottom w:val="single" w:sz="4" w:space="0" w:color="auto"/>
              <w:right w:val="single" w:sz="4" w:space="0" w:color="auto"/>
            </w:tcBorders>
            <w:shd w:val="clear" w:color="000000" w:fill="D9E1F2"/>
            <w:noWrap/>
            <w:vAlign w:val="center"/>
            <w:hideMark/>
          </w:tcPr>
          <w:p w14:paraId="0FFBD892"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72</w:t>
            </w:r>
          </w:p>
        </w:tc>
        <w:tc>
          <w:tcPr>
            <w:tcW w:w="1200" w:type="dxa"/>
            <w:tcBorders>
              <w:top w:val="nil"/>
              <w:left w:val="nil"/>
              <w:bottom w:val="single" w:sz="4" w:space="0" w:color="auto"/>
              <w:right w:val="single" w:sz="4" w:space="0" w:color="auto"/>
            </w:tcBorders>
            <w:shd w:val="clear" w:color="000000" w:fill="D9D9D9"/>
            <w:noWrap/>
            <w:vAlign w:val="center"/>
            <w:hideMark/>
          </w:tcPr>
          <w:p w14:paraId="4BB00BC4"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2.0%</w:t>
            </w:r>
          </w:p>
        </w:tc>
        <w:tc>
          <w:tcPr>
            <w:tcW w:w="1200" w:type="dxa"/>
            <w:tcBorders>
              <w:top w:val="nil"/>
              <w:left w:val="nil"/>
              <w:bottom w:val="single" w:sz="4" w:space="0" w:color="auto"/>
              <w:right w:val="single" w:sz="4" w:space="0" w:color="auto"/>
            </w:tcBorders>
            <w:shd w:val="clear" w:color="000000" w:fill="D9D9D9"/>
            <w:noWrap/>
            <w:vAlign w:val="center"/>
            <w:hideMark/>
          </w:tcPr>
          <w:p w14:paraId="3BC04DEC"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395</w:t>
            </w:r>
          </w:p>
        </w:tc>
        <w:tc>
          <w:tcPr>
            <w:tcW w:w="1200" w:type="dxa"/>
            <w:tcBorders>
              <w:top w:val="nil"/>
              <w:left w:val="nil"/>
              <w:bottom w:val="single" w:sz="4" w:space="0" w:color="auto"/>
              <w:right w:val="single" w:sz="4" w:space="0" w:color="auto"/>
            </w:tcBorders>
            <w:shd w:val="clear" w:color="auto" w:fill="auto"/>
            <w:noWrap/>
            <w:vAlign w:val="center"/>
            <w:hideMark/>
          </w:tcPr>
          <w:p w14:paraId="5B7A29E7" w14:textId="77777777" w:rsidR="00B533E5" w:rsidRPr="00B533E5" w:rsidRDefault="00B533E5" w:rsidP="00B533E5">
            <w:pPr>
              <w:spacing w:after="0" w:line="240" w:lineRule="auto"/>
              <w:jc w:val="center"/>
              <w:rPr>
                <w:rFonts w:ascii="Calibri" w:eastAsia="Times New Roman" w:hAnsi="Calibri" w:cs="Calibri"/>
                <w:color w:val="000000"/>
              </w:rPr>
            </w:pPr>
            <w:r w:rsidRPr="00B533E5">
              <w:rPr>
                <w:rFonts w:ascii="Calibri" w:eastAsia="Times New Roman" w:hAnsi="Calibri" w:cs="Calibri"/>
                <w:color w:val="000000"/>
              </w:rPr>
              <w:t> 0.227</w:t>
            </w:r>
          </w:p>
        </w:tc>
      </w:tr>
      <w:tr w:rsidR="00B533E5" w:rsidRPr="00B533E5" w14:paraId="46AE74F1"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4D36706"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ABL1</w:t>
            </w:r>
          </w:p>
        </w:tc>
        <w:tc>
          <w:tcPr>
            <w:tcW w:w="1200" w:type="dxa"/>
            <w:tcBorders>
              <w:top w:val="nil"/>
              <w:left w:val="nil"/>
              <w:bottom w:val="single" w:sz="4" w:space="0" w:color="auto"/>
              <w:right w:val="single" w:sz="4" w:space="0" w:color="auto"/>
            </w:tcBorders>
            <w:shd w:val="clear" w:color="000000" w:fill="D9E1F2"/>
            <w:noWrap/>
            <w:vAlign w:val="center"/>
            <w:hideMark/>
          </w:tcPr>
          <w:p w14:paraId="5D24246C"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0.0%</w:t>
            </w:r>
          </w:p>
        </w:tc>
        <w:tc>
          <w:tcPr>
            <w:tcW w:w="1200" w:type="dxa"/>
            <w:tcBorders>
              <w:top w:val="nil"/>
              <w:left w:val="nil"/>
              <w:bottom w:val="single" w:sz="4" w:space="0" w:color="auto"/>
              <w:right w:val="single" w:sz="4" w:space="0" w:color="auto"/>
            </w:tcBorders>
            <w:shd w:val="clear" w:color="000000" w:fill="D9E1F2"/>
            <w:noWrap/>
            <w:vAlign w:val="center"/>
            <w:hideMark/>
          </w:tcPr>
          <w:p w14:paraId="4E963BDE"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86</w:t>
            </w:r>
          </w:p>
        </w:tc>
        <w:tc>
          <w:tcPr>
            <w:tcW w:w="1200" w:type="dxa"/>
            <w:tcBorders>
              <w:top w:val="nil"/>
              <w:left w:val="nil"/>
              <w:bottom w:val="single" w:sz="4" w:space="0" w:color="auto"/>
              <w:right w:val="single" w:sz="4" w:space="0" w:color="auto"/>
            </w:tcBorders>
            <w:shd w:val="clear" w:color="000000" w:fill="D9D9D9"/>
            <w:noWrap/>
            <w:vAlign w:val="center"/>
            <w:hideMark/>
          </w:tcPr>
          <w:p w14:paraId="74839E6B"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0.5%</w:t>
            </w:r>
          </w:p>
        </w:tc>
        <w:tc>
          <w:tcPr>
            <w:tcW w:w="1200" w:type="dxa"/>
            <w:tcBorders>
              <w:top w:val="nil"/>
              <w:left w:val="nil"/>
              <w:bottom w:val="single" w:sz="4" w:space="0" w:color="auto"/>
              <w:right w:val="single" w:sz="4" w:space="0" w:color="auto"/>
            </w:tcBorders>
            <w:shd w:val="clear" w:color="000000" w:fill="D9D9D9"/>
            <w:noWrap/>
            <w:vAlign w:val="center"/>
            <w:hideMark/>
          </w:tcPr>
          <w:p w14:paraId="786168DA"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395</w:t>
            </w:r>
          </w:p>
        </w:tc>
        <w:tc>
          <w:tcPr>
            <w:tcW w:w="1200" w:type="dxa"/>
            <w:tcBorders>
              <w:top w:val="nil"/>
              <w:left w:val="nil"/>
              <w:bottom w:val="single" w:sz="4" w:space="0" w:color="auto"/>
              <w:right w:val="single" w:sz="4" w:space="0" w:color="auto"/>
            </w:tcBorders>
            <w:shd w:val="clear" w:color="auto" w:fill="auto"/>
            <w:noWrap/>
            <w:vAlign w:val="center"/>
            <w:hideMark/>
          </w:tcPr>
          <w:p w14:paraId="4C00684F" w14:textId="77777777" w:rsidR="00B533E5" w:rsidRPr="00B533E5" w:rsidRDefault="00B533E5" w:rsidP="00B533E5">
            <w:pPr>
              <w:spacing w:after="0" w:line="240" w:lineRule="auto"/>
              <w:jc w:val="center"/>
              <w:rPr>
                <w:rFonts w:ascii="Calibri" w:eastAsia="Times New Roman" w:hAnsi="Calibri" w:cs="Calibri"/>
                <w:color w:val="000000"/>
              </w:rPr>
            </w:pPr>
            <w:r w:rsidRPr="00B533E5">
              <w:rPr>
                <w:rFonts w:ascii="Calibri" w:eastAsia="Times New Roman" w:hAnsi="Calibri" w:cs="Calibri"/>
                <w:color w:val="000000"/>
              </w:rPr>
              <w:t>0.512</w:t>
            </w:r>
          </w:p>
        </w:tc>
      </w:tr>
      <w:tr w:rsidR="00B533E5" w:rsidRPr="00B533E5" w14:paraId="49823A6B"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DC91E04"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AKT2</w:t>
            </w:r>
          </w:p>
        </w:tc>
        <w:tc>
          <w:tcPr>
            <w:tcW w:w="1200" w:type="dxa"/>
            <w:tcBorders>
              <w:top w:val="nil"/>
              <w:left w:val="nil"/>
              <w:bottom w:val="single" w:sz="4" w:space="0" w:color="auto"/>
              <w:right w:val="single" w:sz="4" w:space="0" w:color="auto"/>
            </w:tcBorders>
            <w:shd w:val="clear" w:color="000000" w:fill="D9E1F2"/>
            <w:noWrap/>
            <w:vAlign w:val="center"/>
            <w:hideMark/>
          </w:tcPr>
          <w:p w14:paraId="1791387A"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0.0%</w:t>
            </w:r>
          </w:p>
        </w:tc>
        <w:tc>
          <w:tcPr>
            <w:tcW w:w="1200" w:type="dxa"/>
            <w:tcBorders>
              <w:top w:val="nil"/>
              <w:left w:val="nil"/>
              <w:bottom w:val="single" w:sz="4" w:space="0" w:color="auto"/>
              <w:right w:val="single" w:sz="4" w:space="0" w:color="auto"/>
            </w:tcBorders>
            <w:shd w:val="clear" w:color="000000" w:fill="D9E1F2"/>
            <w:noWrap/>
            <w:vAlign w:val="center"/>
            <w:hideMark/>
          </w:tcPr>
          <w:p w14:paraId="39305C90"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86</w:t>
            </w:r>
          </w:p>
        </w:tc>
        <w:tc>
          <w:tcPr>
            <w:tcW w:w="1200" w:type="dxa"/>
            <w:tcBorders>
              <w:top w:val="nil"/>
              <w:left w:val="nil"/>
              <w:bottom w:val="single" w:sz="4" w:space="0" w:color="auto"/>
              <w:right w:val="single" w:sz="4" w:space="0" w:color="auto"/>
            </w:tcBorders>
            <w:shd w:val="clear" w:color="000000" w:fill="D9D9D9"/>
            <w:noWrap/>
            <w:vAlign w:val="center"/>
            <w:hideMark/>
          </w:tcPr>
          <w:p w14:paraId="0F5BDBA7"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0.3%</w:t>
            </w:r>
          </w:p>
        </w:tc>
        <w:tc>
          <w:tcPr>
            <w:tcW w:w="1200" w:type="dxa"/>
            <w:tcBorders>
              <w:top w:val="nil"/>
              <w:left w:val="nil"/>
              <w:bottom w:val="single" w:sz="4" w:space="0" w:color="auto"/>
              <w:right w:val="single" w:sz="4" w:space="0" w:color="auto"/>
            </w:tcBorders>
            <w:shd w:val="clear" w:color="000000" w:fill="D9D9D9"/>
            <w:noWrap/>
            <w:vAlign w:val="center"/>
            <w:hideMark/>
          </w:tcPr>
          <w:p w14:paraId="52065941"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395</w:t>
            </w:r>
          </w:p>
        </w:tc>
        <w:tc>
          <w:tcPr>
            <w:tcW w:w="1200" w:type="dxa"/>
            <w:tcBorders>
              <w:top w:val="nil"/>
              <w:left w:val="nil"/>
              <w:bottom w:val="single" w:sz="4" w:space="0" w:color="auto"/>
              <w:right w:val="single" w:sz="4" w:space="0" w:color="auto"/>
            </w:tcBorders>
            <w:shd w:val="clear" w:color="auto" w:fill="auto"/>
            <w:noWrap/>
            <w:vAlign w:val="center"/>
            <w:hideMark/>
          </w:tcPr>
          <w:p w14:paraId="589AE64F" w14:textId="77777777" w:rsidR="00B533E5" w:rsidRPr="00B533E5" w:rsidRDefault="00B533E5" w:rsidP="00B533E5">
            <w:pPr>
              <w:spacing w:after="0" w:line="240" w:lineRule="auto"/>
              <w:jc w:val="center"/>
              <w:rPr>
                <w:rFonts w:ascii="Calibri" w:eastAsia="Times New Roman" w:hAnsi="Calibri" w:cs="Calibri"/>
                <w:color w:val="000000"/>
              </w:rPr>
            </w:pPr>
            <w:r w:rsidRPr="00B533E5">
              <w:rPr>
                <w:rFonts w:ascii="Calibri" w:eastAsia="Times New Roman" w:hAnsi="Calibri" w:cs="Calibri"/>
                <w:color w:val="000000"/>
              </w:rPr>
              <w:t>0.611</w:t>
            </w:r>
          </w:p>
        </w:tc>
      </w:tr>
      <w:tr w:rsidR="00B533E5" w:rsidRPr="00B533E5" w14:paraId="518DBDF4" w14:textId="77777777" w:rsidTr="00B533E5">
        <w:trPr>
          <w:trHeight w:val="29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407ECEB"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BRAF</w:t>
            </w:r>
          </w:p>
        </w:tc>
        <w:tc>
          <w:tcPr>
            <w:tcW w:w="1200" w:type="dxa"/>
            <w:tcBorders>
              <w:top w:val="nil"/>
              <w:left w:val="nil"/>
              <w:bottom w:val="single" w:sz="4" w:space="0" w:color="auto"/>
              <w:right w:val="single" w:sz="4" w:space="0" w:color="auto"/>
            </w:tcBorders>
            <w:shd w:val="clear" w:color="000000" w:fill="D9E1F2"/>
            <w:noWrap/>
            <w:vAlign w:val="center"/>
            <w:hideMark/>
          </w:tcPr>
          <w:p w14:paraId="5F18C93D"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0.0%</w:t>
            </w:r>
          </w:p>
        </w:tc>
        <w:tc>
          <w:tcPr>
            <w:tcW w:w="1200" w:type="dxa"/>
            <w:tcBorders>
              <w:top w:val="nil"/>
              <w:left w:val="nil"/>
              <w:bottom w:val="single" w:sz="4" w:space="0" w:color="auto"/>
              <w:right w:val="single" w:sz="4" w:space="0" w:color="auto"/>
            </w:tcBorders>
            <w:shd w:val="clear" w:color="000000" w:fill="D9E1F2"/>
            <w:noWrap/>
            <w:vAlign w:val="center"/>
            <w:hideMark/>
          </w:tcPr>
          <w:p w14:paraId="54ED0924"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97</w:t>
            </w:r>
          </w:p>
        </w:tc>
        <w:tc>
          <w:tcPr>
            <w:tcW w:w="1200" w:type="dxa"/>
            <w:tcBorders>
              <w:top w:val="nil"/>
              <w:left w:val="nil"/>
              <w:bottom w:val="single" w:sz="4" w:space="0" w:color="auto"/>
              <w:right w:val="single" w:sz="4" w:space="0" w:color="auto"/>
            </w:tcBorders>
            <w:shd w:val="clear" w:color="000000" w:fill="D9D9D9"/>
            <w:noWrap/>
            <w:vAlign w:val="center"/>
            <w:hideMark/>
          </w:tcPr>
          <w:p w14:paraId="24849E12"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0.0%</w:t>
            </w:r>
          </w:p>
        </w:tc>
        <w:tc>
          <w:tcPr>
            <w:tcW w:w="1200" w:type="dxa"/>
            <w:tcBorders>
              <w:top w:val="nil"/>
              <w:left w:val="nil"/>
              <w:bottom w:val="single" w:sz="4" w:space="0" w:color="auto"/>
              <w:right w:val="single" w:sz="4" w:space="0" w:color="auto"/>
            </w:tcBorders>
            <w:shd w:val="clear" w:color="000000" w:fill="D9D9D9"/>
            <w:noWrap/>
            <w:vAlign w:val="center"/>
            <w:hideMark/>
          </w:tcPr>
          <w:p w14:paraId="0EB0D2E9"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395</w:t>
            </w:r>
          </w:p>
        </w:tc>
        <w:tc>
          <w:tcPr>
            <w:tcW w:w="1200" w:type="dxa"/>
            <w:tcBorders>
              <w:top w:val="nil"/>
              <w:left w:val="nil"/>
              <w:bottom w:val="single" w:sz="4" w:space="0" w:color="auto"/>
              <w:right w:val="single" w:sz="4" w:space="0" w:color="auto"/>
            </w:tcBorders>
            <w:shd w:val="clear" w:color="auto" w:fill="auto"/>
            <w:noWrap/>
            <w:vAlign w:val="center"/>
            <w:hideMark/>
          </w:tcPr>
          <w:p w14:paraId="3097FB3A" w14:textId="77777777" w:rsidR="00B533E5" w:rsidRPr="00B533E5" w:rsidRDefault="00B533E5" w:rsidP="00B533E5">
            <w:pPr>
              <w:spacing w:after="0" w:line="240" w:lineRule="auto"/>
              <w:jc w:val="center"/>
              <w:rPr>
                <w:rFonts w:ascii="Calibri" w:eastAsia="Times New Roman" w:hAnsi="Calibri" w:cs="Calibri"/>
              </w:rPr>
            </w:pPr>
            <w:r w:rsidRPr="00B533E5">
              <w:rPr>
                <w:rFonts w:ascii="Calibri" w:eastAsia="Times New Roman" w:hAnsi="Calibri" w:cs="Calibri"/>
              </w:rPr>
              <w:t>1.000</w:t>
            </w:r>
          </w:p>
        </w:tc>
      </w:tr>
    </w:tbl>
    <w:p w14:paraId="17D6D806" w14:textId="77777777" w:rsidR="00F03299" w:rsidRDefault="00F03299" w:rsidP="000816C3">
      <w:pPr>
        <w:autoSpaceDE w:val="0"/>
        <w:autoSpaceDN w:val="0"/>
        <w:adjustRightInd w:val="0"/>
        <w:spacing w:after="0" w:line="240" w:lineRule="auto"/>
        <w:jc w:val="both"/>
        <w:rPr>
          <w:rFonts w:ascii="Times New Roman" w:hAnsi="Times New Roman" w:cs="Times New Roman"/>
          <w:b/>
          <w:bCs/>
          <w:sz w:val="24"/>
          <w:szCs w:val="24"/>
        </w:rPr>
      </w:pPr>
    </w:p>
    <w:p w14:paraId="74C29FDC" w14:textId="77777777" w:rsidR="00F03299" w:rsidRDefault="00F03299" w:rsidP="000816C3">
      <w:pPr>
        <w:autoSpaceDE w:val="0"/>
        <w:autoSpaceDN w:val="0"/>
        <w:adjustRightInd w:val="0"/>
        <w:spacing w:after="0" w:line="240" w:lineRule="auto"/>
        <w:jc w:val="both"/>
        <w:rPr>
          <w:rFonts w:ascii="Times New Roman" w:hAnsi="Times New Roman" w:cs="Times New Roman"/>
          <w:b/>
          <w:bCs/>
          <w:sz w:val="24"/>
          <w:szCs w:val="24"/>
        </w:rPr>
      </w:pPr>
    </w:p>
    <w:p w14:paraId="4851089E" w14:textId="77777777" w:rsidR="00F03299" w:rsidRDefault="00F03299" w:rsidP="000816C3">
      <w:pPr>
        <w:autoSpaceDE w:val="0"/>
        <w:autoSpaceDN w:val="0"/>
        <w:adjustRightInd w:val="0"/>
        <w:spacing w:after="0" w:line="240" w:lineRule="auto"/>
        <w:jc w:val="both"/>
        <w:rPr>
          <w:rFonts w:ascii="Times New Roman" w:hAnsi="Times New Roman" w:cs="Times New Roman"/>
          <w:b/>
          <w:bCs/>
          <w:sz w:val="24"/>
          <w:szCs w:val="24"/>
        </w:rPr>
      </w:pPr>
    </w:p>
    <w:p w14:paraId="78E046D1" w14:textId="77777777" w:rsidR="00F03299" w:rsidRDefault="00F03299" w:rsidP="000816C3">
      <w:pPr>
        <w:autoSpaceDE w:val="0"/>
        <w:autoSpaceDN w:val="0"/>
        <w:adjustRightInd w:val="0"/>
        <w:spacing w:after="0" w:line="240" w:lineRule="auto"/>
        <w:jc w:val="both"/>
        <w:rPr>
          <w:rFonts w:ascii="Times New Roman" w:hAnsi="Times New Roman" w:cs="Times New Roman"/>
          <w:b/>
          <w:bCs/>
          <w:sz w:val="24"/>
          <w:szCs w:val="24"/>
        </w:rPr>
      </w:pPr>
    </w:p>
    <w:p w14:paraId="4298751F" w14:textId="77777777" w:rsidR="00F03299" w:rsidRDefault="00F03299" w:rsidP="000816C3">
      <w:pPr>
        <w:autoSpaceDE w:val="0"/>
        <w:autoSpaceDN w:val="0"/>
        <w:adjustRightInd w:val="0"/>
        <w:spacing w:after="0" w:line="240" w:lineRule="auto"/>
        <w:jc w:val="both"/>
        <w:rPr>
          <w:rFonts w:ascii="Times New Roman" w:hAnsi="Times New Roman" w:cs="Times New Roman"/>
          <w:b/>
          <w:bCs/>
          <w:sz w:val="24"/>
          <w:szCs w:val="24"/>
        </w:rPr>
      </w:pPr>
    </w:p>
    <w:p w14:paraId="296C78DF" w14:textId="77777777" w:rsidR="00F03299" w:rsidRDefault="00F03299" w:rsidP="000816C3">
      <w:pPr>
        <w:autoSpaceDE w:val="0"/>
        <w:autoSpaceDN w:val="0"/>
        <w:adjustRightInd w:val="0"/>
        <w:spacing w:after="0" w:line="240" w:lineRule="auto"/>
        <w:jc w:val="both"/>
        <w:rPr>
          <w:rFonts w:ascii="Times New Roman" w:hAnsi="Times New Roman" w:cs="Times New Roman"/>
          <w:b/>
          <w:bCs/>
          <w:sz w:val="24"/>
          <w:szCs w:val="24"/>
        </w:rPr>
      </w:pPr>
    </w:p>
    <w:p w14:paraId="7BFEA70E" w14:textId="77777777" w:rsidR="00F03299" w:rsidRDefault="00F03299" w:rsidP="000816C3">
      <w:pPr>
        <w:autoSpaceDE w:val="0"/>
        <w:autoSpaceDN w:val="0"/>
        <w:adjustRightInd w:val="0"/>
        <w:spacing w:after="0" w:line="240" w:lineRule="auto"/>
        <w:jc w:val="both"/>
        <w:rPr>
          <w:rFonts w:ascii="Times New Roman" w:hAnsi="Times New Roman" w:cs="Times New Roman"/>
          <w:b/>
          <w:bCs/>
          <w:sz w:val="24"/>
          <w:szCs w:val="24"/>
        </w:rPr>
      </w:pPr>
    </w:p>
    <w:p w14:paraId="1F8F3EC6" w14:textId="77777777" w:rsidR="00F03299" w:rsidRDefault="00F03299" w:rsidP="000816C3">
      <w:pPr>
        <w:autoSpaceDE w:val="0"/>
        <w:autoSpaceDN w:val="0"/>
        <w:adjustRightInd w:val="0"/>
        <w:spacing w:after="0" w:line="240" w:lineRule="auto"/>
        <w:jc w:val="both"/>
        <w:rPr>
          <w:rFonts w:ascii="Times New Roman" w:hAnsi="Times New Roman" w:cs="Times New Roman"/>
          <w:b/>
          <w:bCs/>
          <w:sz w:val="24"/>
          <w:szCs w:val="24"/>
        </w:rPr>
      </w:pPr>
    </w:p>
    <w:p w14:paraId="10E67548" w14:textId="77777777" w:rsidR="00F03299" w:rsidRDefault="00F03299" w:rsidP="000816C3">
      <w:pPr>
        <w:autoSpaceDE w:val="0"/>
        <w:autoSpaceDN w:val="0"/>
        <w:adjustRightInd w:val="0"/>
        <w:spacing w:after="0" w:line="240" w:lineRule="auto"/>
        <w:jc w:val="both"/>
        <w:rPr>
          <w:rFonts w:ascii="Times New Roman" w:hAnsi="Times New Roman" w:cs="Times New Roman"/>
          <w:b/>
          <w:bCs/>
          <w:sz w:val="24"/>
          <w:szCs w:val="24"/>
        </w:rPr>
      </w:pPr>
    </w:p>
    <w:p w14:paraId="223B2DC9" w14:textId="77777777" w:rsidR="00F03299" w:rsidRDefault="00F03299" w:rsidP="000816C3">
      <w:pPr>
        <w:autoSpaceDE w:val="0"/>
        <w:autoSpaceDN w:val="0"/>
        <w:adjustRightInd w:val="0"/>
        <w:spacing w:after="0" w:line="240" w:lineRule="auto"/>
        <w:jc w:val="both"/>
        <w:rPr>
          <w:rFonts w:ascii="Times New Roman" w:hAnsi="Times New Roman" w:cs="Times New Roman"/>
          <w:b/>
          <w:bCs/>
          <w:sz w:val="24"/>
          <w:szCs w:val="24"/>
        </w:rPr>
      </w:pPr>
    </w:p>
    <w:p w14:paraId="7C5ACCD6" w14:textId="77777777" w:rsidR="00F03299" w:rsidRDefault="00F03299" w:rsidP="000816C3">
      <w:pPr>
        <w:autoSpaceDE w:val="0"/>
        <w:autoSpaceDN w:val="0"/>
        <w:adjustRightInd w:val="0"/>
        <w:spacing w:after="0" w:line="240" w:lineRule="auto"/>
        <w:jc w:val="both"/>
        <w:rPr>
          <w:rFonts w:ascii="Times New Roman" w:hAnsi="Times New Roman" w:cs="Times New Roman"/>
          <w:b/>
          <w:bCs/>
          <w:sz w:val="24"/>
          <w:szCs w:val="24"/>
        </w:rPr>
      </w:pPr>
    </w:p>
    <w:p w14:paraId="23F67EAB" w14:textId="69FBEF83" w:rsidR="00E22756" w:rsidRPr="000816C3" w:rsidRDefault="00E22756" w:rsidP="000816C3">
      <w:pPr>
        <w:autoSpaceDE w:val="0"/>
        <w:autoSpaceDN w:val="0"/>
        <w:adjustRightInd w:val="0"/>
        <w:spacing w:after="0" w:line="240" w:lineRule="auto"/>
        <w:jc w:val="both"/>
        <w:rPr>
          <w:rFonts w:ascii="Times New Roman" w:hAnsi="Times New Roman" w:cs="Times New Roman"/>
          <w:sz w:val="24"/>
          <w:szCs w:val="24"/>
        </w:rPr>
      </w:pPr>
      <w:r w:rsidRPr="00271D9C">
        <w:rPr>
          <w:rFonts w:ascii="Times New Roman" w:hAnsi="Times New Roman" w:cs="Times New Roman"/>
          <w:b/>
          <w:bCs/>
          <w:sz w:val="24"/>
          <w:szCs w:val="24"/>
        </w:rPr>
        <w:t>Table S</w:t>
      </w:r>
      <w:r w:rsidR="00B533E5">
        <w:rPr>
          <w:rFonts w:ascii="Times New Roman" w:hAnsi="Times New Roman" w:cs="Times New Roman"/>
          <w:b/>
          <w:bCs/>
          <w:sz w:val="24"/>
          <w:szCs w:val="24"/>
        </w:rPr>
        <w:t>5</w:t>
      </w:r>
      <w:r w:rsidR="000816C3" w:rsidRPr="00271D9C">
        <w:rPr>
          <w:rFonts w:ascii="Times New Roman" w:hAnsi="Times New Roman" w:cs="Times New Roman"/>
          <w:b/>
          <w:bCs/>
          <w:sz w:val="24"/>
          <w:szCs w:val="24"/>
        </w:rPr>
        <w:t>.</w:t>
      </w:r>
      <w:r w:rsidR="000816C3" w:rsidRPr="000816C3">
        <w:rPr>
          <w:rFonts w:ascii="Times New Roman" w:hAnsi="Times New Roman" w:cs="Times New Roman"/>
          <w:sz w:val="24"/>
          <w:szCs w:val="24"/>
        </w:rPr>
        <w:t xml:space="preserve"> Patients</w:t>
      </w:r>
      <w:r w:rsidR="00D812F6">
        <w:rPr>
          <w:rFonts w:ascii="Times New Roman" w:hAnsi="Times New Roman" w:cs="Times New Roman"/>
          <w:sz w:val="24"/>
          <w:szCs w:val="24"/>
        </w:rPr>
        <w:t>'</w:t>
      </w:r>
      <w:r w:rsidR="000816C3" w:rsidRPr="000816C3">
        <w:rPr>
          <w:rFonts w:ascii="Times New Roman" w:hAnsi="Times New Roman" w:cs="Times New Roman"/>
          <w:sz w:val="24"/>
          <w:szCs w:val="24"/>
        </w:rPr>
        <w:t xml:space="preserve"> characteristics </w:t>
      </w:r>
      <w:r w:rsidR="00D812F6">
        <w:rPr>
          <w:rFonts w:ascii="Times New Roman" w:hAnsi="Times New Roman" w:cs="Times New Roman"/>
          <w:sz w:val="24"/>
          <w:szCs w:val="24"/>
        </w:rPr>
        <w:t>among</w:t>
      </w:r>
      <w:r w:rsidR="000816C3" w:rsidRPr="000816C3">
        <w:rPr>
          <w:rFonts w:ascii="Times New Roman" w:hAnsi="Times New Roman" w:cs="Times New Roman"/>
          <w:sz w:val="24"/>
          <w:szCs w:val="24"/>
        </w:rPr>
        <w:t xml:space="preserve"> patients who received a clinical recommendation (n=116) and patients with non-matched therapy (n=47).</w:t>
      </w:r>
    </w:p>
    <w:p w14:paraId="11CD58F2" w14:textId="77777777" w:rsidR="00E22756" w:rsidRPr="000816C3" w:rsidRDefault="00E22756" w:rsidP="000816C3">
      <w:pPr>
        <w:autoSpaceDE w:val="0"/>
        <w:autoSpaceDN w:val="0"/>
        <w:adjustRightInd w:val="0"/>
        <w:spacing w:after="0" w:line="240" w:lineRule="auto"/>
        <w:jc w:val="both"/>
        <w:rPr>
          <w:rFonts w:ascii="Times New Roman" w:hAnsi="Times New Roman" w:cs="Times New Roman"/>
          <w:sz w:val="24"/>
          <w:szCs w:val="24"/>
        </w:rPr>
      </w:pPr>
    </w:p>
    <w:tbl>
      <w:tblPr>
        <w:tblW w:w="6138" w:type="dxa"/>
        <w:tblCellMar>
          <w:left w:w="0" w:type="dxa"/>
          <w:right w:w="0" w:type="dxa"/>
        </w:tblCellMar>
        <w:tblLook w:val="0600" w:firstRow="0" w:lastRow="0" w:firstColumn="0" w:lastColumn="0" w:noHBand="1" w:noVBand="1"/>
      </w:tblPr>
      <w:tblGrid>
        <w:gridCol w:w="1655"/>
        <w:gridCol w:w="2341"/>
        <w:gridCol w:w="2142"/>
      </w:tblGrid>
      <w:tr w:rsidR="00E22756" w:rsidRPr="000816C3" w14:paraId="5E94CF27" w14:textId="183091E8" w:rsidTr="00E22756">
        <w:trPr>
          <w:trHeight w:val="300"/>
        </w:trPr>
        <w:tc>
          <w:tcPr>
            <w:tcW w:w="1655" w:type="dxa"/>
            <w:tcBorders>
              <w:top w:val="single" w:sz="8" w:space="0" w:color="000000"/>
              <w:left w:val="single" w:sz="8" w:space="0" w:color="000000"/>
              <w:bottom w:val="single" w:sz="8" w:space="0" w:color="000000"/>
              <w:right w:val="single" w:sz="8" w:space="0" w:color="000000"/>
            </w:tcBorders>
          </w:tcPr>
          <w:p w14:paraId="3FAC92A2" w14:textId="77777777" w:rsidR="00E22756" w:rsidRPr="000816C3" w:rsidRDefault="00E22756">
            <w:pPr>
              <w:rPr>
                <w:rFonts w:ascii="Times New Roman" w:hAnsi="Times New Roman" w:cs="Times New Roman"/>
                <w:b/>
                <w:bCs/>
              </w:rPr>
            </w:pPr>
          </w:p>
        </w:tc>
        <w:tc>
          <w:tcPr>
            <w:tcW w:w="2341" w:type="dxa"/>
            <w:tcBorders>
              <w:top w:val="single" w:sz="8" w:space="0" w:color="000000"/>
              <w:left w:val="single" w:sz="8" w:space="0" w:color="000000"/>
              <w:bottom w:val="single" w:sz="8" w:space="0" w:color="000000"/>
              <w:right w:val="single" w:sz="8" w:space="0" w:color="000000"/>
            </w:tcBorders>
          </w:tcPr>
          <w:p w14:paraId="5F731FB8" w14:textId="70DBE9FD" w:rsidR="00E22756" w:rsidRPr="000816C3" w:rsidRDefault="00E22756" w:rsidP="00715069">
            <w:pPr>
              <w:jc w:val="center"/>
              <w:rPr>
                <w:rFonts w:ascii="Times New Roman" w:hAnsi="Times New Roman" w:cs="Times New Roman"/>
                <w:b/>
                <w:bCs/>
              </w:rPr>
            </w:pPr>
            <w:r w:rsidRPr="000816C3">
              <w:rPr>
                <w:rFonts w:ascii="Times New Roman" w:hAnsi="Times New Roman" w:cs="Times New Roman"/>
                <w:b/>
                <w:bCs/>
              </w:rPr>
              <w:t>Received recommendations (n=116)</w:t>
            </w:r>
          </w:p>
        </w:tc>
        <w:tc>
          <w:tcPr>
            <w:tcW w:w="2142" w:type="dxa"/>
            <w:tcBorders>
              <w:top w:val="single" w:sz="8" w:space="0" w:color="000000"/>
              <w:left w:val="single" w:sz="8" w:space="0" w:color="000000"/>
              <w:bottom w:val="single" w:sz="8" w:space="0" w:color="000000"/>
              <w:right w:val="single" w:sz="8" w:space="0" w:color="000000"/>
            </w:tcBorders>
          </w:tcPr>
          <w:p w14:paraId="1A5A395D" w14:textId="7372B70D" w:rsidR="00E22756" w:rsidRPr="000816C3" w:rsidRDefault="00E22756" w:rsidP="00715069">
            <w:pPr>
              <w:jc w:val="center"/>
              <w:rPr>
                <w:rFonts w:ascii="Times New Roman" w:hAnsi="Times New Roman" w:cs="Times New Roman"/>
                <w:b/>
                <w:bCs/>
              </w:rPr>
            </w:pPr>
            <w:r w:rsidRPr="000816C3">
              <w:rPr>
                <w:rFonts w:ascii="Times New Roman" w:hAnsi="Times New Roman" w:cs="Times New Roman"/>
                <w:b/>
                <w:bCs/>
              </w:rPr>
              <w:t>Nonmatched therapy (n=47)</w:t>
            </w:r>
          </w:p>
        </w:tc>
      </w:tr>
      <w:tr w:rsidR="000226D4" w:rsidRPr="000816C3" w14:paraId="42C5F72E" w14:textId="12577496" w:rsidTr="008B4154">
        <w:trPr>
          <w:trHeight w:val="300"/>
        </w:trPr>
        <w:tc>
          <w:tcPr>
            <w:tcW w:w="6138" w:type="dxa"/>
            <w:gridSpan w:val="3"/>
            <w:tcBorders>
              <w:top w:val="single" w:sz="8" w:space="0" w:color="000000"/>
              <w:left w:val="single" w:sz="8" w:space="0" w:color="000000"/>
              <w:bottom w:val="single" w:sz="8" w:space="0" w:color="000000"/>
              <w:right w:val="single" w:sz="8" w:space="0" w:color="000000"/>
            </w:tcBorders>
          </w:tcPr>
          <w:p w14:paraId="40206320" w14:textId="6972B933" w:rsidR="000226D4" w:rsidRPr="000816C3" w:rsidRDefault="000226D4" w:rsidP="000226D4">
            <w:pPr>
              <w:rPr>
                <w:rFonts w:ascii="Times New Roman" w:hAnsi="Times New Roman" w:cs="Times New Roman"/>
                <w:b/>
                <w:bCs/>
              </w:rPr>
            </w:pPr>
            <w:r w:rsidRPr="000816C3">
              <w:rPr>
                <w:rFonts w:ascii="Times New Roman" w:hAnsi="Times New Roman" w:cs="Times New Roman"/>
                <w:b/>
                <w:bCs/>
              </w:rPr>
              <w:t>Age (years)</w:t>
            </w:r>
          </w:p>
        </w:tc>
      </w:tr>
      <w:tr w:rsidR="00E22756" w:rsidRPr="000816C3" w14:paraId="02914B78" w14:textId="3587AB27" w:rsidTr="00E22756">
        <w:trPr>
          <w:trHeight w:val="300"/>
        </w:trPr>
        <w:tc>
          <w:tcPr>
            <w:tcW w:w="1655" w:type="dxa"/>
            <w:tcBorders>
              <w:top w:val="single" w:sz="8" w:space="0" w:color="000000"/>
              <w:left w:val="single" w:sz="8" w:space="0" w:color="000000"/>
              <w:bottom w:val="single" w:sz="8" w:space="0" w:color="000000"/>
              <w:right w:val="single" w:sz="8" w:space="0" w:color="000000"/>
            </w:tcBorders>
            <w:vAlign w:val="center"/>
          </w:tcPr>
          <w:p w14:paraId="7209FB1F" w14:textId="37308E1A" w:rsidR="00E22756" w:rsidRPr="000816C3" w:rsidRDefault="00E22756" w:rsidP="00E22756">
            <w:pPr>
              <w:rPr>
                <w:rFonts w:ascii="Times New Roman" w:hAnsi="Times New Roman" w:cs="Times New Roman"/>
                <w:b/>
                <w:bCs/>
              </w:rPr>
            </w:pPr>
            <w:r w:rsidRPr="000816C3">
              <w:rPr>
                <w:rFonts w:ascii="Times New Roman" w:hAnsi="Times New Roman" w:cs="Times New Roman"/>
                <w:b/>
                <w:bCs/>
              </w:rPr>
              <w:t>Median (range)</w:t>
            </w:r>
          </w:p>
        </w:tc>
        <w:tc>
          <w:tcPr>
            <w:tcW w:w="2341" w:type="dxa"/>
            <w:tcBorders>
              <w:top w:val="single" w:sz="8" w:space="0" w:color="000000"/>
              <w:left w:val="single" w:sz="8" w:space="0" w:color="000000"/>
              <w:bottom w:val="single" w:sz="8" w:space="0" w:color="000000"/>
              <w:right w:val="single" w:sz="8" w:space="0" w:color="000000"/>
            </w:tcBorders>
          </w:tcPr>
          <w:p w14:paraId="5F0CA135" w14:textId="04AC9885" w:rsidR="00E22756" w:rsidRPr="000816C3" w:rsidRDefault="00E22756" w:rsidP="00715069">
            <w:pPr>
              <w:jc w:val="center"/>
              <w:rPr>
                <w:rFonts w:ascii="Times New Roman" w:hAnsi="Times New Roman" w:cs="Times New Roman"/>
              </w:rPr>
            </w:pPr>
            <w:r w:rsidRPr="000816C3">
              <w:rPr>
                <w:rFonts w:ascii="Times New Roman" w:hAnsi="Times New Roman" w:cs="Times New Roman"/>
              </w:rPr>
              <w:t>54 (33-80)</w:t>
            </w:r>
          </w:p>
        </w:tc>
        <w:tc>
          <w:tcPr>
            <w:tcW w:w="2142" w:type="dxa"/>
            <w:tcBorders>
              <w:top w:val="single" w:sz="8" w:space="0" w:color="000000"/>
              <w:left w:val="single" w:sz="8" w:space="0" w:color="000000"/>
              <w:bottom w:val="single" w:sz="8" w:space="0" w:color="000000"/>
              <w:right w:val="single" w:sz="8" w:space="0" w:color="000000"/>
            </w:tcBorders>
          </w:tcPr>
          <w:p w14:paraId="30BDB98E" w14:textId="1ED5E534" w:rsidR="00E22756" w:rsidRPr="000816C3" w:rsidRDefault="00666EBB" w:rsidP="00715069">
            <w:pPr>
              <w:jc w:val="center"/>
              <w:rPr>
                <w:rFonts w:ascii="Times New Roman" w:hAnsi="Times New Roman" w:cs="Times New Roman"/>
              </w:rPr>
            </w:pPr>
            <w:r w:rsidRPr="000816C3">
              <w:rPr>
                <w:rFonts w:ascii="Times New Roman" w:hAnsi="Times New Roman" w:cs="Times New Roman"/>
              </w:rPr>
              <w:t>53 (29-80)</w:t>
            </w:r>
          </w:p>
        </w:tc>
      </w:tr>
      <w:tr w:rsidR="00E22756" w:rsidRPr="000816C3" w14:paraId="29AA2632" w14:textId="798453E0" w:rsidTr="00E22756">
        <w:trPr>
          <w:trHeight w:val="300"/>
        </w:trPr>
        <w:tc>
          <w:tcPr>
            <w:tcW w:w="1655" w:type="dxa"/>
            <w:tcBorders>
              <w:top w:val="single" w:sz="8" w:space="0" w:color="000000"/>
              <w:left w:val="single" w:sz="8" w:space="0" w:color="000000"/>
              <w:bottom w:val="single" w:sz="8" w:space="0" w:color="000000"/>
              <w:right w:val="single" w:sz="8" w:space="0" w:color="000000"/>
            </w:tcBorders>
            <w:vAlign w:val="center"/>
          </w:tcPr>
          <w:p w14:paraId="37A15F3A" w14:textId="622849E4" w:rsidR="00E22756" w:rsidRPr="000816C3" w:rsidRDefault="000816C3" w:rsidP="00E22756">
            <w:pPr>
              <w:rPr>
                <w:rFonts w:ascii="Times New Roman" w:hAnsi="Times New Roman" w:cs="Times New Roman"/>
              </w:rPr>
            </w:pPr>
            <w:r w:rsidRPr="000816C3">
              <w:rPr>
                <w:rFonts w:ascii="Times New Roman" w:hAnsi="Times New Roman" w:cs="Times New Roman"/>
              </w:rPr>
              <w:t xml:space="preserve">  </w:t>
            </w:r>
            <w:r w:rsidR="00E22756" w:rsidRPr="000816C3">
              <w:rPr>
                <w:rFonts w:ascii="Times New Roman" w:hAnsi="Times New Roman" w:cs="Times New Roman"/>
              </w:rPr>
              <w:t>&lt;50</w:t>
            </w:r>
          </w:p>
        </w:tc>
        <w:tc>
          <w:tcPr>
            <w:tcW w:w="2341" w:type="dxa"/>
            <w:tcBorders>
              <w:top w:val="single" w:sz="8" w:space="0" w:color="000000"/>
              <w:left w:val="single" w:sz="8" w:space="0" w:color="000000"/>
              <w:bottom w:val="single" w:sz="8" w:space="0" w:color="000000"/>
              <w:right w:val="single" w:sz="8" w:space="0" w:color="000000"/>
            </w:tcBorders>
          </w:tcPr>
          <w:p w14:paraId="03889433" w14:textId="03F3B632" w:rsidR="00E22756" w:rsidRPr="000816C3" w:rsidRDefault="00E22756" w:rsidP="00715069">
            <w:pPr>
              <w:jc w:val="center"/>
              <w:rPr>
                <w:rFonts w:ascii="Times New Roman" w:hAnsi="Times New Roman" w:cs="Times New Roman"/>
              </w:rPr>
            </w:pPr>
            <w:r w:rsidRPr="000816C3">
              <w:rPr>
                <w:rFonts w:ascii="Times New Roman" w:hAnsi="Times New Roman" w:cs="Times New Roman"/>
              </w:rPr>
              <w:t>41 (35%)</w:t>
            </w:r>
          </w:p>
        </w:tc>
        <w:tc>
          <w:tcPr>
            <w:tcW w:w="2142" w:type="dxa"/>
            <w:tcBorders>
              <w:top w:val="single" w:sz="8" w:space="0" w:color="000000"/>
              <w:left w:val="single" w:sz="8" w:space="0" w:color="000000"/>
              <w:bottom w:val="single" w:sz="8" w:space="0" w:color="000000"/>
              <w:right w:val="single" w:sz="8" w:space="0" w:color="000000"/>
            </w:tcBorders>
          </w:tcPr>
          <w:p w14:paraId="6492A9AA" w14:textId="6AD12D6D" w:rsidR="00E22756" w:rsidRPr="000816C3" w:rsidRDefault="00666EBB" w:rsidP="00715069">
            <w:pPr>
              <w:jc w:val="center"/>
              <w:rPr>
                <w:rFonts w:ascii="Times New Roman" w:hAnsi="Times New Roman" w:cs="Times New Roman"/>
              </w:rPr>
            </w:pPr>
            <w:r w:rsidRPr="000816C3">
              <w:rPr>
                <w:rFonts w:ascii="Times New Roman" w:hAnsi="Times New Roman" w:cs="Times New Roman"/>
              </w:rPr>
              <w:t>16 (34%)</w:t>
            </w:r>
          </w:p>
        </w:tc>
      </w:tr>
      <w:tr w:rsidR="00E22756" w:rsidRPr="000816C3" w14:paraId="338EDC92" w14:textId="6983D12C" w:rsidTr="00E22756">
        <w:trPr>
          <w:trHeight w:val="300"/>
        </w:trPr>
        <w:tc>
          <w:tcPr>
            <w:tcW w:w="1655" w:type="dxa"/>
            <w:tcBorders>
              <w:top w:val="single" w:sz="8" w:space="0" w:color="000000"/>
              <w:left w:val="single" w:sz="8" w:space="0" w:color="000000"/>
              <w:bottom w:val="single" w:sz="8" w:space="0" w:color="000000"/>
              <w:right w:val="single" w:sz="8" w:space="0" w:color="000000"/>
            </w:tcBorders>
            <w:vAlign w:val="center"/>
          </w:tcPr>
          <w:p w14:paraId="53DA31E6" w14:textId="3FC02F9C" w:rsidR="00E22756" w:rsidRPr="000816C3" w:rsidRDefault="000816C3" w:rsidP="00E22756">
            <w:pPr>
              <w:rPr>
                <w:rFonts w:ascii="Times New Roman" w:hAnsi="Times New Roman" w:cs="Times New Roman"/>
              </w:rPr>
            </w:pPr>
            <w:r w:rsidRPr="000816C3">
              <w:rPr>
                <w:rFonts w:ascii="Times New Roman" w:hAnsi="Times New Roman" w:cs="Times New Roman"/>
              </w:rPr>
              <w:t xml:space="preserve">  </w:t>
            </w:r>
            <w:r w:rsidR="00E22756" w:rsidRPr="000816C3">
              <w:rPr>
                <w:rFonts w:ascii="Times New Roman" w:hAnsi="Times New Roman" w:cs="Times New Roman"/>
              </w:rPr>
              <w:t>&gt;= 50</w:t>
            </w:r>
          </w:p>
        </w:tc>
        <w:tc>
          <w:tcPr>
            <w:tcW w:w="2341" w:type="dxa"/>
            <w:tcBorders>
              <w:top w:val="single" w:sz="8" w:space="0" w:color="000000"/>
              <w:left w:val="single" w:sz="8" w:space="0" w:color="000000"/>
              <w:bottom w:val="single" w:sz="8" w:space="0" w:color="000000"/>
              <w:right w:val="single" w:sz="8" w:space="0" w:color="000000"/>
            </w:tcBorders>
          </w:tcPr>
          <w:p w14:paraId="6DBE2B45" w14:textId="44CEFD5A" w:rsidR="00E22756" w:rsidRPr="000816C3" w:rsidRDefault="00E22756" w:rsidP="00715069">
            <w:pPr>
              <w:jc w:val="center"/>
              <w:rPr>
                <w:rFonts w:ascii="Times New Roman" w:hAnsi="Times New Roman" w:cs="Times New Roman"/>
              </w:rPr>
            </w:pPr>
            <w:r w:rsidRPr="000816C3">
              <w:rPr>
                <w:rFonts w:ascii="Times New Roman" w:hAnsi="Times New Roman" w:cs="Times New Roman"/>
              </w:rPr>
              <w:t>75 (65%)</w:t>
            </w:r>
          </w:p>
        </w:tc>
        <w:tc>
          <w:tcPr>
            <w:tcW w:w="2142" w:type="dxa"/>
            <w:tcBorders>
              <w:top w:val="single" w:sz="8" w:space="0" w:color="000000"/>
              <w:left w:val="single" w:sz="8" w:space="0" w:color="000000"/>
              <w:bottom w:val="single" w:sz="8" w:space="0" w:color="000000"/>
              <w:right w:val="single" w:sz="8" w:space="0" w:color="000000"/>
            </w:tcBorders>
          </w:tcPr>
          <w:p w14:paraId="00FC6CD7" w14:textId="5D8CBA54" w:rsidR="00E22756" w:rsidRPr="000816C3" w:rsidRDefault="00666EBB" w:rsidP="00715069">
            <w:pPr>
              <w:jc w:val="center"/>
              <w:rPr>
                <w:rFonts w:ascii="Times New Roman" w:hAnsi="Times New Roman" w:cs="Times New Roman"/>
              </w:rPr>
            </w:pPr>
            <w:r w:rsidRPr="000816C3">
              <w:rPr>
                <w:rFonts w:ascii="Times New Roman" w:hAnsi="Times New Roman" w:cs="Times New Roman"/>
              </w:rPr>
              <w:t>31 (66%)</w:t>
            </w:r>
          </w:p>
        </w:tc>
      </w:tr>
      <w:tr w:rsidR="000226D4" w:rsidRPr="000816C3" w14:paraId="53FD7D66" w14:textId="6EE81E23" w:rsidTr="0098420B">
        <w:trPr>
          <w:trHeight w:val="300"/>
        </w:trPr>
        <w:tc>
          <w:tcPr>
            <w:tcW w:w="6138" w:type="dxa"/>
            <w:gridSpan w:val="3"/>
            <w:tcBorders>
              <w:top w:val="single" w:sz="8" w:space="0" w:color="000000"/>
              <w:left w:val="single" w:sz="8" w:space="0" w:color="000000"/>
              <w:bottom w:val="single" w:sz="8" w:space="0" w:color="000000"/>
              <w:right w:val="single" w:sz="8" w:space="0" w:color="000000"/>
            </w:tcBorders>
          </w:tcPr>
          <w:p w14:paraId="59D92119" w14:textId="5B6C5BF0" w:rsidR="000226D4" w:rsidRPr="000816C3" w:rsidRDefault="000226D4" w:rsidP="000816C3">
            <w:pPr>
              <w:rPr>
                <w:rFonts w:ascii="Times New Roman" w:hAnsi="Times New Roman" w:cs="Times New Roman"/>
                <w:b/>
                <w:bCs/>
              </w:rPr>
            </w:pPr>
            <w:r w:rsidRPr="000816C3">
              <w:rPr>
                <w:rFonts w:ascii="Times New Roman" w:hAnsi="Times New Roman" w:cs="Times New Roman"/>
                <w:b/>
                <w:bCs/>
              </w:rPr>
              <w:t>ECOG</w:t>
            </w:r>
          </w:p>
        </w:tc>
      </w:tr>
      <w:tr w:rsidR="00E22756" w:rsidRPr="000816C3" w14:paraId="5028FB97" w14:textId="79D78F2D" w:rsidTr="00E22756">
        <w:trPr>
          <w:trHeight w:val="300"/>
        </w:trPr>
        <w:tc>
          <w:tcPr>
            <w:tcW w:w="1655" w:type="dxa"/>
            <w:tcBorders>
              <w:top w:val="single" w:sz="8" w:space="0" w:color="000000"/>
              <w:left w:val="single" w:sz="8" w:space="0" w:color="000000"/>
              <w:bottom w:val="single" w:sz="8" w:space="0" w:color="000000"/>
              <w:right w:val="single" w:sz="8" w:space="0" w:color="000000"/>
            </w:tcBorders>
            <w:vAlign w:val="center"/>
          </w:tcPr>
          <w:p w14:paraId="3C5C0F56" w14:textId="56447161" w:rsidR="00E22756" w:rsidRPr="000816C3" w:rsidRDefault="000816C3" w:rsidP="00E22756">
            <w:pPr>
              <w:rPr>
                <w:rFonts w:ascii="Times New Roman" w:hAnsi="Times New Roman" w:cs="Times New Roman"/>
              </w:rPr>
            </w:pPr>
            <w:r w:rsidRPr="000816C3">
              <w:rPr>
                <w:rFonts w:ascii="Times New Roman" w:hAnsi="Times New Roman" w:cs="Times New Roman"/>
              </w:rPr>
              <w:t xml:space="preserve">  </w:t>
            </w:r>
            <w:r w:rsidR="00E22756" w:rsidRPr="000816C3">
              <w:rPr>
                <w:rFonts w:ascii="Times New Roman" w:hAnsi="Times New Roman" w:cs="Times New Roman"/>
              </w:rPr>
              <w:t>0</w:t>
            </w:r>
          </w:p>
        </w:tc>
        <w:tc>
          <w:tcPr>
            <w:tcW w:w="2341" w:type="dxa"/>
            <w:tcBorders>
              <w:top w:val="single" w:sz="8" w:space="0" w:color="000000"/>
              <w:left w:val="single" w:sz="8" w:space="0" w:color="000000"/>
              <w:bottom w:val="single" w:sz="8" w:space="0" w:color="000000"/>
              <w:right w:val="single" w:sz="8" w:space="0" w:color="000000"/>
            </w:tcBorders>
            <w:vAlign w:val="center"/>
          </w:tcPr>
          <w:p w14:paraId="61ECB001" w14:textId="02061FA5" w:rsidR="00E22756" w:rsidRPr="000816C3" w:rsidRDefault="00E22756" w:rsidP="00715069">
            <w:pPr>
              <w:jc w:val="center"/>
              <w:rPr>
                <w:rFonts w:ascii="Times New Roman" w:hAnsi="Times New Roman" w:cs="Times New Roman"/>
              </w:rPr>
            </w:pPr>
            <w:r w:rsidRPr="000816C3">
              <w:rPr>
                <w:rFonts w:ascii="Times New Roman" w:hAnsi="Times New Roman" w:cs="Times New Roman"/>
              </w:rPr>
              <w:t>49 (43</w:t>
            </w:r>
            <w:r w:rsidR="000226D4" w:rsidRPr="000816C3">
              <w:rPr>
                <w:rFonts w:ascii="Times New Roman" w:hAnsi="Times New Roman" w:cs="Times New Roman"/>
              </w:rPr>
              <w:t>.0</w:t>
            </w:r>
            <w:r w:rsidRPr="000816C3">
              <w:rPr>
                <w:rFonts w:ascii="Times New Roman" w:hAnsi="Times New Roman" w:cs="Times New Roman"/>
              </w:rPr>
              <w:t>%)</w:t>
            </w:r>
          </w:p>
        </w:tc>
        <w:tc>
          <w:tcPr>
            <w:tcW w:w="2142" w:type="dxa"/>
            <w:tcBorders>
              <w:top w:val="single" w:sz="8" w:space="0" w:color="000000"/>
              <w:left w:val="single" w:sz="8" w:space="0" w:color="000000"/>
              <w:bottom w:val="single" w:sz="8" w:space="0" w:color="000000"/>
              <w:right w:val="single" w:sz="8" w:space="0" w:color="000000"/>
            </w:tcBorders>
          </w:tcPr>
          <w:p w14:paraId="5D9C9C0B" w14:textId="490BED8F" w:rsidR="00E22756" w:rsidRPr="000816C3" w:rsidRDefault="008B46C3" w:rsidP="00715069">
            <w:pPr>
              <w:jc w:val="center"/>
              <w:rPr>
                <w:rFonts w:ascii="Times New Roman" w:hAnsi="Times New Roman" w:cs="Times New Roman"/>
              </w:rPr>
            </w:pPr>
            <w:r w:rsidRPr="000816C3">
              <w:rPr>
                <w:rFonts w:ascii="Times New Roman" w:hAnsi="Times New Roman" w:cs="Times New Roman"/>
              </w:rPr>
              <w:t>18 (38.3%)</w:t>
            </w:r>
          </w:p>
        </w:tc>
      </w:tr>
      <w:tr w:rsidR="00E22756" w:rsidRPr="000816C3" w14:paraId="7A65353C" w14:textId="5C1B4502" w:rsidTr="00E22756">
        <w:trPr>
          <w:trHeight w:val="300"/>
        </w:trPr>
        <w:tc>
          <w:tcPr>
            <w:tcW w:w="1655" w:type="dxa"/>
            <w:tcBorders>
              <w:top w:val="single" w:sz="8" w:space="0" w:color="000000"/>
              <w:left w:val="single" w:sz="8" w:space="0" w:color="000000"/>
              <w:bottom w:val="single" w:sz="8" w:space="0" w:color="000000"/>
              <w:right w:val="single" w:sz="8" w:space="0" w:color="000000"/>
            </w:tcBorders>
            <w:vAlign w:val="center"/>
          </w:tcPr>
          <w:p w14:paraId="4EC48A7A" w14:textId="15D32CF8" w:rsidR="00E22756" w:rsidRPr="000816C3" w:rsidRDefault="000816C3" w:rsidP="00E22756">
            <w:pPr>
              <w:rPr>
                <w:rFonts w:ascii="Times New Roman" w:hAnsi="Times New Roman" w:cs="Times New Roman"/>
              </w:rPr>
            </w:pPr>
            <w:r w:rsidRPr="000816C3">
              <w:rPr>
                <w:rFonts w:ascii="Times New Roman" w:hAnsi="Times New Roman" w:cs="Times New Roman"/>
              </w:rPr>
              <w:t xml:space="preserve">  </w:t>
            </w:r>
            <w:r w:rsidR="00E22756" w:rsidRPr="000816C3">
              <w:rPr>
                <w:rFonts w:ascii="Times New Roman" w:hAnsi="Times New Roman" w:cs="Times New Roman"/>
              </w:rPr>
              <w:t>1</w:t>
            </w:r>
          </w:p>
        </w:tc>
        <w:tc>
          <w:tcPr>
            <w:tcW w:w="2341" w:type="dxa"/>
            <w:tcBorders>
              <w:top w:val="single" w:sz="8" w:space="0" w:color="000000"/>
              <w:left w:val="single" w:sz="8" w:space="0" w:color="000000"/>
              <w:bottom w:val="single" w:sz="8" w:space="0" w:color="000000"/>
              <w:right w:val="single" w:sz="8" w:space="0" w:color="000000"/>
            </w:tcBorders>
            <w:vAlign w:val="center"/>
          </w:tcPr>
          <w:p w14:paraId="42CE2B70" w14:textId="6C63D957" w:rsidR="00E22756" w:rsidRPr="000816C3" w:rsidRDefault="00E22756" w:rsidP="00715069">
            <w:pPr>
              <w:jc w:val="center"/>
              <w:rPr>
                <w:rFonts w:ascii="Times New Roman" w:hAnsi="Times New Roman" w:cs="Times New Roman"/>
              </w:rPr>
            </w:pPr>
            <w:r w:rsidRPr="000816C3">
              <w:rPr>
                <w:rFonts w:ascii="Times New Roman" w:hAnsi="Times New Roman" w:cs="Times New Roman"/>
              </w:rPr>
              <w:t>62 (</w:t>
            </w:r>
            <w:r w:rsidR="000226D4" w:rsidRPr="000816C3">
              <w:rPr>
                <w:rFonts w:ascii="Times New Roman" w:hAnsi="Times New Roman" w:cs="Times New Roman"/>
              </w:rPr>
              <w:t>54.4</w:t>
            </w:r>
            <w:r w:rsidRPr="000816C3">
              <w:rPr>
                <w:rFonts w:ascii="Times New Roman" w:hAnsi="Times New Roman" w:cs="Times New Roman"/>
              </w:rPr>
              <w:t>%)</w:t>
            </w:r>
          </w:p>
        </w:tc>
        <w:tc>
          <w:tcPr>
            <w:tcW w:w="2142" w:type="dxa"/>
            <w:tcBorders>
              <w:top w:val="single" w:sz="8" w:space="0" w:color="000000"/>
              <w:left w:val="single" w:sz="8" w:space="0" w:color="000000"/>
              <w:bottom w:val="single" w:sz="8" w:space="0" w:color="000000"/>
              <w:right w:val="single" w:sz="8" w:space="0" w:color="000000"/>
            </w:tcBorders>
          </w:tcPr>
          <w:p w14:paraId="1D3356F7" w14:textId="6E73ED33" w:rsidR="00E22756" w:rsidRPr="000816C3" w:rsidRDefault="008B46C3" w:rsidP="00715069">
            <w:pPr>
              <w:jc w:val="center"/>
              <w:rPr>
                <w:rFonts w:ascii="Times New Roman" w:hAnsi="Times New Roman" w:cs="Times New Roman"/>
              </w:rPr>
            </w:pPr>
            <w:r w:rsidRPr="000816C3">
              <w:rPr>
                <w:rFonts w:ascii="Times New Roman" w:hAnsi="Times New Roman" w:cs="Times New Roman"/>
              </w:rPr>
              <w:t>26 (55.3%)</w:t>
            </w:r>
          </w:p>
        </w:tc>
      </w:tr>
      <w:tr w:rsidR="00E22756" w:rsidRPr="000816C3" w14:paraId="043EFA2F" w14:textId="559BF129" w:rsidTr="00E22756">
        <w:trPr>
          <w:trHeight w:val="300"/>
        </w:trPr>
        <w:tc>
          <w:tcPr>
            <w:tcW w:w="1655" w:type="dxa"/>
            <w:tcBorders>
              <w:top w:val="single" w:sz="8" w:space="0" w:color="000000"/>
              <w:left w:val="single" w:sz="8" w:space="0" w:color="000000"/>
              <w:bottom w:val="single" w:sz="8" w:space="0" w:color="000000"/>
              <w:right w:val="single" w:sz="8" w:space="0" w:color="000000"/>
            </w:tcBorders>
            <w:vAlign w:val="center"/>
          </w:tcPr>
          <w:p w14:paraId="7DD15CDB" w14:textId="4137E922" w:rsidR="00E22756" w:rsidRPr="000816C3" w:rsidRDefault="000816C3" w:rsidP="00E22756">
            <w:pPr>
              <w:rPr>
                <w:rFonts w:ascii="Times New Roman" w:hAnsi="Times New Roman" w:cs="Times New Roman"/>
              </w:rPr>
            </w:pPr>
            <w:r w:rsidRPr="000816C3">
              <w:rPr>
                <w:rFonts w:ascii="Times New Roman" w:hAnsi="Times New Roman" w:cs="Times New Roman"/>
              </w:rPr>
              <w:t xml:space="preserve">  </w:t>
            </w:r>
            <w:r w:rsidR="00E22756" w:rsidRPr="000816C3">
              <w:rPr>
                <w:rFonts w:ascii="Times New Roman" w:hAnsi="Times New Roman" w:cs="Times New Roman"/>
              </w:rPr>
              <w:t>2</w:t>
            </w:r>
          </w:p>
        </w:tc>
        <w:tc>
          <w:tcPr>
            <w:tcW w:w="2341" w:type="dxa"/>
            <w:tcBorders>
              <w:top w:val="single" w:sz="8" w:space="0" w:color="000000"/>
              <w:left w:val="single" w:sz="8" w:space="0" w:color="000000"/>
              <w:bottom w:val="single" w:sz="8" w:space="0" w:color="000000"/>
              <w:right w:val="single" w:sz="8" w:space="0" w:color="000000"/>
            </w:tcBorders>
            <w:vAlign w:val="center"/>
          </w:tcPr>
          <w:p w14:paraId="0EC059BA" w14:textId="4D95D332" w:rsidR="00E22756" w:rsidRPr="000816C3" w:rsidRDefault="00E22756" w:rsidP="00715069">
            <w:pPr>
              <w:jc w:val="center"/>
              <w:rPr>
                <w:rFonts w:ascii="Times New Roman" w:hAnsi="Times New Roman" w:cs="Times New Roman"/>
              </w:rPr>
            </w:pPr>
            <w:r w:rsidRPr="000816C3">
              <w:rPr>
                <w:rFonts w:ascii="Times New Roman" w:hAnsi="Times New Roman" w:cs="Times New Roman"/>
              </w:rPr>
              <w:t>3 (</w:t>
            </w:r>
            <w:r w:rsidR="000226D4" w:rsidRPr="000816C3">
              <w:rPr>
                <w:rFonts w:ascii="Times New Roman" w:hAnsi="Times New Roman" w:cs="Times New Roman"/>
              </w:rPr>
              <w:t>2.6</w:t>
            </w:r>
            <w:r w:rsidRPr="000816C3">
              <w:rPr>
                <w:rFonts w:ascii="Times New Roman" w:hAnsi="Times New Roman" w:cs="Times New Roman"/>
              </w:rPr>
              <w:t>%)</w:t>
            </w:r>
          </w:p>
        </w:tc>
        <w:tc>
          <w:tcPr>
            <w:tcW w:w="2142" w:type="dxa"/>
            <w:tcBorders>
              <w:top w:val="single" w:sz="8" w:space="0" w:color="000000"/>
              <w:left w:val="single" w:sz="8" w:space="0" w:color="000000"/>
              <w:bottom w:val="single" w:sz="8" w:space="0" w:color="000000"/>
              <w:right w:val="single" w:sz="8" w:space="0" w:color="000000"/>
            </w:tcBorders>
          </w:tcPr>
          <w:p w14:paraId="5A7F8AE8" w14:textId="1012D274" w:rsidR="00E22756" w:rsidRPr="000816C3" w:rsidRDefault="008B46C3" w:rsidP="00715069">
            <w:pPr>
              <w:jc w:val="center"/>
              <w:rPr>
                <w:rFonts w:ascii="Times New Roman" w:hAnsi="Times New Roman" w:cs="Times New Roman"/>
              </w:rPr>
            </w:pPr>
            <w:r w:rsidRPr="000816C3">
              <w:rPr>
                <w:rFonts w:ascii="Times New Roman" w:hAnsi="Times New Roman" w:cs="Times New Roman"/>
              </w:rPr>
              <w:t>3 (6.4%)</w:t>
            </w:r>
          </w:p>
        </w:tc>
      </w:tr>
      <w:tr w:rsidR="000226D4" w:rsidRPr="000816C3" w14:paraId="00B8F4FC" w14:textId="6A00DE64" w:rsidTr="003D2DC5">
        <w:trPr>
          <w:trHeight w:val="300"/>
        </w:trPr>
        <w:tc>
          <w:tcPr>
            <w:tcW w:w="6138" w:type="dxa"/>
            <w:gridSpan w:val="3"/>
            <w:tcBorders>
              <w:top w:val="single" w:sz="8" w:space="0" w:color="000000"/>
              <w:left w:val="single" w:sz="8" w:space="0" w:color="000000"/>
              <w:bottom w:val="single" w:sz="8" w:space="0" w:color="000000"/>
              <w:right w:val="single" w:sz="8" w:space="0" w:color="000000"/>
            </w:tcBorders>
          </w:tcPr>
          <w:p w14:paraId="3E6082B0" w14:textId="68CE3359" w:rsidR="000226D4" w:rsidRPr="000816C3" w:rsidRDefault="000226D4" w:rsidP="000226D4">
            <w:pPr>
              <w:rPr>
                <w:rFonts w:ascii="Times New Roman" w:hAnsi="Times New Roman" w:cs="Times New Roman"/>
              </w:rPr>
            </w:pPr>
            <w:r w:rsidRPr="000816C3">
              <w:rPr>
                <w:rFonts w:ascii="Times New Roman" w:hAnsi="Times New Roman" w:cs="Times New Roman"/>
                <w:b/>
                <w:bCs/>
                <w:sz w:val="24"/>
                <w:szCs w:val="24"/>
              </w:rPr>
              <w:t>Hormone receptor status</w:t>
            </w:r>
          </w:p>
        </w:tc>
      </w:tr>
      <w:tr w:rsidR="00E22756" w:rsidRPr="000816C3" w14:paraId="0BDF055E" w14:textId="1782640B" w:rsidTr="00E22756">
        <w:trPr>
          <w:trHeight w:val="300"/>
        </w:trPr>
        <w:tc>
          <w:tcPr>
            <w:tcW w:w="1655" w:type="dxa"/>
            <w:tcBorders>
              <w:top w:val="single" w:sz="8" w:space="0" w:color="000000"/>
              <w:left w:val="single" w:sz="8" w:space="0" w:color="000000"/>
              <w:bottom w:val="single" w:sz="8" w:space="0" w:color="000000"/>
              <w:right w:val="single" w:sz="8" w:space="0" w:color="000000"/>
            </w:tcBorders>
            <w:vAlign w:val="center"/>
          </w:tcPr>
          <w:p w14:paraId="731248EF" w14:textId="6E6A1938" w:rsidR="00E22756" w:rsidRPr="000816C3" w:rsidRDefault="000816C3" w:rsidP="00E22756">
            <w:pPr>
              <w:rPr>
                <w:rFonts w:ascii="Times New Roman" w:hAnsi="Times New Roman" w:cs="Times New Roman"/>
              </w:rPr>
            </w:pPr>
            <w:r w:rsidRPr="000816C3">
              <w:rPr>
                <w:rFonts w:ascii="Times New Roman" w:hAnsi="Times New Roman" w:cs="Times New Roman"/>
              </w:rPr>
              <w:t xml:space="preserve">  </w:t>
            </w:r>
            <w:r w:rsidR="00E22756" w:rsidRPr="000816C3">
              <w:rPr>
                <w:rFonts w:ascii="Times New Roman" w:hAnsi="Times New Roman" w:cs="Times New Roman"/>
              </w:rPr>
              <w:t>Negative</w:t>
            </w:r>
          </w:p>
        </w:tc>
        <w:tc>
          <w:tcPr>
            <w:tcW w:w="2341" w:type="dxa"/>
            <w:tcBorders>
              <w:top w:val="single" w:sz="8" w:space="0" w:color="000000"/>
              <w:left w:val="single" w:sz="8" w:space="0" w:color="000000"/>
              <w:bottom w:val="single" w:sz="8" w:space="0" w:color="000000"/>
              <w:right w:val="single" w:sz="8" w:space="0" w:color="000000"/>
            </w:tcBorders>
            <w:vAlign w:val="center"/>
          </w:tcPr>
          <w:p w14:paraId="2DA77277" w14:textId="3AA3A9A9" w:rsidR="00E22756" w:rsidRPr="000816C3" w:rsidRDefault="00094AE7" w:rsidP="00715069">
            <w:pPr>
              <w:jc w:val="center"/>
              <w:rPr>
                <w:rFonts w:ascii="Times New Roman" w:hAnsi="Times New Roman" w:cs="Times New Roman"/>
              </w:rPr>
            </w:pPr>
            <w:r w:rsidRPr="000816C3">
              <w:rPr>
                <w:rFonts w:ascii="Times New Roman" w:hAnsi="Times New Roman" w:cs="Times New Roman"/>
              </w:rPr>
              <w:t xml:space="preserve">11 </w:t>
            </w:r>
            <w:r w:rsidR="00E22756" w:rsidRPr="000816C3">
              <w:rPr>
                <w:rFonts w:ascii="Times New Roman" w:hAnsi="Times New Roman" w:cs="Times New Roman"/>
              </w:rPr>
              <w:t>(</w:t>
            </w:r>
            <w:r w:rsidRPr="000816C3">
              <w:rPr>
                <w:rFonts w:ascii="Times New Roman" w:hAnsi="Times New Roman" w:cs="Times New Roman"/>
              </w:rPr>
              <w:t>9.5</w:t>
            </w:r>
            <w:r w:rsidR="00E22756" w:rsidRPr="000816C3">
              <w:rPr>
                <w:rFonts w:ascii="Times New Roman" w:hAnsi="Times New Roman" w:cs="Times New Roman"/>
              </w:rPr>
              <w:t>%)</w:t>
            </w:r>
          </w:p>
        </w:tc>
        <w:tc>
          <w:tcPr>
            <w:tcW w:w="2142" w:type="dxa"/>
            <w:tcBorders>
              <w:top w:val="single" w:sz="8" w:space="0" w:color="000000"/>
              <w:left w:val="single" w:sz="8" w:space="0" w:color="000000"/>
              <w:bottom w:val="single" w:sz="8" w:space="0" w:color="000000"/>
              <w:right w:val="single" w:sz="8" w:space="0" w:color="000000"/>
            </w:tcBorders>
          </w:tcPr>
          <w:p w14:paraId="0044C621" w14:textId="199B5A82" w:rsidR="00E22756" w:rsidRPr="000816C3" w:rsidRDefault="008A7444" w:rsidP="00715069">
            <w:pPr>
              <w:jc w:val="center"/>
              <w:rPr>
                <w:rFonts w:ascii="Times New Roman" w:hAnsi="Times New Roman" w:cs="Times New Roman"/>
              </w:rPr>
            </w:pPr>
            <w:r w:rsidRPr="000816C3">
              <w:rPr>
                <w:rFonts w:ascii="Times New Roman" w:hAnsi="Times New Roman" w:cs="Times New Roman"/>
              </w:rPr>
              <w:t>17 (36.2%)</w:t>
            </w:r>
          </w:p>
        </w:tc>
      </w:tr>
      <w:tr w:rsidR="00E22756" w:rsidRPr="000816C3" w14:paraId="2090C259" w14:textId="69718214" w:rsidTr="00E22756">
        <w:trPr>
          <w:trHeight w:val="300"/>
        </w:trPr>
        <w:tc>
          <w:tcPr>
            <w:tcW w:w="1655" w:type="dxa"/>
            <w:tcBorders>
              <w:top w:val="single" w:sz="8" w:space="0" w:color="000000"/>
              <w:left w:val="single" w:sz="8" w:space="0" w:color="000000"/>
              <w:bottom w:val="single" w:sz="8" w:space="0" w:color="000000"/>
              <w:right w:val="single" w:sz="8" w:space="0" w:color="000000"/>
            </w:tcBorders>
            <w:vAlign w:val="center"/>
          </w:tcPr>
          <w:p w14:paraId="47B1DCFD" w14:textId="4973B933" w:rsidR="00E22756" w:rsidRPr="000816C3" w:rsidRDefault="000816C3" w:rsidP="00E22756">
            <w:pPr>
              <w:rPr>
                <w:rFonts w:ascii="Times New Roman" w:hAnsi="Times New Roman" w:cs="Times New Roman"/>
              </w:rPr>
            </w:pPr>
            <w:r w:rsidRPr="000816C3">
              <w:rPr>
                <w:rFonts w:ascii="Times New Roman" w:hAnsi="Times New Roman" w:cs="Times New Roman"/>
              </w:rPr>
              <w:t xml:space="preserve">  </w:t>
            </w:r>
            <w:r w:rsidR="00E22756" w:rsidRPr="000816C3">
              <w:rPr>
                <w:rFonts w:ascii="Times New Roman" w:hAnsi="Times New Roman" w:cs="Times New Roman"/>
              </w:rPr>
              <w:t>Positive</w:t>
            </w:r>
          </w:p>
        </w:tc>
        <w:tc>
          <w:tcPr>
            <w:tcW w:w="2341" w:type="dxa"/>
            <w:tcBorders>
              <w:top w:val="single" w:sz="8" w:space="0" w:color="000000"/>
              <w:left w:val="single" w:sz="8" w:space="0" w:color="000000"/>
              <w:bottom w:val="single" w:sz="8" w:space="0" w:color="000000"/>
              <w:right w:val="single" w:sz="8" w:space="0" w:color="000000"/>
            </w:tcBorders>
            <w:vAlign w:val="center"/>
          </w:tcPr>
          <w:p w14:paraId="7B8E639F" w14:textId="1828F67F" w:rsidR="00E22756" w:rsidRPr="000816C3" w:rsidRDefault="00094AE7" w:rsidP="00715069">
            <w:pPr>
              <w:jc w:val="center"/>
              <w:rPr>
                <w:rFonts w:ascii="Times New Roman" w:hAnsi="Times New Roman" w:cs="Times New Roman"/>
              </w:rPr>
            </w:pPr>
            <w:r w:rsidRPr="000816C3">
              <w:rPr>
                <w:rFonts w:ascii="Times New Roman" w:hAnsi="Times New Roman" w:cs="Times New Roman"/>
              </w:rPr>
              <w:t xml:space="preserve">105 </w:t>
            </w:r>
            <w:r w:rsidR="00E22756" w:rsidRPr="000816C3">
              <w:rPr>
                <w:rFonts w:ascii="Times New Roman" w:hAnsi="Times New Roman" w:cs="Times New Roman"/>
              </w:rPr>
              <w:t>(</w:t>
            </w:r>
            <w:r w:rsidRPr="000816C3">
              <w:rPr>
                <w:rFonts w:ascii="Times New Roman" w:hAnsi="Times New Roman" w:cs="Times New Roman"/>
              </w:rPr>
              <w:t>90.5</w:t>
            </w:r>
            <w:r w:rsidR="00E22756" w:rsidRPr="000816C3">
              <w:rPr>
                <w:rFonts w:ascii="Times New Roman" w:hAnsi="Times New Roman" w:cs="Times New Roman"/>
              </w:rPr>
              <w:t>%)</w:t>
            </w:r>
          </w:p>
        </w:tc>
        <w:tc>
          <w:tcPr>
            <w:tcW w:w="2142" w:type="dxa"/>
            <w:tcBorders>
              <w:top w:val="single" w:sz="8" w:space="0" w:color="000000"/>
              <w:left w:val="single" w:sz="8" w:space="0" w:color="000000"/>
              <w:bottom w:val="single" w:sz="8" w:space="0" w:color="000000"/>
              <w:right w:val="single" w:sz="8" w:space="0" w:color="000000"/>
            </w:tcBorders>
          </w:tcPr>
          <w:p w14:paraId="42982BE8" w14:textId="385642E2" w:rsidR="00E22756" w:rsidRPr="000816C3" w:rsidRDefault="008A7444" w:rsidP="00715069">
            <w:pPr>
              <w:jc w:val="center"/>
              <w:rPr>
                <w:rFonts w:ascii="Times New Roman" w:hAnsi="Times New Roman" w:cs="Times New Roman"/>
              </w:rPr>
            </w:pPr>
            <w:r w:rsidRPr="000816C3">
              <w:rPr>
                <w:rFonts w:ascii="Times New Roman" w:hAnsi="Times New Roman" w:cs="Times New Roman"/>
              </w:rPr>
              <w:t>30 (63.8%)</w:t>
            </w:r>
          </w:p>
        </w:tc>
      </w:tr>
      <w:tr w:rsidR="000226D4" w:rsidRPr="000816C3" w14:paraId="79DF2341" w14:textId="62D9480F" w:rsidTr="00731D4E">
        <w:trPr>
          <w:trHeight w:val="300"/>
        </w:trPr>
        <w:tc>
          <w:tcPr>
            <w:tcW w:w="6138" w:type="dxa"/>
            <w:gridSpan w:val="3"/>
            <w:tcBorders>
              <w:top w:val="single" w:sz="8" w:space="0" w:color="000000"/>
              <w:left w:val="single" w:sz="8" w:space="0" w:color="000000"/>
              <w:bottom w:val="single" w:sz="8" w:space="0" w:color="000000"/>
              <w:right w:val="single" w:sz="8" w:space="0" w:color="000000"/>
            </w:tcBorders>
          </w:tcPr>
          <w:p w14:paraId="44AE4D0D" w14:textId="634E9D1F" w:rsidR="000226D4" w:rsidRPr="000816C3" w:rsidRDefault="000226D4" w:rsidP="000226D4">
            <w:pPr>
              <w:rPr>
                <w:rFonts w:ascii="Times New Roman" w:hAnsi="Times New Roman" w:cs="Times New Roman"/>
                <w:b/>
                <w:bCs/>
              </w:rPr>
            </w:pPr>
            <w:r w:rsidRPr="000816C3">
              <w:rPr>
                <w:rFonts w:ascii="Times New Roman" w:hAnsi="Times New Roman" w:cs="Times New Roman"/>
                <w:b/>
                <w:bCs/>
              </w:rPr>
              <w:t>HER2 status in primary tumor</w:t>
            </w:r>
          </w:p>
        </w:tc>
      </w:tr>
      <w:tr w:rsidR="00E22756" w:rsidRPr="000816C3" w14:paraId="70B6EF6A" w14:textId="6DCED13F" w:rsidTr="00E22756">
        <w:trPr>
          <w:trHeight w:val="300"/>
        </w:trPr>
        <w:tc>
          <w:tcPr>
            <w:tcW w:w="1655" w:type="dxa"/>
            <w:tcBorders>
              <w:top w:val="single" w:sz="8" w:space="0" w:color="000000"/>
              <w:left w:val="single" w:sz="8" w:space="0" w:color="000000"/>
              <w:bottom w:val="single" w:sz="8" w:space="0" w:color="000000"/>
              <w:right w:val="single" w:sz="8" w:space="0" w:color="000000"/>
            </w:tcBorders>
            <w:vAlign w:val="center"/>
          </w:tcPr>
          <w:p w14:paraId="631339B4" w14:textId="1CAC861A" w:rsidR="00E22756" w:rsidRPr="000816C3" w:rsidRDefault="000816C3" w:rsidP="00E22756">
            <w:pPr>
              <w:rPr>
                <w:rFonts w:ascii="Times New Roman" w:hAnsi="Times New Roman" w:cs="Times New Roman"/>
              </w:rPr>
            </w:pPr>
            <w:r w:rsidRPr="000816C3">
              <w:rPr>
                <w:rFonts w:ascii="Times New Roman" w:hAnsi="Times New Roman" w:cs="Times New Roman"/>
              </w:rPr>
              <w:t xml:space="preserve">  </w:t>
            </w:r>
            <w:r w:rsidR="00E22756" w:rsidRPr="000816C3">
              <w:rPr>
                <w:rFonts w:ascii="Times New Roman" w:hAnsi="Times New Roman" w:cs="Times New Roman"/>
              </w:rPr>
              <w:t>Negative</w:t>
            </w:r>
          </w:p>
        </w:tc>
        <w:tc>
          <w:tcPr>
            <w:tcW w:w="2341" w:type="dxa"/>
            <w:tcBorders>
              <w:top w:val="single" w:sz="8" w:space="0" w:color="000000"/>
              <w:left w:val="single" w:sz="8" w:space="0" w:color="000000"/>
              <w:bottom w:val="single" w:sz="8" w:space="0" w:color="000000"/>
              <w:right w:val="single" w:sz="8" w:space="0" w:color="000000"/>
            </w:tcBorders>
            <w:vAlign w:val="center"/>
          </w:tcPr>
          <w:p w14:paraId="017E98C2" w14:textId="4B85B23A" w:rsidR="00E22756" w:rsidRPr="000816C3" w:rsidRDefault="00E22756" w:rsidP="00715069">
            <w:pPr>
              <w:jc w:val="center"/>
              <w:rPr>
                <w:rFonts w:ascii="Times New Roman" w:hAnsi="Times New Roman" w:cs="Times New Roman"/>
              </w:rPr>
            </w:pPr>
            <w:r w:rsidRPr="000816C3">
              <w:rPr>
                <w:rFonts w:ascii="Times New Roman" w:hAnsi="Times New Roman" w:cs="Times New Roman"/>
              </w:rPr>
              <w:t>102 (88%)</w:t>
            </w:r>
          </w:p>
        </w:tc>
        <w:tc>
          <w:tcPr>
            <w:tcW w:w="2142" w:type="dxa"/>
            <w:tcBorders>
              <w:top w:val="single" w:sz="8" w:space="0" w:color="000000"/>
              <w:left w:val="single" w:sz="8" w:space="0" w:color="000000"/>
              <w:bottom w:val="single" w:sz="8" w:space="0" w:color="000000"/>
              <w:right w:val="single" w:sz="8" w:space="0" w:color="000000"/>
            </w:tcBorders>
          </w:tcPr>
          <w:p w14:paraId="323E62D0" w14:textId="1AB10FED" w:rsidR="00E22756" w:rsidRPr="000816C3" w:rsidRDefault="00FA63A8" w:rsidP="00715069">
            <w:pPr>
              <w:jc w:val="center"/>
              <w:rPr>
                <w:rFonts w:ascii="Times New Roman" w:hAnsi="Times New Roman" w:cs="Times New Roman"/>
              </w:rPr>
            </w:pPr>
            <w:r w:rsidRPr="000816C3">
              <w:rPr>
                <w:rFonts w:ascii="Times New Roman" w:hAnsi="Times New Roman" w:cs="Times New Roman"/>
              </w:rPr>
              <w:t>40 (85.1%)</w:t>
            </w:r>
          </w:p>
        </w:tc>
      </w:tr>
      <w:tr w:rsidR="00E22756" w:rsidRPr="000816C3" w14:paraId="2EDF4C7B" w14:textId="1E618208" w:rsidTr="000816C3">
        <w:trPr>
          <w:trHeight w:val="201"/>
        </w:trPr>
        <w:tc>
          <w:tcPr>
            <w:tcW w:w="1655" w:type="dxa"/>
            <w:tcBorders>
              <w:top w:val="single" w:sz="8" w:space="0" w:color="000000"/>
              <w:left w:val="single" w:sz="8" w:space="0" w:color="000000"/>
              <w:bottom w:val="single" w:sz="8" w:space="0" w:color="000000"/>
              <w:right w:val="single" w:sz="8" w:space="0" w:color="000000"/>
            </w:tcBorders>
            <w:vAlign w:val="center"/>
          </w:tcPr>
          <w:p w14:paraId="666A95D1" w14:textId="450D87AE" w:rsidR="00E22756" w:rsidRPr="000816C3" w:rsidRDefault="000816C3" w:rsidP="00E22756">
            <w:pPr>
              <w:rPr>
                <w:rFonts w:ascii="Times New Roman" w:hAnsi="Times New Roman" w:cs="Times New Roman"/>
              </w:rPr>
            </w:pPr>
            <w:r w:rsidRPr="000816C3">
              <w:rPr>
                <w:rFonts w:ascii="Times New Roman" w:hAnsi="Times New Roman" w:cs="Times New Roman"/>
              </w:rPr>
              <w:t xml:space="preserve">  </w:t>
            </w:r>
            <w:r w:rsidR="00E22756" w:rsidRPr="000816C3">
              <w:rPr>
                <w:rFonts w:ascii="Times New Roman" w:hAnsi="Times New Roman" w:cs="Times New Roman"/>
              </w:rPr>
              <w:t>Positive</w:t>
            </w:r>
          </w:p>
        </w:tc>
        <w:tc>
          <w:tcPr>
            <w:tcW w:w="2341" w:type="dxa"/>
            <w:tcBorders>
              <w:top w:val="single" w:sz="8" w:space="0" w:color="000000"/>
              <w:left w:val="single" w:sz="8" w:space="0" w:color="000000"/>
              <w:bottom w:val="single" w:sz="8" w:space="0" w:color="000000"/>
              <w:right w:val="single" w:sz="8" w:space="0" w:color="000000"/>
            </w:tcBorders>
            <w:vAlign w:val="center"/>
          </w:tcPr>
          <w:p w14:paraId="4228B61D" w14:textId="73999809" w:rsidR="00E22756" w:rsidRPr="000816C3" w:rsidRDefault="00E22756" w:rsidP="00715069">
            <w:pPr>
              <w:jc w:val="center"/>
              <w:rPr>
                <w:rFonts w:ascii="Times New Roman" w:hAnsi="Times New Roman" w:cs="Times New Roman"/>
              </w:rPr>
            </w:pPr>
            <w:r w:rsidRPr="000816C3">
              <w:rPr>
                <w:rFonts w:ascii="Times New Roman" w:hAnsi="Times New Roman" w:cs="Times New Roman"/>
              </w:rPr>
              <w:t>14 (12%)</w:t>
            </w:r>
          </w:p>
        </w:tc>
        <w:tc>
          <w:tcPr>
            <w:tcW w:w="2142" w:type="dxa"/>
            <w:tcBorders>
              <w:top w:val="single" w:sz="8" w:space="0" w:color="000000"/>
              <w:left w:val="single" w:sz="8" w:space="0" w:color="000000"/>
              <w:bottom w:val="single" w:sz="8" w:space="0" w:color="000000"/>
              <w:right w:val="single" w:sz="8" w:space="0" w:color="000000"/>
            </w:tcBorders>
          </w:tcPr>
          <w:p w14:paraId="1DC636CA" w14:textId="012D9886" w:rsidR="00E22756" w:rsidRPr="000816C3" w:rsidRDefault="00FA63A8" w:rsidP="00715069">
            <w:pPr>
              <w:jc w:val="center"/>
              <w:rPr>
                <w:rFonts w:ascii="Times New Roman" w:hAnsi="Times New Roman" w:cs="Times New Roman"/>
              </w:rPr>
            </w:pPr>
            <w:r w:rsidRPr="000816C3">
              <w:rPr>
                <w:rFonts w:ascii="Times New Roman" w:hAnsi="Times New Roman" w:cs="Times New Roman"/>
              </w:rPr>
              <w:t>7 (14.9%)</w:t>
            </w:r>
          </w:p>
        </w:tc>
      </w:tr>
      <w:tr w:rsidR="000226D4" w:rsidRPr="000816C3" w14:paraId="4AF482EE" w14:textId="58309A9B" w:rsidTr="008E75BB">
        <w:trPr>
          <w:trHeight w:val="300"/>
        </w:trPr>
        <w:tc>
          <w:tcPr>
            <w:tcW w:w="6138" w:type="dxa"/>
            <w:gridSpan w:val="3"/>
            <w:tcBorders>
              <w:top w:val="single" w:sz="8" w:space="0" w:color="000000"/>
              <w:left w:val="single" w:sz="8" w:space="0" w:color="000000"/>
              <w:bottom w:val="single" w:sz="8" w:space="0" w:color="000000"/>
              <w:right w:val="single" w:sz="8" w:space="0" w:color="000000"/>
            </w:tcBorders>
          </w:tcPr>
          <w:p w14:paraId="5BA80120" w14:textId="491F7939" w:rsidR="000226D4" w:rsidRPr="000816C3" w:rsidRDefault="000226D4" w:rsidP="000226D4">
            <w:pPr>
              <w:rPr>
                <w:rFonts w:ascii="Times New Roman" w:hAnsi="Times New Roman" w:cs="Times New Roman"/>
                <w:b/>
                <w:bCs/>
              </w:rPr>
            </w:pPr>
            <w:r w:rsidRPr="000816C3">
              <w:rPr>
                <w:rFonts w:ascii="Times New Roman" w:hAnsi="Times New Roman" w:cs="Times New Roman"/>
                <w:b/>
                <w:bCs/>
              </w:rPr>
              <w:t>Previous lines of metastatic treatment</w:t>
            </w:r>
          </w:p>
        </w:tc>
      </w:tr>
      <w:tr w:rsidR="00E22756" w:rsidRPr="000816C3" w14:paraId="6CE04547" w14:textId="57401A24" w:rsidTr="00E22756">
        <w:trPr>
          <w:trHeight w:val="300"/>
        </w:trPr>
        <w:tc>
          <w:tcPr>
            <w:tcW w:w="1655" w:type="dxa"/>
            <w:tcBorders>
              <w:top w:val="single" w:sz="8" w:space="0" w:color="000000"/>
              <w:left w:val="single" w:sz="8" w:space="0" w:color="000000"/>
              <w:bottom w:val="single" w:sz="8" w:space="0" w:color="000000"/>
              <w:right w:val="single" w:sz="8" w:space="0" w:color="000000"/>
            </w:tcBorders>
            <w:vAlign w:val="center"/>
          </w:tcPr>
          <w:p w14:paraId="6539DD16" w14:textId="2C54A047" w:rsidR="00E22756" w:rsidRPr="000816C3" w:rsidRDefault="000816C3" w:rsidP="00E22756">
            <w:pPr>
              <w:rPr>
                <w:rFonts w:ascii="Times New Roman" w:hAnsi="Times New Roman" w:cs="Times New Roman"/>
              </w:rPr>
            </w:pPr>
            <w:r w:rsidRPr="000816C3">
              <w:rPr>
                <w:rFonts w:ascii="Times New Roman" w:hAnsi="Times New Roman" w:cs="Times New Roman"/>
              </w:rPr>
              <w:t xml:space="preserve">  </w:t>
            </w:r>
            <w:r w:rsidR="00E22756" w:rsidRPr="000816C3">
              <w:rPr>
                <w:rFonts w:ascii="Times New Roman" w:hAnsi="Times New Roman" w:cs="Times New Roman"/>
              </w:rPr>
              <w:t>1</w:t>
            </w:r>
          </w:p>
        </w:tc>
        <w:tc>
          <w:tcPr>
            <w:tcW w:w="2341" w:type="dxa"/>
            <w:tcBorders>
              <w:top w:val="single" w:sz="8" w:space="0" w:color="000000"/>
              <w:left w:val="single" w:sz="8" w:space="0" w:color="000000"/>
              <w:bottom w:val="single" w:sz="8" w:space="0" w:color="000000"/>
              <w:right w:val="single" w:sz="8" w:space="0" w:color="000000"/>
            </w:tcBorders>
            <w:vAlign w:val="center"/>
          </w:tcPr>
          <w:p w14:paraId="7298D996" w14:textId="10DBBE5F" w:rsidR="00E22756" w:rsidRPr="000816C3" w:rsidRDefault="00E22756" w:rsidP="00715069">
            <w:pPr>
              <w:jc w:val="center"/>
              <w:rPr>
                <w:rFonts w:ascii="Times New Roman" w:hAnsi="Times New Roman" w:cs="Times New Roman"/>
              </w:rPr>
            </w:pPr>
            <w:r w:rsidRPr="000816C3">
              <w:rPr>
                <w:rFonts w:ascii="Times New Roman" w:hAnsi="Times New Roman" w:cs="Times New Roman"/>
              </w:rPr>
              <w:t>27 (23.</w:t>
            </w:r>
            <w:r w:rsidR="00EE48E6" w:rsidRPr="000816C3">
              <w:rPr>
                <w:rFonts w:ascii="Times New Roman" w:hAnsi="Times New Roman" w:cs="Times New Roman"/>
              </w:rPr>
              <w:t>3</w:t>
            </w:r>
            <w:r w:rsidRPr="000816C3">
              <w:rPr>
                <w:rFonts w:ascii="Times New Roman" w:hAnsi="Times New Roman" w:cs="Times New Roman"/>
              </w:rPr>
              <w:t>%)</w:t>
            </w:r>
          </w:p>
        </w:tc>
        <w:tc>
          <w:tcPr>
            <w:tcW w:w="2142" w:type="dxa"/>
            <w:tcBorders>
              <w:top w:val="single" w:sz="8" w:space="0" w:color="000000"/>
              <w:left w:val="single" w:sz="8" w:space="0" w:color="000000"/>
              <w:bottom w:val="single" w:sz="8" w:space="0" w:color="000000"/>
              <w:right w:val="single" w:sz="8" w:space="0" w:color="000000"/>
            </w:tcBorders>
          </w:tcPr>
          <w:p w14:paraId="5137B809" w14:textId="43DED5CF" w:rsidR="00E22756" w:rsidRPr="000816C3" w:rsidRDefault="00EE48E6" w:rsidP="00715069">
            <w:pPr>
              <w:jc w:val="center"/>
              <w:rPr>
                <w:rFonts w:ascii="Times New Roman" w:hAnsi="Times New Roman" w:cs="Times New Roman"/>
              </w:rPr>
            </w:pPr>
            <w:r w:rsidRPr="000816C3">
              <w:rPr>
                <w:rFonts w:ascii="Times New Roman" w:hAnsi="Times New Roman" w:cs="Times New Roman"/>
              </w:rPr>
              <w:t>12 (25.5%)</w:t>
            </w:r>
          </w:p>
        </w:tc>
      </w:tr>
      <w:tr w:rsidR="00E22756" w:rsidRPr="000816C3" w14:paraId="17BA5691" w14:textId="619C0CC1" w:rsidTr="00E22756">
        <w:trPr>
          <w:trHeight w:val="300"/>
        </w:trPr>
        <w:tc>
          <w:tcPr>
            <w:tcW w:w="1655" w:type="dxa"/>
            <w:tcBorders>
              <w:top w:val="single" w:sz="8" w:space="0" w:color="000000"/>
              <w:left w:val="single" w:sz="8" w:space="0" w:color="000000"/>
              <w:bottom w:val="single" w:sz="8" w:space="0" w:color="000000"/>
              <w:right w:val="single" w:sz="8" w:space="0" w:color="000000"/>
            </w:tcBorders>
            <w:vAlign w:val="center"/>
          </w:tcPr>
          <w:p w14:paraId="6D6458ED" w14:textId="1343D5C6" w:rsidR="00E22756" w:rsidRPr="000816C3" w:rsidRDefault="000816C3" w:rsidP="00E22756">
            <w:pPr>
              <w:rPr>
                <w:rFonts w:ascii="Times New Roman" w:hAnsi="Times New Roman" w:cs="Times New Roman"/>
              </w:rPr>
            </w:pPr>
            <w:r w:rsidRPr="000816C3">
              <w:rPr>
                <w:rFonts w:ascii="Times New Roman" w:hAnsi="Times New Roman" w:cs="Times New Roman"/>
              </w:rPr>
              <w:t xml:space="preserve">  </w:t>
            </w:r>
            <w:r w:rsidR="00E22756" w:rsidRPr="000816C3">
              <w:rPr>
                <w:rFonts w:ascii="Times New Roman" w:hAnsi="Times New Roman" w:cs="Times New Roman"/>
              </w:rPr>
              <w:t>2-3</w:t>
            </w:r>
          </w:p>
        </w:tc>
        <w:tc>
          <w:tcPr>
            <w:tcW w:w="2341" w:type="dxa"/>
            <w:tcBorders>
              <w:top w:val="single" w:sz="8" w:space="0" w:color="000000"/>
              <w:left w:val="single" w:sz="8" w:space="0" w:color="000000"/>
              <w:bottom w:val="single" w:sz="8" w:space="0" w:color="000000"/>
              <w:right w:val="single" w:sz="8" w:space="0" w:color="000000"/>
            </w:tcBorders>
            <w:vAlign w:val="center"/>
          </w:tcPr>
          <w:p w14:paraId="721B2DD6" w14:textId="7A486E46" w:rsidR="00E22756" w:rsidRPr="000816C3" w:rsidRDefault="00E22756" w:rsidP="00715069">
            <w:pPr>
              <w:jc w:val="center"/>
              <w:rPr>
                <w:rFonts w:ascii="Times New Roman" w:hAnsi="Times New Roman" w:cs="Times New Roman"/>
              </w:rPr>
            </w:pPr>
            <w:r w:rsidRPr="000816C3">
              <w:rPr>
                <w:rFonts w:ascii="Times New Roman" w:hAnsi="Times New Roman" w:cs="Times New Roman"/>
              </w:rPr>
              <w:t>30 (</w:t>
            </w:r>
            <w:r w:rsidR="00EE48E6" w:rsidRPr="000816C3">
              <w:rPr>
                <w:rFonts w:ascii="Times New Roman" w:hAnsi="Times New Roman" w:cs="Times New Roman"/>
              </w:rPr>
              <w:t>25.9</w:t>
            </w:r>
            <w:r w:rsidRPr="000816C3">
              <w:rPr>
                <w:rFonts w:ascii="Times New Roman" w:hAnsi="Times New Roman" w:cs="Times New Roman"/>
              </w:rPr>
              <w:t>%)</w:t>
            </w:r>
          </w:p>
        </w:tc>
        <w:tc>
          <w:tcPr>
            <w:tcW w:w="2142" w:type="dxa"/>
            <w:tcBorders>
              <w:top w:val="single" w:sz="8" w:space="0" w:color="000000"/>
              <w:left w:val="single" w:sz="8" w:space="0" w:color="000000"/>
              <w:bottom w:val="single" w:sz="8" w:space="0" w:color="000000"/>
              <w:right w:val="single" w:sz="8" w:space="0" w:color="000000"/>
            </w:tcBorders>
          </w:tcPr>
          <w:p w14:paraId="3AA24000" w14:textId="4B135E44" w:rsidR="00E22756" w:rsidRPr="000816C3" w:rsidRDefault="00EE48E6" w:rsidP="00715069">
            <w:pPr>
              <w:jc w:val="center"/>
              <w:rPr>
                <w:rFonts w:ascii="Times New Roman" w:hAnsi="Times New Roman" w:cs="Times New Roman"/>
              </w:rPr>
            </w:pPr>
            <w:r w:rsidRPr="000816C3">
              <w:rPr>
                <w:rFonts w:ascii="Times New Roman" w:hAnsi="Times New Roman" w:cs="Times New Roman"/>
              </w:rPr>
              <w:t>13 (27.7%)</w:t>
            </w:r>
          </w:p>
        </w:tc>
      </w:tr>
      <w:tr w:rsidR="00E22756" w:rsidRPr="000816C3" w14:paraId="0034782F" w14:textId="7D7E0B73" w:rsidTr="00E22756">
        <w:trPr>
          <w:trHeight w:val="303"/>
        </w:trPr>
        <w:tc>
          <w:tcPr>
            <w:tcW w:w="1655" w:type="dxa"/>
            <w:tcBorders>
              <w:top w:val="single" w:sz="8" w:space="0" w:color="000000"/>
              <w:left w:val="single" w:sz="8" w:space="0" w:color="000000"/>
              <w:bottom w:val="single" w:sz="8" w:space="0" w:color="000000"/>
              <w:right w:val="single" w:sz="8" w:space="0" w:color="000000"/>
            </w:tcBorders>
            <w:vAlign w:val="center"/>
          </w:tcPr>
          <w:p w14:paraId="4BFB16CB" w14:textId="65574DD8" w:rsidR="00E22756" w:rsidRPr="000816C3" w:rsidRDefault="000816C3" w:rsidP="00E22756">
            <w:pPr>
              <w:rPr>
                <w:rFonts w:ascii="Times New Roman" w:hAnsi="Times New Roman" w:cs="Times New Roman"/>
              </w:rPr>
            </w:pPr>
            <w:r w:rsidRPr="000816C3">
              <w:rPr>
                <w:rFonts w:ascii="Times New Roman" w:hAnsi="Times New Roman" w:cs="Times New Roman"/>
              </w:rPr>
              <w:t xml:space="preserve">  </w:t>
            </w:r>
            <w:r w:rsidR="00E22756" w:rsidRPr="000816C3">
              <w:rPr>
                <w:rFonts w:ascii="Times New Roman" w:hAnsi="Times New Roman" w:cs="Times New Roman"/>
              </w:rPr>
              <w:t>≥3</w:t>
            </w:r>
          </w:p>
        </w:tc>
        <w:tc>
          <w:tcPr>
            <w:tcW w:w="2341" w:type="dxa"/>
            <w:tcBorders>
              <w:top w:val="single" w:sz="8" w:space="0" w:color="000000"/>
              <w:left w:val="single" w:sz="8" w:space="0" w:color="000000"/>
              <w:bottom w:val="single" w:sz="8" w:space="0" w:color="000000"/>
              <w:right w:val="single" w:sz="8" w:space="0" w:color="000000"/>
            </w:tcBorders>
            <w:vAlign w:val="center"/>
          </w:tcPr>
          <w:p w14:paraId="5B059510" w14:textId="27E93F14" w:rsidR="00E22756" w:rsidRPr="000816C3" w:rsidRDefault="00E22756" w:rsidP="00715069">
            <w:pPr>
              <w:jc w:val="center"/>
              <w:rPr>
                <w:rFonts w:ascii="Times New Roman" w:hAnsi="Times New Roman" w:cs="Times New Roman"/>
              </w:rPr>
            </w:pPr>
            <w:r w:rsidRPr="000816C3">
              <w:rPr>
                <w:rFonts w:ascii="Times New Roman" w:hAnsi="Times New Roman" w:cs="Times New Roman"/>
              </w:rPr>
              <w:t>59 (</w:t>
            </w:r>
            <w:r w:rsidR="00EE48E6" w:rsidRPr="000816C3">
              <w:rPr>
                <w:rFonts w:ascii="Times New Roman" w:hAnsi="Times New Roman" w:cs="Times New Roman"/>
              </w:rPr>
              <w:t>50.8</w:t>
            </w:r>
            <w:r w:rsidRPr="000816C3">
              <w:rPr>
                <w:rFonts w:ascii="Times New Roman" w:hAnsi="Times New Roman" w:cs="Times New Roman"/>
              </w:rPr>
              <w:t>%)</w:t>
            </w:r>
          </w:p>
        </w:tc>
        <w:tc>
          <w:tcPr>
            <w:tcW w:w="2142" w:type="dxa"/>
            <w:tcBorders>
              <w:top w:val="single" w:sz="8" w:space="0" w:color="000000"/>
              <w:left w:val="single" w:sz="8" w:space="0" w:color="000000"/>
              <w:bottom w:val="single" w:sz="8" w:space="0" w:color="000000"/>
              <w:right w:val="single" w:sz="8" w:space="0" w:color="000000"/>
            </w:tcBorders>
          </w:tcPr>
          <w:p w14:paraId="678A379B" w14:textId="454379D3" w:rsidR="00E22756" w:rsidRPr="000816C3" w:rsidRDefault="00EE48E6" w:rsidP="00715069">
            <w:pPr>
              <w:jc w:val="center"/>
              <w:rPr>
                <w:rFonts w:ascii="Times New Roman" w:hAnsi="Times New Roman" w:cs="Times New Roman"/>
              </w:rPr>
            </w:pPr>
            <w:r w:rsidRPr="000816C3">
              <w:rPr>
                <w:rFonts w:ascii="Times New Roman" w:hAnsi="Times New Roman" w:cs="Times New Roman"/>
              </w:rPr>
              <w:t>19 (40.4%)</w:t>
            </w:r>
          </w:p>
        </w:tc>
      </w:tr>
    </w:tbl>
    <w:p w14:paraId="2C72D145" w14:textId="77777777" w:rsidR="00E22756" w:rsidRPr="000816C3" w:rsidRDefault="00E22756" w:rsidP="00E22756">
      <w:pPr>
        <w:autoSpaceDE w:val="0"/>
        <w:autoSpaceDN w:val="0"/>
        <w:adjustRightInd w:val="0"/>
        <w:spacing w:after="0" w:line="240" w:lineRule="auto"/>
        <w:rPr>
          <w:rFonts w:ascii="Times New Roman" w:hAnsi="Times New Roman" w:cs="Times New Roman"/>
          <w:sz w:val="24"/>
          <w:szCs w:val="24"/>
        </w:rPr>
      </w:pPr>
    </w:p>
    <w:p w14:paraId="431E2930" w14:textId="67B50FA6" w:rsidR="00E22756" w:rsidRDefault="00E22756" w:rsidP="00677F11">
      <w:pPr>
        <w:pStyle w:val="Prrafodelista"/>
      </w:pPr>
    </w:p>
    <w:p w14:paraId="28264AF8" w14:textId="6016C2A4" w:rsidR="00F36EFB" w:rsidRDefault="00F36EFB" w:rsidP="00677F11">
      <w:pPr>
        <w:pStyle w:val="Prrafodelista"/>
      </w:pPr>
    </w:p>
    <w:p w14:paraId="6435F068" w14:textId="0454B607" w:rsidR="00F36EFB" w:rsidRDefault="00F36EFB" w:rsidP="00677F11">
      <w:pPr>
        <w:pStyle w:val="Prrafodelista"/>
      </w:pPr>
    </w:p>
    <w:p w14:paraId="40D7E1C4" w14:textId="34FCF106" w:rsidR="00F36EFB" w:rsidRDefault="00F36EFB" w:rsidP="00677F11">
      <w:pPr>
        <w:pStyle w:val="Prrafodelista"/>
      </w:pPr>
    </w:p>
    <w:p w14:paraId="66B73E55" w14:textId="1EDF23D7" w:rsidR="00F36EFB" w:rsidRDefault="00F36EFB" w:rsidP="00677F11">
      <w:pPr>
        <w:pStyle w:val="Prrafodelista"/>
      </w:pPr>
    </w:p>
    <w:p w14:paraId="716EA43A" w14:textId="3C9F3CF5" w:rsidR="00F36EFB" w:rsidRDefault="00F36EFB" w:rsidP="00677F11">
      <w:pPr>
        <w:pStyle w:val="Prrafodelista"/>
      </w:pPr>
    </w:p>
    <w:p w14:paraId="46957BD5" w14:textId="6FBC81A1" w:rsidR="00F36EFB" w:rsidRDefault="00F36EFB" w:rsidP="00677F11">
      <w:pPr>
        <w:pStyle w:val="Prrafodelista"/>
      </w:pPr>
    </w:p>
    <w:p w14:paraId="2DC5E2DE" w14:textId="1B9D2F59" w:rsidR="00F36EFB" w:rsidRDefault="00F36EFB" w:rsidP="00677F11">
      <w:pPr>
        <w:pStyle w:val="Prrafodelista"/>
      </w:pPr>
    </w:p>
    <w:p w14:paraId="7D2B5641" w14:textId="06A0D85C" w:rsidR="0047438A" w:rsidRDefault="0047438A" w:rsidP="00A23A02">
      <w:pPr>
        <w:pStyle w:val="Prrafodelista"/>
        <w:ind w:left="0"/>
        <w:jc w:val="both"/>
        <w:rPr>
          <w:rFonts w:ascii="Times New Roman" w:hAnsi="Times New Roman" w:cs="Times New Roman"/>
          <w:sz w:val="24"/>
          <w:szCs w:val="24"/>
          <w:lang w:val="en"/>
        </w:rPr>
      </w:pPr>
      <w:r w:rsidRPr="0047438A">
        <w:rPr>
          <w:rFonts w:ascii="Times New Roman" w:hAnsi="Times New Roman" w:cs="Times New Roman"/>
          <w:b/>
          <w:bCs/>
          <w:sz w:val="24"/>
          <w:szCs w:val="24"/>
        </w:rPr>
        <w:t>Table S</w:t>
      </w:r>
      <w:r w:rsidR="00B533E5">
        <w:rPr>
          <w:rFonts w:ascii="Times New Roman" w:hAnsi="Times New Roman" w:cs="Times New Roman"/>
          <w:b/>
          <w:bCs/>
          <w:sz w:val="24"/>
          <w:szCs w:val="24"/>
        </w:rPr>
        <w:t>6</w:t>
      </w:r>
      <w:r w:rsidRPr="0047438A">
        <w:rPr>
          <w:rFonts w:ascii="Times New Roman" w:hAnsi="Times New Roman" w:cs="Times New Roman"/>
          <w:b/>
          <w:bCs/>
          <w:sz w:val="24"/>
          <w:szCs w:val="24"/>
        </w:rPr>
        <w:t xml:space="preserve">. </w:t>
      </w:r>
      <w:r w:rsidRPr="00A23A02">
        <w:rPr>
          <w:rFonts w:ascii="Times New Roman" w:hAnsi="Times New Roman" w:cs="Times New Roman"/>
          <w:sz w:val="24"/>
          <w:szCs w:val="24"/>
          <w:lang w:val="en"/>
        </w:rPr>
        <w:t xml:space="preserve">Clinical and directed therapy received </w:t>
      </w:r>
      <w:r w:rsidR="005347B4" w:rsidRPr="00AE0D09">
        <w:rPr>
          <w:rFonts w:ascii="Times New Roman" w:hAnsi="Times New Roman" w:cs="Times New Roman"/>
          <w:sz w:val="24"/>
          <w:szCs w:val="24"/>
          <w:lang w:val="en"/>
        </w:rPr>
        <w:t xml:space="preserve">recommendations </w:t>
      </w:r>
      <w:r w:rsidRPr="00A23A02">
        <w:rPr>
          <w:rFonts w:ascii="Times New Roman" w:hAnsi="Times New Roman" w:cs="Times New Roman"/>
          <w:sz w:val="24"/>
          <w:szCs w:val="24"/>
          <w:lang w:val="en"/>
        </w:rPr>
        <w:t xml:space="preserve">according to the somatic </w:t>
      </w:r>
      <w:proofErr w:type="gramStart"/>
      <w:r w:rsidRPr="00A23A02">
        <w:rPr>
          <w:rFonts w:ascii="Times New Roman" w:hAnsi="Times New Roman" w:cs="Times New Roman"/>
          <w:sz w:val="24"/>
          <w:szCs w:val="24"/>
          <w:lang w:val="en"/>
        </w:rPr>
        <w:t>mutations</w:t>
      </w:r>
      <w:r w:rsidR="005347B4">
        <w:rPr>
          <w:rFonts w:ascii="Times New Roman" w:hAnsi="Times New Roman" w:cs="Times New Roman"/>
          <w:sz w:val="24"/>
          <w:szCs w:val="24"/>
          <w:lang w:val="en"/>
        </w:rPr>
        <w:t xml:space="preserve"> </w:t>
      </w:r>
      <w:r w:rsidRPr="00A23A02">
        <w:rPr>
          <w:rFonts w:ascii="Times New Roman" w:hAnsi="Times New Roman" w:cs="Times New Roman"/>
          <w:sz w:val="24"/>
          <w:szCs w:val="24"/>
          <w:lang w:val="en"/>
        </w:rPr>
        <w:t xml:space="preserve"> (</w:t>
      </w:r>
      <w:proofErr w:type="gramEnd"/>
      <w:r w:rsidRPr="00A23A02">
        <w:rPr>
          <w:rFonts w:ascii="Times New Roman" w:hAnsi="Times New Roman" w:cs="Times New Roman"/>
          <w:sz w:val="24"/>
          <w:szCs w:val="24"/>
          <w:lang w:val="en"/>
        </w:rPr>
        <w:t>N = 116).</w:t>
      </w:r>
    </w:p>
    <w:p w14:paraId="52852F52" w14:textId="5A7547B6" w:rsidR="0047438A" w:rsidRDefault="0047438A" w:rsidP="0047438A">
      <w:pPr>
        <w:pStyle w:val="Prrafodelista"/>
        <w:rPr>
          <w:rFonts w:ascii="Times New Roman" w:hAnsi="Times New Roman" w:cs="Times New Roman"/>
          <w:b/>
          <w:bCs/>
          <w:sz w:val="24"/>
          <w:szCs w:val="24"/>
        </w:rPr>
      </w:pPr>
    </w:p>
    <w:tbl>
      <w:tblPr>
        <w:tblStyle w:val="Tablaconcuadrcula"/>
        <w:tblW w:w="8396" w:type="dxa"/>
        <w:tblLook w:val="04A0" w:firstRow="1" w:lastRow="0" w:firstColumn="1" w:lastColumn="0" w:noHBand="0" w:noVBand="1"/>
      </w:tblPr>
      <w:tblGrid>
        <w:gridCol w:w="7196"/>
        <w:gridCol w:w="1200"/>
      </w:tblGrid>
      <w:tr w:rsidR="005347B4" w:rsidRPr="005347B4" w14:paraId="0DEDF0DE" w14:textId="77777777" w:rsidTr="00A23A02">
        <w:trPr>
          <w:trHeight w:val="290"/>
        </w:trPr>
        <w:tc>
          <w:tcPr>
            <w:tcW w:w="7196" w:type="dxa"/>
            <w:noWrap/>
            <w:hideMark/>
          </w:tcPr>
          <w:p w14:paraId="1A8A1271" w14:textId="77777777" w:rsidR="005347B4" w:rsidRPr="00A23A02" w:rsidRDefault="005347B4" w:rsidP="005347B4">
            <w:pPr>
              <w:rPr>
                <w:rFonts w:ascii="Times New Roman" w:eastAsia="Times New Roman" w:hAnsi="Times New Roman" w:cs="Times New Roman"/>
                <w:b/>
                <w:bCs/>
                <w:sz w:val="24"/>
                <w:szCs w:val="24"/>
              </w:rPr>
            </w:pPr>
            <w:r w:rsidRPr="00A23A02">
              <w:rPr>
                <w:rFonts w:ascii="Times New Roman" w:eastAsia="Times New Roman" w:hAnsi="Times New Roman" w:cs="Times New Roman"/>
                <w:b/>
                <w:bCs/>
                <w:sz w:val="24"/>
                <w:szCs w:val="24"/>
              </w:rPr>
              <w:t>Targeted therapies</w:t>
            </w:r>
          </w:p>
        </w:tc>
        <w:tc>
          <w:tcPr>
            <w:tcW w:w="1200" w:type="dxa"/>
            <w:noWrap/>
            <w:hideMark/>
          </w:tcPr>
          <w:p w14:paraId="3DF227CE" w14:textId="77777777" w:rsidR="005347B4" w:rsidRPr="00A23A02" w:rsidRDefault="005347B4">
            <w:pPr>
              <w:rPr>
                <w:rFonts w:ascii="Times New Roman" w:eastAsia="Times New Roman" w:hAnsi="Times New Roman" w:cs="Times New Roman"/>
                <w:b/>
                <w:bCs/>
                <w:sz w:val="24"/>
                <w:szCs w:val="24"/>
              </w:rPr>
            </w:pPr>
            <w:r w:rsidRPr="00A23A02">
              <w:rPr>
                <w:rFonts w:ascii="Times New Roman" w:eastAsia="Times New Roman" w:hAnsi="Times New Roman" w:cs="Times New Roman"/>
                <w:b/>
                <w:bCs/>
                <w:sz w:val="24"/>
                <w:szCs w:val="24"/>
              </w:rPr>
              <w:t>N</w:t>
            </w:r>
          </w:p>
        </w:tc>
      </w:tr>
      <w:tr w:rsidR="005347B4" w:rsidRPr="005347B4" w14:paraId="7DBFF9BD" w14:textId="77777777" w:rsidTr="00A23A02">
        <w:trPr>
          <w:trHeight w:val="310"/>
        </w:trPr>
        <w:tc>
          <w:tcPr>
            <w:tcW w:w="7196" w:type="dxa"/>
            <w:noWrap/>
            <w:hideMark/>
          </w:tcPr>
          <w:p w14:paraId="7C3E1EC1" w14:textId="77777777" w:rsidR="005347B4" w:rsidRPr="00A23A02" w:rsidRDefault="005347B4" w:rsidP="005347B4">
            <w:pPr>
              <w:rPr>
                <w:rFonts w:ascii="Times New Roman" w:eastAsia="Times New Roman" w:hAnsi="Times New Roman" w:cs="Times New Roman"/>
                <w:sz w:val="24"/>
                <w:szCs w:val="24"/>
              </w:rPr>
            </w:pPr>
            <w:r w:rsidRPr="00A23A02">
              <w:rPr>
                <w:rFonts w:ascii="Times New Roman" w:eastAsia="Times New Roman" w:hAnsi="Times New Roman" w:cs="Times New Roman"/>
                <w:sz w:val="24"/>
                <w:szCs w:val="24"/>
              </w:rPr>
              <w:t>AKT inhibitors</w:t>
            </w:r>
          </w:p>
        </w:tc>
        <w:tc>
          <w:tcPr>
            <w:tcW w:w="1200" w:type="dxa"/>
            <w:noWrap/>
            <w:hideMark/>
          </w:tcPr>
          <w:p w14:paraId="762ED576" w14:textId="77777777" w:rsidR="005347B4" w:rsidRPr="00A23A02" w:rsidRDefault="005347B4" w:rsidP="00A23A02">
            <w:pPr>
              <w:rPr>
                <w:rFonts w:ascii="Times New Roman" w:eastAsia="Times New Roman" w:hAnsi="Times New Roman" w:cs="Times New Roman"/>
                <w:sz w:val="24"/>
                <w:szCs w:val="24"/>
              </w:rPr>
            </w:pPr>
            <w:r w:rsidRPr="00A23A02">
              <w:rPr>
                <w:rFonts w:ascii="Times New Roman" w:eastAsia="Times New Roman" w:hAnsi="Times New Roman" w:cs="Times New Roman"/>
                <w:sz w:val="24"/>
                <w:szCs w:val="24"/>
              </w:rPr>
              <w:t>104</w:t>
            </w:r>
          </w:p>
        </w:tc>
      </w:tr>
      <w:tr w:rsidR="005347B4" w:rsidRPr="005347B4" w14:paraId="05C5894B" w14:textId="77777777" w:rsidTr="00A23A02">
        <w:trPr>
          <w:trHeight w:val="310"/>
        </w:trPr>
        <w:tc>
          <w:tcPr>
            <w:tcW w:w="7196" w:type="dxa"/>
            <w:noWrap/>
            <w:hideMark/>
          </w:tcPr>
          <w:p w14:paraId="48DCBAD3" w14:textId="77777777" w:rsidR="005347B4" w:rsidRPr="00A23A02" w:rsidRDefault="005347B4" w:rsidP="005347B4">
            <w:pPr>
              <w:rPr>
                <w:rFonts w:ascii="Times New Roman" w:eastAsia="Times New Roman" w:hAnsi="Times New Roman" w:cs="Times New Roman"/>
                <w:sz w:val="24"/>
                <w:szCs w:val="24"/>
              </w:rPr>
            </w:pPr>
            <w:r w:rsidRPr="00A23A02">
              <w:rPr>
                <w:rFonts w:ascii="Times New Roman" w:eastAsia="Times New Roman" w:hAnsi="Times New Roman" w:cs="Times New Roman"/>
                <w:sz w:val="24"/>
                <w:szCs w:val="24"/>
              </w:rPr>
              <w:t>Therapies targeting PI3K or AKT</w:t>
            </w:r>
          </w:p>
        </w:tc>
        <w:tc>
          <w:tcPr>
            <w:tcW w:w="1200" w:type="dxa"/>
            <w:noWrap/>
            <w:hideMark/>
          </w:tcPr>
          <w:p w14:paraId="56F81189" w14:textId="77777777" w:rsidR="005347B4" w:rsidRPr="00A23A02" w:rsidRDefault="005347B4" w:rsidP="00A23A02">
            <w:pPr>
              <w:rPr>
                <w:rFonts w:ascii="Times New Roman" w:eastAsia="Times New Roman" w:hAnsi="Times New Roman" w:cs="Times New Roman"/>
                <w:sz w:val="24"/>
                <w:szCs w:val="24"/>
              </w:rPr>
            </w:pPr>
            <w:r w:rsidRPr="00A23A02">
              <w:rPr>
                <w:rFonts w:ascii="Times New Roman" w:eastAsia="Times New Roman" w:hAnsi="Times New Roman" w:cs="Times New Roman"/>
                <w:sz w:val="24"/>
                <w:szCs w:val="24"/>
              </w:rPr>
              <w:t>89</w:t>
            </w:r>
          </w:p>
        </w:tc>
      </w:tr>
      <w:tr w:rsidR="005347B4" w:rsidRPr="005347B4" w14:paraId="3ADCA640" w14:textId="77777777" w:rsidTr="00A23A02">
        <w:trPr>
          <w:trHeight w:val="310"/>
        </w:trPr>
        <w:tc>
          <w:tcPr>
            <w:tcW w:w="7196" w:type="dxa"/>
            <w:noWrap/>
            <w:hideMark/>
          </w:tcPr>
          <w:p w14:paraId="0630B188" w14:textId="77777777" w:rsidR="005347B4" w:rsidRPr="00A23A02" w:rsidRDefault="005347B4" w:rsidP="005347B4">
            <w:pPr>
              <w:rPr>
                <w:rFonts w:ascii="Times New Roman" w:eastAsia="Times New Roman" w:hAnsi="Times New Roman" w:cs="Times New Roman"/>
                <w:sz w:val="24"/>
                <w:szCs w:val="24"/>
              </w:rPr>
            </w:pPr>
            <w:r w:rsidRPr="00A23A02">
              <w:rPr>
                <w:rFonts w:ascii="Times New Roman" w:eastAsia="Times New Roman" w:hAnsi="Times New Roman" w:cs="Times New Roman"/>
                <w:sz w:val="24"/>
                <w:szCs w:val="24"/>
              </w:rPr>
              <w:t>PAN-ERBB tyrosine kinase inhibitor</w:t>
            </w:r>
          </w:p>
        </w:tc>
        <w:tc>
          <w:tcPr>
            <w:tcW w:w="1200" w:type="dxa"/>
            <w:noWrap/>
            <w:hideMark/>
          </w:tcPr>
          <w:p w14:paraId="15175320" w14:textId="77777777" w:rsidR="005347B4" w:rsidRPr="00A23A02" w:rsidRDefault="005347B4" w:rsidP="00A23A02">
            <w:pPr>
              <w:rPr>
                <w:rFonts w:ascii="Times New Roman" w:eastAsia="Times New Roman" w:hAnsi="Times New Roman" w:cs="Times New Roman"/>
                <w:sz w:val="24"/>
                <w:szCs w:val="24"/>
              </w:rPr>
            </w:pPr>
            <w:r w:rsidRPr="00A23A02">
              <w:rPr>
                <w:rFonts w:ascii="Times New Roman" w:eastAsia="Times New Roman" w:hAnsi="Times New Roman" w:cs="Times New Roman"/>
                <w:sz w:val="24"/>
                <w:szCs w:val="24"/>
              </w:rPr>
              <w:t>8</w:t>
            </w:r>
          </w:p>
        </w:tc>
      </w:tr>
      <w:tr w:rsidR="005347B4" w:rsidRPr="005347B4" w14:paraId="04476A84" w14:textId="77777777" w:rsidTr="00A23A02">
        <w:trPr>
          <w:trHeight w:val="310"/>
        </w:trPr>
        <w:tc>
          <w:tcPr>
            <w:tcW w:w="7196" w:type="dxa"/>
            <w:noWrap/>
            <w:hideMark/>
          </w:tcPr>
          <w:p w14:paraId="3DE2C4DC" w14:textId="77777777" w:rsidR="005347B4" w:rsidRPr="00A23A02" w:rsidRDefault="005347B4" w:rsidP="005347B4">
            <w:pPr>
              <w:rPr>
                <w:rFonts w:ascii="Times New Roman" w:eastAsia="Times New Roman" w:hAnsi="Times New Roman" w:cs="Times New Roman"/>
                <w:sz w:val="24"/>
                <w:szCs w:val="24"/>
              </w:rPr>
            </w:pPr>
            <w:r w:rsidRPr="00A23A02">
              <w:rPr>
                <w:rFonts w:ascii="Times New Roman" w:eastAsia="Times New Roman" w:hAnsi="Times New Roman" w:cs="Times New Roman"/>
                <w:sz w:val="24"/>
                <w:szCs w:val="24"/>
              </w:rPr>
              <w:t>Selective ER modulators (SERMs) and/or the selective ER degrader (SERD)</w:t>
            </w:r>
          </w:p>
        </w:tc>
        <w:tc>
          <w:tcPr>
            <w:tcW w:w="1200" w:type="dxa"/>
            <w:noWrap/>
            <w:hideMark/>
          </w:tcPr>
          <w:p w14:paraId="3FA6FD12" w14:textId="77777777" w:rsidR="005347B4" w:rsidRPr="00A23A02" w:rsidRDefault="005347B4" w:rsidP="00A23A02">
            <w:pPr>
              <w:rPr>
                <w:rFonts w:ascii="Times New Roman" w:eastAsia="Times New Roman" w:hAnsi="Times New Roman" w:cs="Times New Roman"/>
                <w:sz w:val="24"/>
                <w:szCs w:val="24"/>
              </w:rPr>
            </w:pPr>
            <w:r w:rsidRPr="00A23A02">
              <w:rPr>
                <w:rFonts w:ascii="Times New Roman" w:eastAsia="Times New Roman" w:hAnsi="Times New Roman" w:cs="Times New Roman"/>
                <w:sz w:val="24"/>
                <w:szCs w:val="24"/>
              </w:rPr>
              <w:t>8</w:t>
            </w:r>
          </w:p>
        </w:tc>
      </w:tr>
      <w:tr w:rsidR="005347B4" w:rsidRPr="005347B4" w14:paraId="2BFFE118" w14:textId="77777777" w:rsidTr="00A23A02">
        <w:trPr>
          <w:trHeight w:val="310"/>
        </w:trPr>
        <w:tc>
          <w:tcPr>
            <w:tcW w:w="7196" w:type="dxa"/>
            <w:noWrap/>
            <w:hideMark/>
          </w:tcPr>
          <w:p w14:paraId="42CE0EAA" w14:textId="77777777" w:rsidR="005347B4" w:rsidRPr="00A23A02" w:rsidRDefault="005347B4" w:rsidP="005347B4">
            <w:pPr>
              <w:rPr>
                <w:rFonts w:ascii="Times New Roman" w:eastAsia="Times New Roman" w:hAnsi="Times New Roman" w:cs="Times New Roman"/>
                <w:sz w:val="24"/>
                <w:szCs w:val="24"/>
              </w:rPr>
            </w:pPr>
            <w:r w:rsidRPr="00A23A02">
              <w:rPr>
                <w:rFonts w:ascii="Times New Roman" w:eastAsia="Times New Roman" w:hAnsi="Times New Roman" w:cs="Times New Roman"/>
                <w:sz w:val="24"/>
                <w:szCs w:val="24"/>
              </w:rPr>
              <w:t>NOTCH inhibitors</w:t>
            </w:r>
          </w:p>
        </w:tc>
        <w:tc>
          <w:tcPr>
            <w:tcW w:w="1200" w:type="dxa"/>
            <w:noWrap/>
            <w:hideMark/>
          </w:tcPr>
          <w:p w14:paraId="761558E3" w14:textId="77777777" w:rsidR="005347B4" w:rsidRPr="00A23A02" w:rsidRDefault="005347B4" w:rsidP="00A23A02">
            <w:pPr>
              <w:rPr>
                <w:rFonts w:ascii="Times New Roman" w:eastAsia="Times New Roman" w:hAnsi="Times New Roman" w:cs="Times New Roman"/>
                <w:sz w:val="24"/>
                <w:szCs w:val="24"/>
              </w:rPr>
            </w:pPr>
            <w:r w:rsidRPr="00A23A02">
              <w:rPr>
                <w:rFonts w:ascii="Times New Roman" w:eastAsia="Times New Roman" w:hAnsi="Times New Roman" w:cs="Times New Roman"/>
                <w:sz w:val="24"/>
                <w:szCs w:val="24"/>
              </w:rPr>
              <w:t>3</w:t>
            </w:r>
          </w:p>
        </w:tc>
      </w:tr>
      <w:tr w:rsidR="005347B4" w:rsidRPr="005347B4" w14:paraId="2516E237" w14:textId="77777777" w:rsidTr="00A23A02">
        <w:trPr>
          <w:trHeight w:val="310"/>
        </w:trPr>
        <w:tc>
          <w:tcPr>
            <w:tcW w:w="7196" w:type="dxa"/>
            <w:noWrap/>
            <w:hideMark/>
          </w:tcPr>
          <w:p w14:paraId="126B2D76" w14:textId="77777777" w:rsidR="005347B4" w:rsidRPr="00A23A02" w:rsidRDefault="005347B4" w:rsidP="005347B4">
            <w:pPr>
              <w:rPr>
                <w:rFonts w:ascii="Times New Roman" w:eastAsia="Times New Roman" w:hAnsi="Times New Roman" w:cs="Times New Roman"/>
                <w:sz w:val="24"/>
                <w:szCs w:val="24"/>
              </w:rPr>
            </w:pPr>
            <w:r w:rsidRPr="00A23A02">
              <w:rPr>
                <w:rFonts w:ascii="Times New Roman" w:eastAsia="Times New Roman" w:hAnsi="Times New Roman" w:cs="Times New Roman"/>
                <w:sz w:val="24"/>
                <w:szCs w:val="24"/>
              </w:rPr>
              <w:t>FGFR1-4 tyrosine kinase inhibitor</w:t>
            </w:r>
          </w:p>
        </w:tc>
        <w:tc>
          <w:tcPr>
            <w:tcW w:w="1200" w:type="dxa"/>
            <w:noWrap/>
            <w:hideMark/>
          </w:tcPr>
          <w:p w14:paraId="34BBD63E" w14:textId="77777777" w:rsidR="005347B4" w:rsidRPr="00A23A02" w:rsidRDefault="005347B4" w:rsidP="00A23A02">
            <w:pPr>
              <w:rPr>
                <w:rFonts w:ascii="Times New Roman" w:eastAsia="Times New Roman" w:hAnsi="Times New Roman" w:cs="Times New Roman"/>
                <w:sz w:val="24"/>
                <w:szCs w:val="24"/>
              </w:rPr>
            </w:pPr>
            <w:r w:rsidRPr="00A23A02">
              <w:rPr>
                <w:rFonts w:ascii="Times New Roman" w:eastAsia="Times New Roman" w:hAnsi="Times New Roman" w:cs="Times New Roman"/>
                <w:sz w:val="24"/>
                <w:szCs w:val="24"/>
              </w:rPr>
              <w:t>2</w:t>
            </w:r>
          </w:p>
        </w:tc>
      </w:tr>
      <w:tr w:rsidR="005347B4" w:rsidRPr="005347B4" w14:paraId="5886AF16" w14:textId="77777777" w:rsidTr="00A23A02">
        <w:trPr>
          <w:trHeight w:val="310"/>
        </w:trPr>
        <w:tc>
          <w:tcPr>
            <w:tcW w:w="7196" w:type="dxa"/>
            <w:noWrap/>
            <w:hideMark/>
          </w:tcPr>
          <w:p w14:paraId="79F11BB6" w14:textId="77777777" w:rsidR="005347B4" w:rsidRPr="00A23A02" w:rsidRDefault="005347B4" w:rsidP="005347B4">
            <w:pPr>
              <w:rPr>
                <w:rFonts w:ascii="Times New Roman" w:eastAsia="Times New Roman" w:hAnsi="Times New Roman" w:cs="Times New Roman"/>
                <w:sz w:val="24"/>
                <w:szCs w:val="24"/>
              </w:rPr>
            </w:pPr>
            <w:r w:rsidRPr="00A23A02">
              <w:rPr>
                <w:rFonts w:ascii="Times New Roman" w:eastAsia="Times New Roman" w:hAnsi="Times New Roman" w:cs="Times New Roman"/>
                <w:sz w:val="24"/>
                <w:szCs w:val="24"/>
              </w:rPr>
              <w:t>CDK4/6 inhibitors</w:t>
            </w:r>
          </w:p>
        </w:tc>
        <w:tc>
          <w:tcPr>
            <w:tcW w:w="1200" w:type="dxa"/>
            <w:noWrap/>
            <w:hideMark/>
          </w:tcPr>
          <w:p w14:paraId="31C11D1D" w14:textId="77777777" w:rsidR="005347B4" w:rsidRPr="00A23A02" w:rsidRDefault="005347B4" w:rsidP="00A23A02">
            <w:pPr>
              <w:rPr>
                <w:rFonts w:ascii="Times New Roman" w:eastAsia="Times New Roman" w:hAnsi="Times New Roman" w:cs="Times New Roman"/>
                <w:sz w:val="24"/>
                <w:szCs w:val="24"/>
              </w:rPr>
            </w:pPr>
            <w:r w:rsidRPr="00A23A02">
              <w:rPr>
                <w:rFonts w:ascii="Times New Roman" w:eastAsia="Times New Roman" w:hAnsi="Times New Roman" w:cs="Times New Roman"/>
                <w:sz w:val="24"/>
                <w:szCs w:val="24"/>
              </w:rPr>
              <w:t>2</w:t>
            </w:r>
          </w:p>
        </w:tc>
      </w:tr>
      <w:tr w:rsidR="005347B4" w:rsidRPr="005347B4" w14:paraId="266E8339" w14:textId="77777777" w:rsidTr="00A23A02">
        <w:trPr>
          <w:trHeight w:val="310"/>
        </w:trPr>
        <w:tc>
          <w:tcPr>
            <w:tcW w:w="7196" w:type="dxa"/>
            <w:noWrap/>
            <w:hideMark/>
          </w:tcPr>
          <w:p w14:paraId="41F7B8C2" w14:textId="77777777" w:rsidR="005347B4" w:rsidRPr="00A23A02" w:rsidRDefault="005347B4" w:rsidP="005347B4">
            <w:pPr>
              <w:rPr>
                <w:rFonts w:ascii="Times New Roman" w:eastAsia="Times New Roman" w:hAnsi="Times New Roman" w:cs="Times New Roman"/>
                <w:sz w:val="24"/>
                <w:szCs w:val="24"/>
              </w:rPr>
            </w:pPr>
            <w:r w:rsidRPr="00A23A02">
              <w:rPr>
                <w:rFonts w:ascii="Times New Roman" w:eastAsia="Times New Roman" w:hAnsi="Times New Roman" w:cs="Times New Roman"/>
                <w:sz w:val="24"/>
                <w:szCs w:val="24"/>
              </w:rPr>
              <w:t>BRAF inhibitors</w:t>
            </w:r>
          </w:p>
        </w:tc>
        <w:tc>
          <w:tcPr>
            <w:tcW w:w="1200" w:type="dxa"/>
            <w:noWrap/>
            <w:hideMark/>
          </w:tcPr>
          <w:p w14:paraId="5777B52E" w14:textId="77777777" w:rsidR="005347B4" w:rsidRPr="00A23A02" w:rsidRDefault="005347B4" w:rsidP="00A23A02">
            <w:pPr>
              <w:rPr>
                <w:rFonts w:ascii="Times New Roman" w:eastAsia="Times New Roman" w:hAnsi="Times New Roman" w:cs="Times New Roman"/>
                <w:sz w:val="24"/>
                <w:szCs w:val="24"/>
              </w:rPr>
            </w:pPr>
            <w:r w:rsidRPr="00A23A02">
              <w:rPr>
                <w:rFonts w:ascii="Times New Roman" w:eastAsia="Times New Roman" w:hAnsi="Times New Roman" w:cs="Times New Roman"/>
                <w:sz w:val="24"/>
                <w:szCs w:val="24"/>
              </w:rPr>
              <w:t>1</w:t>
            </w:r>
          </w:p>
        </w:tc>
      </w:tr>
    </w:tbl>
    <w:p w14:paraId="604CF2AC" w14:textId="77777777" w:rsidR="0047438A" w:rsidRPr="0047438A" w:rsidRDefault="0047438A" w:rsidP="0047438A">
      <w:pPr>
        <w:pStyle w:val="Prrafodelista"/>
        <w:rPr>
          <w:rFonts w:ascii="Times New Roman" w:hAnsi="Times New Roman" w:cs="Times New Roman"/>
          <w:b/>
          <w:bCs/>
          <w:sz w:val="24"/>
          <w:szCs w:val="24"/>
        </w:rPr>
      </w:pPr>
    </w:p>
    <w:p w14:paraId="0C30D9B2" w14:textId="0298F2D4" w:rsidR="0047438A" w:rsidRPr="0047438A" w:rsidRDefault="0047438A" w:rsidP="0047438A">
      <w:pPr>
        <w:pStyle w:val="Prrafodelista"/>
        <w:rPr>
          <w:rFonts w:ascii="Times New Roman" w:hAnsi="Times New Roman" w:cs="Times New Roman"/>
          <w:b/>
          <w:bCs/>
          <w:sz w:val="24"/>
          <w:szCs w:val="24"/>
        </w:rPr>
      </w:pPr>
    </w:p>
    <w:p w14:paraId="782E34DB" w14:textId="77777777" w:rsidR="00F36EFB" w:rsidRPr="00350ACF" w:rsidRDefault="00F36EFB" w:rsidP="00677F11">
      <w:pPr>
        <w:pStyle w:val="Prrafodelista"/>
      </w:pPr>
    </w:p>
    <w:sectPr w:rsidR="00F36EFB" w:rsidRPr="00350ACF" w:rsidSect="0040066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76F2D" w14:textId="77777777" w:rsidR="0037376C" w:rsidRDefault="0037376C" w:rsidP="00493436">
      <w:pPr>
        <w:spacing w:after="0" w:line="240" w:lineRule="auto"/>
      </w:pPr>
      <w:r>
        <w:separator/>
      </w:r>
    </w:p>
  </w:endnote>
  <w:endnote w:type="continuationSeparator" w:id="0">
    <w:p w14:paraId="08EB72AB" w14:textId="77777777" w:rsidR="0037376C" w:rsidRDefault="0037376C" w:rsidP="00493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A0A98" w14:textId="77777777" w:rsidR="0037376C" w:rsidRDefault="0037376C" w:rsidP="00493436">
      <w:pPr>
        <w:spacing w:after="0" w:line="240" w:lineRule="auto"/>
      </w:pPr>
      <w:r>
        <w:separator/>
      </w:r>
    </w:p>
  </w:footnote>
  <w:footnote w:type="continuationSeparator" w:id="0">
    <w:p w14:paraId="79166E88" w14:textId="77777777" w:rsidR="0037376C" w:rsidRDefault="0037376C" w:rsidP="004934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5C36"/>
    <w:multiLevelType w:val="hybridMultilevel"/>
    <w:tmpl w:val="1E10CDFE"/>
    <w:lvl w:ilvl="0" w:tplc="2CD67652">
      <w:start w:val="1"/>
      <w:numFmt w:val="decimal"/>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332BCE"/>
    <w:multiLevelType w:val="hybridMultilevel"/>
    <w:tmpl w:val="2744A91C"/>
    <w:lvl w:ilvl="0" w:tplc="0C0A000F">
      <w:start w:val="1"/>
      <w:numFmt w:val="decimal"/>
      <w:lvlText w:val="%1."/>
      <w:lvlJc w:val="left"/>
      <w:pPr>
        <w:ind w:left="1428" w:hanging="360"/>
      </w:pPr>
    </w:lvl>
    <w:lvl w:ilvl="1" w:tplc="A92A4A1C">
      <w:start w:val="1"/>
      <w:numFmt w:val="bullet"/>
      <w:lvlText w:val="-"/>
      <w:lvlJc w:val="left"/>
      <w:pPr>
        <w:ind w:left="2148" w:hanging="360"/>
      </w:pPr>
      <w:rPr>
        <w:rFonts w:ascii="Calibri" w:hAnsi="Calibri" w:hint="default"/>
      </w:r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56C20C5F"/>
    <w:multiLevelType w:val="hybridMultilevel"/>
    <w:tmpl w:val="2744A91C"/>
    <w:lvl w:ilvl="0" w:tplc="0C0A000F">
      <w:start w:val="1"/>
      <w:numFmt w:val="decimal"/>
      <w:lvlText w:val="%1."/>
      <w:lvlJc w:val="left"/>
      <w:pPr>
        <w:ind w:left="1428" w:hanging="360"/>
      </w:pPr>
    </w:lvl>
    <w:lvl w:ilvl="1" w:tplc="A92A4A1C">
      <w:start w:val="1"/>
      <w:numFmt w:val="bullet"/>
      <w:lvlText w:val="-"/>
      <w:lvlJc w:val="left"/>
      <w:pPr>
        <w:ind w:left="2148" w:hanging="360"/>
      </w:pPr>
      <w:rPr>
        <w:rFonts w:ascii="Calibri" w:hAnsi="Calibri" w:hint="default"/>
      </w:r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75A51E3A"/>
    <w:multiLevelType w:val="hybridMultilevel"/>
    <w:tmpl w:val="2744A91C"/>
    <w:lvl w:ilvl="0" w:tplc="0C0A000F">
      <w:start w:val="1"/>
      <w:numFmt w:val="decimal"/>
      <w:lvlText w:val="%1."/>
      <w:lvlJc w:val="left"/>
      <w:pPr>
        <w:ind w:left="1428" w:hanging="360"/>
      </w:pPr>
    </w:lvl>
    <w:lvl w:ilvl="1" w:tplc="A92A4A1C">
      <w:start w:val="1"/>
      <w:numFmt w:val="bullet"/>
      <w:lvlText w:val="-"/>
      <w:lvlJc w:val="left"/>
      <w:pPr>
        <w:ind w:left="2148" w:hanging="360"/>
      </w:pPr>
      <w:rPr>
        <w:rFonts w:ascii="Calibri" w:hAnsi="Calibri" w:hint="default"/>
      </w:r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Q0NTIwMzUxNTc0sDRS0lEKTi0uzszPAykwNKoFAJvTtlAtAAAA"/>
  </w:docVars>
  <w:rsids>
    <w:rsidRoot w:val="004D4663"/>
    <w:rsid w:val="00007E97"/>
    <w:rsid w:val="000226D4"/>
    <w:rsid w:val="00023702"/>
    <w:rsid w:val="00030C71"/>
    <w:rsid w:val="000343D1"/>
    <w:rsid w:val="0004146C"/>
    <w:rsid w:val="0006145D"/>
    <w:rsid w:val="00066F4D"/>
    <w:rsid w:val="000816C3"/>
    <w:rsid w:val="00085C02"/>
    <w:rsid w:val="00094AE7"/>
    <w:rsid w:val="000A1E3D"/>
    <w:rsid w:val="000A225C"/>
    <w:rsid w:val="000E2BF7"/>
    <w:rsid w:val="000F756E"/>
    <w:rsid w:val="000F79EF"/>
    <w:rsid w:val="0012227D"/>
    <w:rsid w:val="00124C65"/>
    <w:rsid w:val="001316A3"/>
    <w:rsid w:val="0013528D"/>
    <w:rsid w:val="001412E9"/>
    <w:rsid w:val="00154F7A"/>
    <w:rsid w:val="00156038"/>
    <w:rsid w:val="00180B1A"/>
    <w:rsid w:val="00190A07"/>
    <w:rsid w:val="001C76C9"/>
    <w:rsid w:val="001F247F"/>
    <w:rsid w:val="001F65E9"/>
    <w:rsid w:val="002143D6"/>
    <w:rsid w:val="00216ECA"/>
    <w:rsid w:val="00233D49"/>
    <w:rsid w:val="00262241"/>
    <w:rsid w:val="00267558"/>
    <w:rsid w:val="00271D9C"/>
    <w:rsid w:val="002A4E96"/>
    <w:rsid w:val="002F7094"/>
    <w:rsid w:val="00302BA1"/>
    <w:rsid w:val="00306589"/>
    <w:rsid w:val="0034468B"/>
    <w:rsid w:val="00350ACF"/>
    <w:rsid w:val="003546EC"/>
    <w:rsid w:val="00371C2D"/>
    <w:rsid w:val="0037376C"/>
    <w:rsid w:val="00385D03"/>
    <w:rsid w:val="003B4D31"/>
    <w:rsid w:val="003C356C"/>
    <w:rsid w:val="003D3C40"/>
    <w:rsid w:val="003D68EC"/>
    <w:rsid w:val="003E61DA"/>
    <w:rsid w:val="00400665"/>
    <w:rsid w:val="00433038"/>
    <w:rsid w:val="0047438A"/>
    <w:rsid w:val="00493436"/>
    <w:rsid w:val="004B4340"/>
    <w:rsid w:val="004D1A4B"/>
    <w:rsid w:val="004D4663"/>
    <w:rsid w:val="005118F4"/>
    <w:rsid w:val="00527F1D"/>
    <w:rsid w:val="005347B4"/>
    <w:rsid w:val="005526EA"/>
    <w:rsid w:val="00586945"/>
    <w:rsid w:val="005A3891"/>
    <w:rsid w:val="005E7D13"/>
    <w:rsid w:val="00607486"/>
    <w:rsid w:val="00624737"/>
    <w:rsid w:val="00666EBB"/>
    <w:rsid w:val="00677F11"/>
    <w:rsid w:val="00680D94"/>
    <w:rsid w:val="007101BE"/>
    <w:rsid w:val="007141B7"/>
    <w:rsid w:val="00715069"/>
    <w:rsid w:val="007242E4"/>
    <w:rsid w:val="00747FC6"/>
    <w:rsid w:val="00756C0C"/>
    <w:rsid w:val="007831EF"/>
    <w:rsid w:val="007A03F0"/>
    <w:rsid w:val="007B17C9"/>
    <w:rsid w:val="007B656A"/>
    <w:rsid w:val="007C0316"/>
    <w:rsid w:val="007F6E1E"/>
    <w:rsid w:val="007F74F4"/>
    <w:rsid w:val="00825FFA"/>
    <w:rsid w:val="00826DBC"/>
    <w:rsid w:val="0084571E"/>
    <w:rsid w:val="0084662F"/>
    <w:rsid w:val="008531C2"/>
    <w:rsid w:val="00870351"/>
    <w:rsid w:val="00891B65"/>
    <w:rsid w:val="008973AD"/>
    <w:rsid w:val="008A7444"/>
    <w:rsid w:val="008B46C3"/>
    <w:rsid w:val="008C7E7C"/>
    <w:rsid w:val="008E397E"/>
    <w:rsid w:val="00921E2E"/>
    <w:rsid w:val="00925BCB"/>
    <w:rsid w:val="0093594B"/>
    <w:rsid w:val="0094758C"/>
    <w:rsid w:val="009A03AF"/>
    <w:rsid w:val="009A2EF8"/>
    <w:rsid w:val="009D51A4"/>
    <w:rsid w:val="009E1D27"/>
    <w:rsid w:val="00A20819"/>
    <w:rsid w:val="00A23A02"/>
    <w:rsid w:val="00A34B02"/>
    <w:rsid w:val="00A43665"/>
    <w:rsid w:val="00A44C61"/>
    <w:rsid w:val="00A4749A"/>
    <w:rsid w:val="00A538CF"/>
    <w:rsid w:val="00AA1D3F"/>
    <w:rsid w:val="00AD15EB"/>
    <w:rsid w:val="00B02CF6"/>
    <w:rsid w:val="00B06330"/>
    <w:rsid w:val="00B2290A"/>
    <w:rsid w:val="00B40212"/>
    <w:rsid w:val="00B4496B"/>
    <w:rsid w:val="00B533E5"/>
    <w:rsid w:val="00B7550A"/>
    <w:rsid w:val="00B94372"/>
    <w:rsid w:val="00BA5668"/>
    <w:rsid w:val="00BA7D1F"/>
    <w:rsid w:val="00BE676A"/>
    <w:rsid w:val="00BF0B8F"/>
    <w:rsid w:val="00C14636"/>
    <w:rsid w:val="00C15568"/>
    <w:rsid w:val="00C231BA"/>
    <w:rsid w:val="00C35924"/>
    <w:rsid w:val="00C902D2"/>
    <w:rsid w:val="00CA0C08"/>
    <w:rsid w:val="00CA381E"/>
    <w:rsid w:val="00CE639D"/>
    <w:rsid w:val="00D135E0"/>
    <w:rsid w:val="00D33005"/>
    <w:rsid w:val="00D812F6"/>
    <w:rsid w:val="00D93443"/>
    <w:rsid w:val="00DA6B92"/>
    <w:rsid w:val="00E16654"/>
    <w:rsid w:val="00E17391"/>
    <w:rsid w:val="00E22756"/>
    <w:rsid w:val="00E22810"/>
    <w:rsid w:val="00E261E9"/>
    <w:rsid w:val="00E65ED7"/>
    <w:rsid w:val="00EA3FB5"/>
    <w:rsid w:val="00EB154B"/>
    <w:rsid w:val="00EB3595"/>
    <w:rsid w:val="00EE48E6"/>
    <w:rsid w:val="00EF037A"/>
    <w:rsid w:val="00F02516"/>
    <w:rsid w:val="00F03299"/>
    <w:rsid w:val="00F26D14"/>
    <w:rsid w:val="00F36EFB"/>
    <w:rsid w:val="00F63236"/>
    <w:rsid w:val="00F91DBD"/>
    <w:rsid w:val="00FA63A8"/>
    <w:rsid w:val="00FB5909"/>
    <w:rsid w:val="00FC34D4"/>
    <w:rsid w:val="00FE1A7E"/>
    <w:rsid w:val="00FF79F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F8A38"/>
  <w15:docId w15:val="{DF0C8436-9C8E-493B-974C-2DBD7627F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665"/>
    <w:rPr>
      <w:lang w:val="en-US"/>
    </w:rPr>
  </w:style>
  <w:style w:type="paragraph" w:styleId="Ttulo1">
    <w:name w:val="heading 1"/>
    <w:basedOn w:val="Normal"/>
    <w:next w:val="Normal"/>
    <w:link w:val="Ttulo1Car"/>
    <w:uiPriority w:val="9"/>
    <w:qFormat/>
    <w:rsid w:val="00B7550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B7550A"/>
    <w:pPr>
      <w:keepNext/>
      <w:keepLines/>
      <w:spacing w:before="40" w:after="0"/>
      <w:outlineLvl w:val="1"/>
    </w:pPr>
    <w:rPr>
      <w:rFonts w:ascii="Times New Roman" w:eastAsiaTheme="majorEastAsia" w:hAnsi="Times New Roman" w:cs="Times New Roman"/>
      <w:color w:val="365F91" w:themeColor="accent1" w:themeShade="BF"/>
      <w:sz w:val="24"/>
      <w:szCs w:val="24"/>
    </w:rPr>
  </w:style>
  <w:style w:type="paragraph" w:styleId="Ttulo3">
    <w:name w:val="heading 3"/>
    <w:basedOn w:val="Normal"/>
    <w:next w:val="Normal"/>
    <w:link w:val="Ttulo3Car"/>
    <w:uiPriority w:val="9"/>
    <w:unhideWhenUsed/>
    <w:qFormat/>
    <w:rsid w:val="00B7550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5568"/>
    <w:pPr>
      <w:ind w:left="720"/>
      <w:contextualSpacing/>
    </w:pPr>
  </w:style>
  <w:style w:type="character" w:styleId="Refdecomentario">
    <w:name w:val="annotation reference"/>
    <w:uiPriority w:val="99"/>
    <w:semiHidden/>
    <w:rsid w:val="007B656A"/>
    <w:rPr>
      <w:rFonts w:cs="Times New Roman"/>
      <w:sz w:val="16"/>
      <w:szCs w:val="16"/>
    </w:rPr>
  </w:style>
  <w:style w:type="paragraph" w:styleId="Textocomentario">
    <w:name w:val="annotation text"/>
    <w:basedOn w:val="Normal"/>
    <w:link w:val="TextocomentarioCar"/>
    <w:uiPriority w:val="99"/>
    <w:rsid w:val="007B656A"/>
    <w:pPr>
      <w:spacing w:after="0" w:line="240" w:lineRule="auto"/>
    </w:pPr>
    <w:rPr>
      <w:rFonts w:ascii="Arial" w:eastAsia="Times New Roman" w:hAnsi="Arial" w:cs="Times New Roman"/>
      <w:sz w:val="20"/>
      <w:szCs w:val="20"/>
    </w:rPr>
  </w:style>
  <w:style w:type="character" w:customStyle="1" w:styleId="TextocomentarioCar">
    <w:name w:val="Texto comentario Car"/>
    <w:basedOn w:val="Fuentedeprrafopredeter"/>
    <w:link w:val="Textocomentario"/>
    <w:uiPriority w:val="99"/>
    <w:rsid w:val="007B656A"/>
    <w:rPr>
      <w:rFonts w:ascii="Arial" w:eastAsia="Times New Roman" w:hAnsi="Arial" w:cs="Times New Roman"/>
      <w:sz w:val="20"/>
      <w:szCs w:val="20"/>
      <w:lang w:val="en-US"/>
    </w:rPr>
  </w:style>
  <w:style w:type="paragraph" w:styleId="Textodeglobo">
    <w:name w:val="Balloon Text"/>
    <w:basedOn w:val="Normal"/>
    <w:link w:val="TextodegloboCar"/>
    <w:uiPriority w:val="99"/>
    <w:semiHidden/>
    <w:unhideWhenUsed/>
    <w:rsid w:val="007B65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656A"/>
    <w:rPr>
      <w:rFonts w:ascii="Tahoma" w:hAnsi="Tahoma" w:cs="Tahoma"/>
      <w:sz w:val="16"/>
      <w:szCs w:val="16"/>
      <w:lang w:val="en-US"/>
    </w:rPr>
  </w:style>
  <w:style w:type="table" w:styleId="Tablaconcuadrcula">
    <w:name w:val="Table Grid"/>
    <w:basedOn w:val="Tablanormal"/>
    <w:uiPriority w:val="59"/>
    <w:rsid w:val="001F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870351"/>
    <w:pPr>
      <w:spacing w:after="200"/>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870351"/>
    <w:rPr>
      <w:rFonts w:ascii="Arial" w:eastAsia="Times New Roman" w:hAnsi="Arial" w:cs="Times New Roman"/>
      <w:b/>
      <w:bCs/>
      <w:sz w:val="20"/>
      <w:szCs w:val="20"/>
      <w:lang w:val="en-US"/>
    </w:rPr>
  </w:style>
  <w:style w:type="table" w:styleId="Listaclara">
    <w:name w:val="Light List"/>
    <w:basedOn w:val="Tablanormal"/>
    <w:uiPriority w:val="61"/>
    <w:rsid w:val="0049343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cabezado">
    <w:name w:val="header"/>
    <w:basedOn w:val="Normal"/>
    <w:link w:val="EncabezadoCar"/>
    <w:uiPriority w:val="99"/>
    <w:unhideWhenUsed/>
    <w:rsid w:val="004934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3436"/>
    <w:rPr>
      <w:lang w:val="en-US"/>
    </w:rPr>
  </w:style>
  <w:style w:type="paragraph" w:styleId="Piedepgina">
    <w:name w:val="footer"/>
    <w:basedOn w:val="Normal"/>
    <w:link w:val="PiedepginaCar"/>
    <w:uiPriority w:val="99"/>
    <w:unhideWhenUsed/>
    <w:rsid w:val="004934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3436"/>
    <w:rPr>
      <w:lang w:val="en-US"/>
    </w:rPr>
  </w:style>
  <w:style w:type="character" w:customStyle="1" w:styleId="Ttulo2Car">
    <w:name w:val="Título 2 Car"/>
    <w:basedOn w:val="Fuentedeprrafopredeter"/>
    <w:link w:val="Ttulo2"/>
    <w:uiPriority w:val="9"/>
    <w:rsid w:val="00B7550A"/>
    <w:rPr>
      <w:rFonts w:ascii="Times New Roman" w:eastAsiaTheme="majorEastAsia" w:hAnsi="Times New Roman" w:cs="Times New Roman"/>
      <w:color w:val="365F91" w:themeColor="accent1" w:themeShade="BF"/>
      <w:sz w:val="24"/>
      <w:szCs w:val="24"/>
      <w:lang w:val="en-US"/>
    </w:rPr>
  </w:style>
  <w:style w:type="character" w:customStyle="1" w:styleId="Ttulo1Car">
    <w:name w:val="Título 1 Car"/>
    <w:basedOn w:val="Fuentedeprrafopredeter"/>
    <w:link w:val="Ttulo1"/>
    <w:uiPriority w:val="9"/>
    <w:rsid w:val="00B7550A"/>
    <w:rPr>
      <w:rFonts w:asciiTheme="majorHAnsi" w:eastAsiaTheme="majorEastAsia" w:hAnsiTheme="majorHAnsi" w:cstheme="majorBidi"/>
      <w:color w:val="365F91" w:themeColor="accent1" w:themeShade="BF"/>
      <w:sz w:val="32"/>
      <w:szCs w:val="32"/>
      <w:lang w:val="en-US"/>
    </w:rPr>
  </w:style>
  <w:style w:type="character" w:customStyle="1" w:styleId="Ttulo3Car">
    <w:name w:val="Título 3 Car"/>
    <w:basedOn w:val="Fuentedeprrafopredeter"/>
    <w:link w:val="Ttulo3"/>
    <w:uiPriority w:val="9"/>
    <w:rsid w:val="00B7550A"/>
    <w:rPr>
      <w:rFonts w:asciiTheme="majorHAnsi" w:eastAsiaTheme="majorEastAsia" w:hAnsiTheme="majorHAnsi" w:cstheme="majorBidi"/>
      <w:color w:val="243F60" w:themeColor="accent1" w:themeShade="7F"/>
      <w:sz w:val="24"/>
      <w:szCs w:val="24"/>
      <w:lang w:val="en-US"/>
    </w:rPr>
  </w:style>
  <w:style w:type="table" w:styleId="Sombreadoclaro">
    <w:name w:val="Light Shading"/>
    <w:basedOn w:val="Tablanormal"/>
    <w:uiPriority w:val="60"/>
    <w:rsid w:val="00262241"/>
    <w:pPr>
      <w:spacing w:after="0" w:line="240" w:lineRule="auto"/>
    </w:pPr>
    <w:rPr>
      <w:rFonts w:ascii="Calibri" w:eastAsia="Calibri" w:hAnsi="Calibri" w:cs="Times New Roman"/>
      <w:color w:val="000000" w:themeColor="text1" w:themeShade="BF"/>
      <w:sz w:val="20"/>
      <w:szCs w:val="20"/>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586945"/>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607486"/>
    <w:rPr>
      <w:color w:val="0000FF" w:themeColor="hyperlink"/>
      <w:u w:val="single"/>
    </w:rPr>
  </w:style>
  <w:style w:type="character" w:styleId="Mencinsinresolver">
    <w:name w:val="Unresolved Mention"/>
    <w:basedOn w:val="Fuentedeprrafopredeter"/>
    <w:uiPriority w:val="99"/>
    <w:semiHidden/>
    <w:unhideWhenUsed/>
    <w:rsid w:val="00607486"/>
    <w:rPr>
      <w:color w:val="605E5C"/>
      <w:shd w:val="clear" w:color="auto" w:fill="E1DFDD"/>
    </w:rPr>
  </w:style>
  <w:style w:type="paragraph" w:styleId="HTMLconformatoprevio">
    <w:name w:val="HTML Preformatted"/>
    <w:basedOn w:val="Normal"/>
    <w:link w:val="HTMLconformatoprevioCar"/>
    <w:uiPriority w:val="99"/>
    <w:semiHidden/>
    <w:unhideWhenUsed/>
    <w:rsid w:val="0047438A"/>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47438A"/>
    <w:rPr>
      <w:rFonts w:ascii="Consolas" w:hAnsi="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92450">
      <w:bodyDiv w:val="1"/>
      <w:marLeft w:val="0"/>
      <w:marRight w:val="0"/>
      <w:marTop w:val="0"/>
      <w:marBottom w:val="0"/>
      <w:divBdr>
        <w:top w:val="none" w:sz="0" w:space="0" w:color="auto"/>
        <w:left w:val="none" w:sz="0" w:space="0" w:color="auto"/>
        <w:bottom w:val="none" w:sz="0" w:space="0" w:color="auto"/>
        <w:right w:val="none" w:sz="0" w:space="0" w:color="auto"/>
      </w:divBdr>
    </w:div>
    <w:div w:id="497618004">
      <w:bodyDiv w:val="1"/>
      <w:marLeft w:val="0"/>
      <w:marRight w:val="0"/>
      <w:marTop w:val="0"/>
      <w:marBottom w:val="0"/>
      <w:divBdr>
        <w:top w:val="none" w:sz="0" w:space="0" w:color="auto"/>
        <w:left w:val="none" w:sz="0" w:space="0" w:color="auto"/>
        <w:bottom w:val="none" w:sz="0" w:space="0" w:color="auto"/>
        <w:right w:val="none" w:sz="0" w:space="0" w:color="auto"/>
      </w:divBdr>
    </w:div>
    <w:div w:id="527720400">
      <w:bodyDiv w:val="1"/>
      <w:marLeft w:val="0"/>
      <w:marRight w:val="0"/>
      <w:marTop w:val="0"/>
      <w:marBottom w:val="0"/>
      <w:divBdr>
        <w:top w:val="none" w:sz="0" w:space="0" w:color="auto"/>
        <w:left w:val="none" w:sz="0" w:space="0" w:color="auto"/>
        <w:bottom w:val="none" w:sz="0" w:space="0" w:color="auto"/>
        <w:right w:val="none" w:sz="0" w:space="0" w:color="auto"/>
      </w:divBdr>
    </w:div>
    <w:div w:id="552422059">
      <w:bodyDiv w:val="1"/>
      <w:marLeft w:val="0"/>
      <w:marRight w:val="0"/>
      <w:marTop w:val="0"/>
      <w:marBottom w:val="0"/>
      <w:divBdr>
        <w:top w:val="none" w:sz="0" w:space="0" w:color="auto"/>
        <w:left w:val="none" w:sz="0" w:space="0" w:color="auto"/>
        <w:bottom w:val="none" w:sz="0" w:space="0" w:color="auto"/>
        <w:right w:val="none" w:sz="0" w:space="0" w:color="auto"/>
      </w:divBdr>
    </w:div>
    <w:div w:id="804347720">
      <w:bodyDiv w:val="1"/>
      <w:marLeft w:val="0"/>
      <w:marRight w:val="0"/>
      <w:marTop w:val="0"/>
      <w:marBottom w:val="0"/>
      <w:divBdr>
        <w:top w:val="none" w:sz="0" w:space="0" w:color="auto"/>
        <w:left w:val="none" w:sz="0" w:space="0" w:color="auto"/>
        <w:bottom w:val="none" w:sz="0" w:space="0" w:color="auto"/>
        <w:right w:val="none" w:sz="0" w:space="0" w:color="auto"/>
      </w:divBdr>
    </w:div>
    <w:div w:id="838931898">
      <w:bodyDiv w:val="1"/>
      <w:marLeft w:val="0"/>
      <w:marRight w:val="0"/>
      <w:marTop w:val="0"/>
      <w:marBottom w:val="0"/>
      <w:divBdr>
        <w:top w:val="none" w:sz="0" w:space="0" w:color="auto"/>
        <w:left w:val="none" w:sz="0" w:space="0" w:color="auto"/>
        <w:bottom w:val="none" w:sz="0" w:space="0" w:color="auto"/>
        <w:right w:val="none" w:sz="0" w:space="0" w:color="auto"/>
      </w:divBdr>
    </w:div>
    <w:div w:id="844439778">
      <w:bodyDiv w:val="1"/>
      <w:marLeft w:val="0"/>
      <w:marRight w:val="0"/>
      <w:marTop w:val="0"/>
      <w:marBottom w:val="0"/>
      <w:divBdr>
        <w:top w:val="none" w:sz="0" w:space="0" w:color="auto"/>
        <w:left w:val="none" w:sz="0" w:space="0" w:color="auto"/>
        <w:bottom w:val="none" w:sz="0" w:space="0" w:color="auto"/>
        <w:right w:val="none" w:sz="0" w:space="0" w:color="auto"/>
      </w:divBdr>
    </w:div>
    <w:div w:id="864094274">
      <w:bodyDiv w:val="1"/>
      <w:marLeft w:val="0"/>
      <w:marRight w:val="0"/>
      <w:marTop w:val="0"/>
      <w:marBottom w:val="0"/>
      <w:divBdr>
        <w:top w:val="none" w:sz="0" w:space="0" w:color="auto"/>
        <w:left w:val="none" w:sz="0" w:space="0" w:color="auto"/>
        <w:bottom w:val="none" w:sz="0" w:space="0" w:color="auto"/>
        <w:right w:val="none" w:sz="0" w:space="0" w:color="auto"/>
      </w:divBdr>
    </w:div>
    <w:div w:id="917902159">
      <w:bodyDiv w:val="1"/>
      <w:marLeft w:val="0"/>
      <w:marRight w:val="0"/>
      <w:marTop w:val="0"/>
      <w:marBottom w:val="0"/>
      <w:divBdr>
        <w:top w:val="none" w:sz="0" w:space="0" w:color="auto"/>
        <w:left w:val="none" w:sz="0" w:space="0" w:color="auto"/>
        <w:bottom w:val="none" w:sz="0" w:space="0" w:color="auto"/>
        <w:right w:val="none" w:sz="0" w:space="0" w:color="auto"/>
      </w:divBdr>
    </w:div>
    <w:div w:id="958099915">
      <w:bodyDiv w:val="1"/>
      <w:marLeft w:val="0"/>
      <w:marRight w:val="0"/>
      <w:marTop w:val="0"/>
      <w:marBottom w:val="0"/>
      <w:divBdr>
        <w:top w:val="none" w:sz="0" w:space="0" w:color="auto"/>
        <w:left w:val="none" w:sz="0" w:space="0" w:color="auto"/>
        <w:bottom w:val="none" w:sz="0" w:space="0" w:color="auto"/>
        <w:right w:val="none" w:sz="0" w:space="0" w:color="auto"/>
      </w:divBdr>
    </w:div>
    <w:div w:id="1156607127">
      <w:bodyDiv w:val="1"/>
      <w:marLeft w:val="0"/>
      <w:marRight w:val="0"/>
      <w:marTop w:val="0"/>
      <w:marBottom w:val="0"/>
      <w:divBdr>
        <w:top w:val="none" w:sz="0" w:space="0" w:color="auto"/>
        <w:left w:val="none" w:sz="0" w:space="0" w:color="auto"/>
        <w:bottom w:val="none" w:sz="0" w:space="0" w:color="auto"/>
        <w:right w:val="none" w:sz="0" w:space="0" w:color="auto"/>
      </w:divBdr>
    </w:div>
    <w:div w:id="1249340271">
      <w:bodyDiv w:val="1"/>
      <w:marLeft w:val="0"/>
      <w:marRight w:val="0"/>
      <w:marTop w:val="0"/>
      <w:marBottom w:val="0"/>
      <w:divBdr>
        <w:top w:val="none" w:sz="0" w:space="0" w:color="auto"/>
        <w:left w:val="none" w:sz="0" w:space="0" w:color="auto"/>
        <w:bottom w:val="none" w:sz="0" w:space="0" w:color="auto"/>
        <w:right w:val="none" w:sz="0" w:space="0" w:color="auto"/>
      </w:divBdr>
    </w:div>
    <w:div w:id="1347050135">
      <w:bodyDiv w:val="1"/>
      <w:marLeft w:val="0"/>
      <w:marRight w:val="0"/>
      <w:marTop w:val="0"/>
      <w:marBottom w:val="0"/>
      <w:divBdr>
        <w:top w:val="none" w:sz="0" w:space="0" w:color="auto"/>
        <w:left w:val="none" w:sz="0" w:space="0" w:color="auto"/>
        <w:bottom w:val="none" w:sz="0" w:space="0" w:color="auto"/>
        <w:right w:val="none" w:sz="0" w:space="0" w:color="auto"/>
      </w:divBdr>
    </w:div>
    <w:div w:id="1373260831">
      <w:bodyDiv w:val="1"/>
      <w:marLeft w:val="0"/>
      <w:marRight w:val="0"/>
      <w:marTop w:val="0"/>
      <w:marBottom w:val="0"/>
      <w:divBdr>
        <w:top w:val="none" w:sz="0" w:space="0" w:color="auto"/>
        <w:left w:val="none" w:sz="0" w:space="0" w:color="auto"/>
        <w:bottom w:val="none" w:sz="0" w:space="0" w:color="auto"/>
        <w:right w:val="none" w:sz="0" w:space="0" w:color="auto"/>
      </w:divBdr>
    </w:div>
    <w:div w:id="1402481162">
      <w:bodyDiv w:val="1"/>
      <w:marLeft w:val="0"/>
      <w:marRight w:val="0"/>
      <w:marTop w:val="0"/>
      <w:marBottom w:val="0"/>
      <w:divBdr>
        <w:top w:val="none" w:sz="0" w:space="0" w:color="auto"/>
        <w:left w:val="none" w:sz="0" w:space="0" w:color="auto"/>
        <w:bottom w:val="none" w:sz="0" w:space="0" w:color="auto"/>
        <w:right w:val="none" w:sz="0" w:space="0" w:color="auto"/>
      </w:divBdr>
    </w:div>
    <w:div w:id="1419593591">
      <w:bodyDiv w:val="1"/>
      <w:marLeft w:val="0"/>
      <w:marRight w:val="0"/>
      <w:marTop w:val="0"/>
      <w:marBottom w:val="0"/>
      <w:divBdr>
        <w:top w:val="none" w:sz="0" w:space="0" w:color="auto"/>
        <w:left w:val="none" w:sz="0" w:space="0" w:color="auto"/>
        <w:bottom w:val="none" w:sz="0" w:space="0" w:color="auto"/>
        <w:right w:val="none" w:sz="0" w:space="0" w:color="auto"/>
      </w:divBdr>
    </w:div>
    <w:div w:id="1427071020">
      <w:bodyDiv w:val="1"/>
      <w:marLeft w:val="0"/>
      <w:marRight w:val="0"/>
      <w:marTop w:val="0"/>
      <w:marBottom w:val="0"/>
      <w:divBdr>
        <w:top w:val="none" w:sz="0" w:space="0" w:color="auto"/>
        <w:left w:val="none" w:sz="0" w:space="0" w:color="auto"/>
        <w:bottom w:val="none" w:sz="0" w:space="0" w:color="auto"/>
        <w:right w:val="none" w:sz="0" w:space="0" w:color="auto"/>
      </w:divBdr>
    </w:div>
    <w:div w:id="1434478132">
      <w:bodyDiv w:val="1"/>
      <w:marLeft w:val="0"/>
      <w:marRight w:val="0"/>
      <w:marTop w:val="0"/>
      <w:marBottom w:val="0"/>
      <w:divBdr>
        <w:top w:val="none" w:sz="0" w:space="0" w:color="auto"/>
        <w:left w:val="none" w:sz="0" w:space="0" w:color="auto"/>
        <w:bottom w:val="none" w:sz="0" w:space="0" w:color="auto"/>
        <w:right w:val="none" w:sz="0" w:space="0" w:color="auto"/>
      </w:divBdr>
    </w:div>
    <w:div w:id="1553611722">
      <w:bodyDiv w:val="1"/>
      <w:marLeft w:val="0"/>
      <w:marRight w:val="0"/>
      <w:marTop w:val="0"/>
      <w:marBottom w:val="0"/>
      <w:divBdr>
        <w:top w:val="none" w:sz="0" w:space="0" w:color="auto"/>
        <w:left w:val="none" w:sz="0" w:space="0" w:color="auto"/>
        <w:bottom w:val="none" w:sz="0" w:space="0" w:color="auto"/>
        <w:right w:val="none" w:sz="0" w:space="0" w:color="auto"/>
      </w:divBdr>
    </w:div>
    <w:div w:id="1643077749">
      <w:bodyDiv w:val="1"/>
      <w:marLeft w:val="0"/>
      <w:marRight w:val="0"/>
      <w:marTop w:val="0"/>
      <w:marBottom w:val="0"/>
      <w:divBdr>
        <w:top w:val="none" w:sz="0" w:space="0" w:color="auto"/>
        <w:left w:val="none" w:sz="0" w:space="0" w:color="auto"/>
        <w:bottom w:val="none" w:sz="0" w:space="0" w:color="auto"/>
        <w:right w:val="none" w:sz="0" w:space="0" w:color="auto"/>
      </w:divBdr>
    </w:div>
    <w:div w:id="1705251074">
      <w:bodyDiv w:val="1"/>
      <w:marLeft w:val="0"/>
      <w:marRight w:val="0"/>
      <w:marTop w:val="0"/>
      <w:marBottom w:val="0"/>
      <w:divBdr>
        <w:top w:val="none" w:sz="0" w:space="0" w:color="auto"/>
        <w:left w:val="none" w:sz="0" w:space="0" w:color="auto"/>
        <w:bottom w:val="none" w:sz="0" w:space="0" w:color="auto"/>
        <w:right w:val="none" w:sz="0" w:space="0" w:color="auto"/>
      </w:divBdr>
    </w:div>
    <w:div w:id="1710954076">
      <w:bodyDiv w:val="1"/>
      <w:marLeft w:val="0"/>
      <w:marRight w:val="0"/>
      <w:marTop w:val="0"/>
      <w:marBottom w:val="0"/>
      <w:divBdr>
        <w:top w:val="none" w:sz="0" w:space="0" w:color="auto"/>
        <w:left w:val="none" w:sz="0" w:space="0" w:color="auto"/>
        <w:bottom w:val="none" w:sz="0" w:space="0" w:color="auto"/>
        <w:right w:val="none" w:sz="0" w:space="0" w:color="auto"/>
      </w:divBdr>
    </w:div>
    <w:div w:id="1732382282">
      <w:bodyDiv w:val="1"/>
      <w:marLeft w:val="0"/>
      <w:marRight w:val="0"/>
      <w:marTop w:val="0"/>
      <w:marBottom w:val="0"/>
      <w:divBdr>
        <w:top w:val="none" w:sz="0" w:space="0" w:color="auto"/>
        <w:left w:val="none" w:sz="0" w:space="0" w:color="auto"/>
        <w:bottom w:val="none" w:sz="0" w:space="0" w:color="auto"/>
        <w:right w:val="none" w:sz="0" w:space="0" w:color="auto"/>
      </w:divBdr>
    </w:div>
    <w:div w:id="1960605114">
      <w:bodyDiv w:val="1"/>
      <w:marLeft w:val="0"/>
      <w:marRight w:val="0"/>
      <w:marTop w:val="0"/>
      <w:marBottom w:val="0"/>
      <w:divBdr>
        <w:top w:val="none" w:sz="0" w:space="0" w:color="auto"/>
        <w:left w:val="none" w:sz="0" w:space="0" w:color="auto"/>
        <w:bottom w:val="none" w:sz="0" w:space="0" w:color="auto"/>
        <w:right w:val="none" w:sz="0" w:space="0" w:color="auto"/>
      </w:divBdr>
    </w:div>
    <w:div w:id="2013533032">
      <w:bodyDiv w:val="1"/>
      <w:marLeft w:val="0"/>
      <w:marRight w:val="0"/>
      <w:marTop w:val="0"/>
      <w:marBottom w:val="0"/>
      <w:divBdr>
        <w:top w:val="none" w:sz="0" w:space="0" w:color="auto"/>
        <w:left w:val="none" w:sz="0" w:space="0" w:color="auto"/>
        <w:bottom w:val="none" w:sz="0" w:space="0" w:color="auto"/>
        <w:right w:val="none" w:sz="0" w:space="0" w:color="auto"/>
      </w:divBdr>
    </w:div>
    <w:div w:id="2022276912">
      <w:bodyDiv w:val="1"/>
      <w:marLeft w:val="0"/>
      <w:marRight w:val="0"/>
      <w:marTop w:val="0"/>
      <w:marBottom w:val="0"/>
      <w:divBdr>
        <w:top w:val="none" w:sz="0" w:space="0" w:color="auto"/>
        <w:left w:val="none" w:sz="0" w:space="0" w:color="auto"/>
        <w:bottom w:val="none" w:sz="0" w:space="0" w:color="auto"/>
        <w:right w:val="none" w:sz="0" w:space="0" w:color="auto"/>
      </w:divBdr>
    </w:div>
    <w:div w:id="20242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genabio.com/oncocarta-pane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B4E8B-F04A-4AF1-A6E2-42D280726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3321</Words>
  <Characters>18267</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PASCUAL, TOMÁS (ICMHO)</dc:creator>
  <cp:lastModifiedBy>Jordi Canes</cp:lastModifiedBy>
  <cp:revision>3</cp:revision>
  <cp:lastPrinted>2017-10-31T09:22:00Z</cp:lastPrinted>
  <dcterms:created xsi:type="dcterms:W3CDTF">2021-09-30T09:31:00Z</dcterms:created>
  <dcterms:modified xsi:type="dcterms:W3CDTF">2021-09-30T09:31:00Z</dcterms:modified>
</cp:coreProperties>
</file>