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751B" w14:textId="76B56099" w:rsidR="009844C0" w:rsidRDefault="009844C0" w:rsidP="00FD7DD4">
      <w:pPr>
        <w:spacing w:line="480" w:lineRule="auto"/>
        <w:rPr>
          <w:u w:color="000000"/>
        </w:rPr>
      </w:pPr>
      <w:r w:rsidRPr="009844C0">
        <w:rPr>
          <w:b/>
          <w:bCs/>
          <w:u w:color="000000"/>
        </w:rPr>
        <w:t xml:space="preserve">Table S1: </w:t>
      </w:r>
      <w:r w:rsidRPr="009844C0">
        <w:rPr>
          <w:u w:color="000000"/>
        </w:rPr>
        <w:t>Summary of the radiomic features extracted</w:t>
      </w:r>
    </w:p>
    <w:tbl>
      <w:tblPr>
        <w:tblStyle w:val="TableGrid"/>
        <w:tblW w:w="0" w:type="auto"/>
        <w:tblLook w:val="04A0" w:firstRow="1" w:lastRow="0" w:firstColumn="1" w:lastColumn="0" w:noHBand="0" w:noVBand="1"/>
      </w:tblPr>
      <w:tblGrid>
        <w:gridCol w:w="1576"/>
        <w:gridCol w:w="1821"/>
        <w:gridCol w:w="1697"/>
        <w:gridCol w:w="1005"/>
        <w:gridCol w:w="1188"/>
        <w:gridCol w:w="1009"/>
      </w:tblGrid>
      <w:tr w:rsidR="00BE5908" w14:paraId="27F4F963" w14:textId="77777777" w:rsidTr="00A8167A">
        <w:trPr>
          <w:trHeight w:val="2117"/>
        </w:trPr>
        <w:tc>
          <w:tcPr>
            <w:tcW w:w="1576" w:type="dxa"/>
          </w:tcPr>
          <w:p w14:paraId="60CEA381"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Region</w:t>
            </w:r>
            <w:r>
              <w:rPr>
                <w:rFonts w:eastAsiaTheme="minorEastAsia"/>
                <w:lang w:eastAsia="zh-CN"/>
              </w:rPr>
              <w:t xml:space="preserve"> of Interest (ROI)</w:t>
            </w:r>
          </w:p>
        </w:tc>
        <w:tc>
          <w:tcPr>
            <w:tcW w:w="1821" w:type="dxa"/>
          </w:tcPr>
          <w:p w14:paraId="72637715"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F</w:t>
            </w:r>
            <w:r>
              <w:rPr>
                <w:rFonts w:eastAsiaTheme="minorEastAsia"/>
                <w:lang w:eastAsia="zh-CN"/>
              </w:rPr>
              <w:t>eature category</w:t>
            </w:r>
          </w:p>
        </w:tc>
        <w:tc>
          <w:tcPr>
            <w:tcW w:w="1697" w:type="dxa"/>
          </w:tcPr>
          <w:p w14:paraId="6CDC5E0E"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W</w:t>
            </w:r>
            <w:r>
              <w:rPr>
                <w:rFonts w:eastAsiaTheme="minorEastAsia"/>
                <w:lang w:eastAsia="zh-CN"/>
              </w:rPr>
              <w:t>indow size in pixels (</w:t>
            </w:r>
            <w:proofErr w:type="spellStart"/>
            <w:r>
              <w:rPr>
                <w:rFonts w:eastAsiaTheme="minorEastAsia"/>
                <w:lang w:eastAsia="zh-CN"/>
              </w:rPr>
              <w:t>Intratumoral</w:t>
            </w:r>
            <w:proofErr w:type="spellEnd"/>
            <w:r>
              <w:rPr>
                <w:rFonts w:eastAsiaTheme="minorEastAsia"/>
                <w:lang w:eastAsia="zh-CN"/>
              </w:rPr>
              <w:t>) or annular ring (Peritumoral)</w:t>
            </w:r>
          </w:p>
        </w:tc>
        <w:tc>
          <w:tcPr>
            <w:tcW w:w="1005" w:type="dxa"/>
          </w:tcPr>
          <w:p w14:paraId="5D1141FC"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N</w:t>
            </w:r>
            <w:r>
              <w:rPr>
                <w:rFonts w:eastAsiaTheme="minorEastAsia"/>
                <w:lang w:eastAsia="zh-CN"/>
              </w:rPr>
              <w:t>umber of statistics</w:t>
            </w:r>
          </w:p>
        </w:tc>
        <w:tc>
          <w:tcPr>
            <w:tcW w:w="1188" w:type="dxa"/>
          </w:tcPr>
          <w:p w14:paraId="7A1D46F8"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N</w:t>
            </w:r>
            <w:r>
              <w:rPr>
                <w:rFonts w:eastAsiaTheme="minorEastAsia"/>
                <w:lang w:eastAsia="zh-CN"/>
              </w:rPr>
              <w:t>umber of features extracted (total)</w:t>
            </w:r>
          </w:p>
        </w:tc>
        <w:tc>
          <w:tcPr>
            <w:tcW w:w="1009" w:type="dxa"/>
          </w:tcPr>
          <w:p w14:paraId="5038A3E9"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Total</w:t>
            </w:r>
            <w:r>
              <w:rPr>
                <w:rFonts w:eastAsiaTheme="minorEastAsia"/>
                <w:lang w:eastAsia="zh-CN"/>
              </w:rPr>
              <w:t xml:space="preserve"> number of features</w:t>
            </w:r>
          </w:p>
        </w:tc>
      </w:tr>
      <w:tr w:rsidR="00BE5908" w14:paraId="6CEA820E" w14:textId="77777777" w:rsidTr="00A8167A">
        <w:trPr>
          <w:trHeight w:val="872"/>
        </w:trPr>
        <w:tc>
          <w:tcPr>
            <w:tcW w:w="1576" w:type="dxa"/>
            <w:vMerge w:val="restart"/>
          </w:tcPr>
          <w:p w14:paraId="7C101956"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sidRPr="00752E50">
              <w:rPr>
                <w:rFonts w:eastAsiaTheme="minorEastAsia" w:hint="eastAsia"/>
                <w:lang w:eastAsia="zh-CN"/>
              </w:rPr>
              <w:t>R</w:t>
            </w:r>
            <w:r w:rsidRPr="00752E50">
              <w:rPr>
                <w:rFonts w:eastAsiaTheme="minorEastAsia"/>
                <w:lang w:eastAsia="zh-CN"/>
              </w:rPr>
              <w:t>egion within the tumor boundary (</w:t>
            </w:r>
            <w:proofErr w:type="spellStart"/>
            <w:r w:rsidRPr="00752E50">
              <w:rPr>
                <w:rFonts w:eastAsiaTheme="minorEastAsia"/>
                <w:lang w:eastAsia="zh-CN"/>
              </w:rPr>
              <w:t>Intratumoral</w:t>
            </w:r>
            <w:proofErr w:type="spellEnd"/>
            <w:r w:rsidRPr="00752E50">
              <w:rPr>
                <w:rFonts w:eastAsiaTheme="minorEastAsia"/>
                <w:lang w:eastAsia="zh-CN"/>
              </w:rPr>
              <w:t>)</w:t>
            </w:r>
          </w:p>
        </w:tc>
        <w:tc>
          <w:tcPr>
            <w:tcW w:w="1821" w:type="dxa"/>
          </w:tcPr>
          <w:p w14:paraId="10A8F84C"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sidRPr="00752E50">
              <w:rPr>
                <w:rFonts w:eastAsiaTheme="minorEastAsia" w:hint="eastAsia"/>
                <w:lang w:eastAsia="zh-CN"/>
              </w:rPr>
              <w:t>G</w:t>
            </w:r>
            <w:r w:rsidRPr="00752E50">
              <w:rPr>
                <w:rFonts w:eastAsiaTheme="minorEastAsia"/>
                <w:lang w:eastAsia="zh-CN"/>
              </w:rPr>
              <w:t>ray level intensity</w:t>
            </w:r>
            <w:r>
              <w:rPr>
                <w:rFonts w:eastAsiaTheme="minorEastAsia"/>
                <w:lang w:eastAsia="zh-CN"/>
              </w:rPr>
              <w:t xml:space="preserve"> </w:t>
            </w:r>
            <w:r>
              <w:rPr>
                <w:rFonts w:eastAsiaTheme="minorEastAsia" w:hint="eastAsia"/>
                <w:lang w:eastAsia="zh-CN"/>
              </w:rPr>
              <w:t>(</w:t>
            </w:r>
            <w:r>
              <w:rPr>
                <w:rFonts w:eastAsiaTheme="minorEastAsia"/>
                <w:lang w:eastAsia="zh-CN"/>
              </w:rPr>
              <w:t>4)</w:t>
            </w:r>
          </w:p>
        </w:tc>
        <w:tc>
          <w:tcPr>
            <w:tcW w:w="1697" w:type="dxa"/>
          </w:tcPr>
          <w:p w14:paraId="3D4A3F6C"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3</w:t>
            </w:r>
            <w:r>
              <w:rPr>
                <w:rFonts w:eastAsiaTheme="minorEastAsia"/>
                <w:lang w:eastAsia="zh-CN"/>
              </w:rPr>
              <w:t>,5,7,9</w:t>
            </w:r>
          </w:p>
        </w:tc>
        <w:tc>
          <w:tcPr>
            <w:tcW w:w="1005" w:type="dxa"/>
          </w:tcPr>
          <w:p w14:paraId="646FD478"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4</w:t>
            </w:r>
          </w:p>
        </w:tc>
        <w:tc>
          <w:tcPr>
            <w:tcW w:w="1188" w:type="dxa"/>
          </w:tcPr>
          <w:p w14:paraId="3136EF50"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4</w:t>
            </w:r>
            <w:r>
              <w:rPr>
                <w:rFonts w:eastAsiaTheme="minorEastAsia" w:hint="eastAsia"/>
                <w:lang w:eastAsia="zh-CN"/>
              </w:rPr>
              <w:t>×</w:t>
            </w:r>
            <w:r>
              <w:rPr>
                <w:rFonts w:eastAsiaTheme="minorEastAsia" w:hint="eastAsia"/>
                <w:lang w:eastAsia="zh-CN"/>
              </w:rPr>
              <w:t>4</w:t>
            </w:r>
            <w:r>
              <w:rPr>
                <w:rFonts w:eastAsiaTheme="minorEastAsia" w:hint="eastAsia"/>
                <w:lang w:eastAsia="zh-CN"/>
              </w:rPr>
              <w:t>×</w:t>
            </w:r>
            <w:r>
              <w:rPr>
                <w:rFonts w:eastAsiaTheme="minorEastAsia" w:hint="eastAsia"/>
                <w:lang w:eastAsia="zh-CN"/>
              </w:rPr>
              <w:t>4</w:t>
            </w:r>
            <w:r>
              <w:rPr>
                <w:rFonts w:eastAsiaTheme="minorEastAsia"/>
                <w:lang w:eastAsia="zh-CN"/>
              </w:rPr>
              <w:t xml:space="preserve"> (64)</w:t>
            </w:r>
          </w:p>
        </w:tc>
        <w:tc>
          <w:tcPr>
            <w:tcW w:w="1009" w:type="dxa"/>
            <w:vMerge w:val="restart"/>
          </w:tcPr>
          <w:p w14:paraId="2387A33C"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p>
          <w:p w14:paraId="258E001A"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p>
          <w:p w14:paraId="53A6ADFA"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p>
          <w:p w14:paraId="3C6D2311"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p>
          <w:p w14:paraId="41E71572"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p>
          <w:p w14:paraId="592EA130"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6</w:t>
            </w:r>
            <w:r>
              <w:rPr>
                <w:rFonts w:eastAsiaTheme="minorEastAsia"/>
                <w:lang w:eastAsia="zh-CN"/>
              </w:rPr>
              <w:t>64</w:t>
            </w:r>
          </w:p>
        </w:tc>
      </w:tr>
      <w:tr w:rsidR="00BE5908" w14:paraId="24AD4DE4" w14:textId="77777777" w:rsidTr="00A8167A">
        <w:tc>
          <w:tcPr>
            <w:tcW w:w="1576" w:type="dxa"/>
            <w:vMerge/>
          </w:tcPr>
          <w:p w14:paraId="7B8C4832"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p>
        </w:tc>
        <w:tc>
          <w:tcPr>
            <w:tcW w:w="1821" w:type="dxa"/>
          </w:tcPr>
          <w:p w14:paraId="4FBAA2C5"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sidRPr="00752E50">
              <w:rPr>
                <w:rFonts w:eastAsiaTheme="minorEastAsia" w:hint="eastAsia"/>
                <w:lang w:eastAsia="zh-CN"/>
              </w:rPr>
              <w:t>I</w:t>
            </w:r>
            <w:r w:rsidRPr="00752E50">
              <w:rPr>
                <w:rFonts w:eastAsiaTheme="minorEastAsia"/>
                <w:lang w:eastAsia="zh-CN"/>
              </w:rPr>
              <w:t>ntensity gradient</w:t>
            </w:r>
            <w:r>
              <w:rPr>
                <w:rFonts w:eastAsiaTheme="minorEastAsia"/>
                <w:lang w:eastAsia="zh-CN"/>
              </w:rPr>
              <w:t xml:space="preserve"> (10)</w:t>
            </w:r>
          </w:p>
        </w:tc>
        <w:tc>
          <w:tcPr>
            <w:tcW w:w="1697" w:type="dxa"/>
          </w:tcPr>
          <w:p w14:paraId="46033C1A"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3</w:t>
            </w:r>
          </w:p>
        </w:tc>
        <w:tc>
          <w:tcPr>
            <w:tcW w:w="1005" w:type="dxa"/>
          </w:tcPr>
          <w:p w14:paraId="052597CD"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4</w:t>
            </w:r>
          </w:p>
        </w:tc>
        <w:tc>
          <w:tcPr>
            <w:tcW w:w="1188" w:type="dxa"/>
          </w:tcPr>
          <w:p w14:paraId="0E3D4B99"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1</w:t>
            </w:r>
            <w:r>
              <w:rPr>
                <w:rFonts w:eastAsiaTheme="minorEastAsia"/>
                <w:lang w:eastAsia="zh-CN"/>
              </w:rPr>
              <w:t>0</w:t>
            </w:r>
            <w:r>
              <w:rPr>
                <w:rFonts w:eastAsiaTheme="minorEastAsia" w:hint="eastAsia"/>
                <w:lang w:eastAsia="zh-CN"/>
              </w:rPr>
              <w:t>×</w:t>
            </w:r>
            <w:r>
              <w:rPr>
                <w:rFonts w:eastAsiaTheme="minorEastAsia" w:hint="eastAsia"/>
                <w:lang w:eastAsia="zh-CN"/>
              </w:rPr>
              <w:t>1</w:t>
            </w:r>
            <w:r>
              <w:rPr>
                <w:rFonts w:eastAsiaTheme="minorEastAsia" w:hint="eastAsia"/>
                <w:lang w:eastAsia="zh-CN"/>
              </w:rPr>
              <w:t>×</w:t>
            </w:r>
            <w:r>
              <w:rPr>
                <w:rFonts w:eastAsiaTheme="minorEastAsia" w:hint="eastAsia"/>
                <w:lang w:eastAsia="zh-CN"/>
              </w:rPr>
              <w:t>4</w:t>
            </w:r>
            <w:r>
              <w:rPr>
                <w:rFonts w:eastAsiaTheme="minorEastAsia"/>
                <w:lang w:eastAsia="zh-CN"/>
              </w:rPr>
              <w:t xml:space="preserve"> (40)</w:t>
            </w:r>
          </w:p>
        </w:tc>
        <w:tc>
          <w:tcPr>
            <w:tcW w:w="1009" w:type="dxa"/>
            <w:vMerge/>
          </w:tcPr>
          <w:p w14:paraId="6089E1EE"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p>
        </w:tc>
      </w:tr>
      <w:tr w:rsidR="00BE5908" w14:paraId="12D002F5" w14:textId="77777777" w:rsidTr="00A8167A">
        <w:tc>
          <w:tcPr>
            <w:tcW w:w="1576" w:type="dxa"/>
            <w:vMerge/>
          </w:tcPr>
          <w:p w14:paraId="2791E2EB"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p>
        </w:tc>
        <w:tc>
          <w:tcPr>
            <w:tcW w:w="1821" w:type="dxa"/>
          </w:tcPr>
          <w:p w14:paraId="22BB28F7"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r w:rsidRPr="00752E50">
              <w:rPr>
                <w:rFonts w:eastAsiaTheme="minorEastAsia" w:hint="eastAsia"/>
                <w:lang w:eastAsia="zh-CN"/>
              </w:rPr>
              <w:t>G</w:t>
            </w:r>
            <w:r w:rsidRPr="00752E50">
              <w:rPr>
                <w:rFonts w:eastAsiaTheme="minorEastAsia"/>
                <w:lang w:eastAsia="zh-CN"/>
              </w:rPr>
              <w:t>abor frequency, orientations</w:t>
            </w:r>
            <w:r>
              <w:rPr>
                <w:rFonts w:eastAsiaTheme="minorEastAsia"/>
                <w:lang w:eastAsia="zh-CN"/>
              </w:rPr>
              <w:t xml:space="preserve"> (7)</w:t>
            </w:r>
          </w:p>
        </w:tc>
        <w:tc>
          <w:tcPr>
            <w:tcW w:w="1697" w:type="dxa"/>
          </w:tcPr>
          <w:p w14:paraId="011F4C2C"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3</w:t>
            </w:r>
            <w:r>
              <w:rPr>
                <w:rFonts w:eastAsiaTheme="minorEastAsia"/>
                <w:lang w:eastAsia="zh-CN"/>
              </w:rPr>
              <w:t>,5,7,9</w:t>
            </w:r>
          </w:p>
        </w:tc>
        <w:tc>
          <w:tcPr>
            <w:tcW w:w="1005" w:type="dxa"/>
          </w:tcPr>
          <w:p w14:paraId="28B9EF8E"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4</w:t>
            </w:r>
          </w:p>
        </w:tc>
        <w:tc>
          <w:tcPr>
            <w:tcW w:w="1188" w:type="dxa"/>
          </w:tcPr>
          <w:p w14:paraId="0027DD94"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7</w:t>
            </w:r>
            <w:r>
              <w:rPr>
                <w:rFonts w:eastAsiaTheme="minorEastAsia" w:hint="eastAsia"/>
                <w:lang w:eastAsia="zh-CN"/>
              </w:rPr>
              <w:t>×</w:t>
            </w:r>
            <w:r>
              <w:rPr>
                <w:rFonts w:eastAsiaTheme="minorEastAsia" w:hint="eastAsia"/>
                <w:lang w:eastAsia="zh-CN"/>
              </w:rPr>
              <w:t>4</w:t>
            </w:r>
            <w:r>
              <w:rPr>
                <w:rFonts w:eastAsiaTheme="minorEastAsia" w:hint="eastAsia"/>
                <w:lang w:eastAsia="zh-CN"/>
              </w:rPr>
              <w:t>×</w:t>
            </w:r>
            <w:r>
              <w:rPr>
                <w:rFonts w:eastAsiaTheme="minorEastAsia" w:hint="eastAsia"/>
                <w:lang w:eastAsia="zh-CN"/>
              </w:rPr>
              <w:t>4</w:t>
            </w:r>
            <w:r>
              <w:rPr>
                <w:rFonts w:eastAsiaTheme="minorEastAsia"/>
                <w:lang w:eastAsia="zh-CN"/>
              </w:rPr>
              <w:t xml:space="preserve"> (112)</w:t>
            </w:r>
          </w:p>
        </w:tc>
        <w:tc>
          <w:tcPr>
            <w:tcW w:w="1009" w:type="dxa"/>
            <w:vMerge/>
          </w:tcPr>
          <w:p w14:paraId="146C1E38"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p>
        </w:tc>
      </w:tr>
      <w:tr w:rsidR="00BE5908" w14:paraId="526EB488" w14:textId="77777777" w:rsidTr="00A8167A">
        <w:tc>
          <w:tcPr>
            <w:tcW w:w="1576" w:type="dxa"/>
            <w:vMerge/>
          </w:tcPr>
          <w:p w14:paraId="510E2878"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p>
        </w:tc>
        <w:tc>
          <w:tcPr>
            <w:tcW w:w="1821" w:type="dxa"/>
          </w:tcPr>
          <w:p w14:paraId="27336578"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r w:rsidRPr="00752E50">
              <w:rPr>
                <w:rFonts w:asciiTheme="majorBidi" w:hAnsiTheme="majorBidi" w:cstheme="majorBidi"/>
              </w:rPr>
              <w:t>Laws’ texture energy</w:t>
            </w:r>
            <w:r>
              <w:rPr>
                <w:rFonts w:asciiTheme="majorBidi" w:hAnsiTheme="majorBidi" w:cstheme="majorBidi"/>
              </w:rPr>
              <w:t xml:space="preserve"> (5)</w:t>
            </w:r>
          </w:p>
        </w:tc>
        <w:tc>
          <w:tcPr>
            <w:tcW w:w="1697" w:type="dxa"/>
          </w:tcPr>
          <w:p w14:paraId="79C8871B"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3</w:t>
            </w:r>
            <w:r>
              <w:rPr>
                <w:rFonts w:eastAsiaTheme="minorEastAsia"/>
                <w:lang w:eastAsia="zh-CN"/>
              </w:rPr>
              <w:t>,5</w:t>
            </w:r>
          </w:p>
        </w:tc>
        <w:tc>
          <w:tcPr>
            <w:tcW w:w="1005" w:type="dxa"/>
          </w:tcPr>
          <w:p w14:paraId="1CF400D6"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4</w:t>
            </w:r>
          </w:p>
        </w:tc>
        <w:tc>
          <w:tcPr>
            <w:tcW w:w="1188" w:type="dxa"/>
          </w:tcPr>
          <w:p w14:paraId="57D0C61E"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lang w:eastAsia="zh-CN"/>
              </w:rPr>
              <w:t>3</w:t>
            </w:r>
            <w:r>
              <w:rPr>
                <w:rFonts w:eastAsiaTheme="minorEastAsia"/>
                <w:vertAlign w:val="superscript"/>
                <w:lang w:eastAsia="zh-CN"/>
              </w:rPr>
              <w:t>2</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5</w:t>
            </w:r>
            <w:r>
              <w:rPr>
                <w:rFonts w:eastAsiaTheme="minorEastAsia"/>
                <w:vertAlign w:val="superscript"/>
                <w:lang w:eastAsia="zh-CN"/>
              </w:rPr>
              <w:t>2</w:t>
            </w:r>
            <w:r>
              <w:rPr>
                <w:rFonts w:eastAsiaTheme="minorEastAsia" w:hint="eastAsia"/>
                <w:lang w:eastAsia="zh-CN"/>
              </w:rPr>
              <w:t>×</w:t>
            </w:r>
            <w:r>
              <w:rPr>
                <w:rFonts w:eastAsiaTheme="minorEastAsia"/>
                <w:lang w:eastAsia="zh-CN"/>
              </w:rPr>
              <w:t>4 (136)</w:t>
            </w:r>
          </w:p>
        </w:tc>
        <w:tc>
          <w:tcPr>
            <w:tcW w:w="1009" w:type="dxa"/>
            <w:vMerge/>
          </w:tcPr>
          <w:p w14:paraId="7F4D4576"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p>
        </w:tc>
      </w:tr>
      <w:tr w:rsidR="00BE5908" w14:paraId="08F236E2" w14:textId="77777777" w:rsidTr="00A8167A">
        <w:tc>
          <w:tcPr>
            <w:tcW w:w="1576" w:type="dxa"/>
            <w:vMerge/>
          </w:tcPr>
          <w:p w14:paraId="7C109833"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p>
        </w:tc>
        <w:tc>
          <w:tcPr>
            <w:tcW w:w="1821" w:type="dxa"/>
          </w:tcPr>
          <w:p w14:paraId="23ABD1B8"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proofErr w:type="spellStart"/>
            <w:r w:rsidRPr="00752E50">
              <w:rPr>
                <w:rFonts w:eastAsiaTheme="minorEastAsia" w:hint="eastAsia"/>
                <w:lang w:eastAsia="zh-CN"/>
              </w:rPr>
              <w:t>H</w:t>
            </w:r>
            <w:r w:rsidRPr="00752E50">
              <w:rPr>
                <w:rFonts w:eastAsiaTheme="minorEastAsia"/>
                <w:lang w:eastAsia="zh-CN"/>
              </w:rPr>
              <w:t>aralick</w:t>
            </w:r>
            <w:proofErr w:type="spellEnd"/>
            <w:r w:rsidRPr="00752E50">
              <w:rPr>
                <w:rFonts w:eastAsiaTheme="minorEastAsia"/>
                <w:lang w:eastAsia="zh-CN"/>
              </w:rPr>
              <w:t xml:space="preserve"> textures</w:t>
            </w:r>
            <w:r>
              <w:rPr>
                <w:rFonts w:eastAsiaTheme="minorEastAsia"/>
                <w:lang w:eastAsia="zh-CN"/>
              </w:rPr>
              <w:t xml:space="preserve"> (13)</w:t>
            </w:r>
          </w:p>
        </w:tc>
        <w:tc>
          <w:tcPr>
            <w:tcW w:w="1697" w:type="dxa"/>
          </w:tcPr>
          <w:p w14:paraId="1199369F"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3</w:t>
            </w:r>
            <w:r>
              <w:rPr>
                <w:rFonts w:eastAsiaTheme="minorEastAsia"/>
                <w:lang w:eastAsia="zh-CN"/>
              </w:rPr>
              <w:t>,5,7,9</w:t>
            </w:r>
          </w:p>
        </w:tc>
        <w:tc>
          <w:tcPr>
            <w:tcW w:w="1005" w:type="dxa"/>
          </w:tcPr>
          <w:p w14:paraId="3DD11CC5"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4</w:t>
            </w:r>
          </w:p>
        </w:tc>
        <w:tc>
          <w:tcPr>
            <w:tcW w:w="1188" w:type="dxa"/>
          </w:tcPr>
          <w:p w14:paraId="1A499573"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hint="eastAsia"/>
                <w:lang w:eastAsia="zh-CN"/>
              </w:rPr>
              <w:t>4</w:t>
            </w:r>
            <w:r>
              <w:rPr>
                <w:rFonts w:eastAsiaTheme="minorEastAsia" w:hint="eastAsia"/>
                <w:lang w:eastAsia="zh-CN"/>
              </w:rPr>
              <w:t>×</w:t>
            </w:r>
            <w:r>
              <w:rPr>
                <w:rFonts w:eastAsiaTheme="minorEastAsia" w:hint="eastAsia"/>
                <w:lang w:eastAsia="zh-CN"/>
              </w:rPr>
              <w:t>4</w:t>
            </w:r>
            <w:r>
              <w:rPr>
                <w:rFonts w:eastAsiaTheme="minorEastAsia"/>
                <w:lang w:eastAsia="zh-CN"/>
              </w:rPr>
              <w:t xml:space="preserve"> (208)</w:t>
            </w:r>
          </w:p>
        </w:tc>
        <w:tc>
          <w:tcPr>
            <w:tcW w:w="1009" w:type="dxa"/>
            <w:vMerge/>
          </w:tcPr>
          <w:p w14:paraId="13F71520"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p>
        </w:tc>
      </w:tr>
      <w:tr w:rsidR="00BE5908" w14:paraId="27522E2A" w14:textId="77777777" w:rsidTr="00A8167A">
        <w:trPr>
          <w:trHeight w:val="1291"/>
        </w:trPr>
        <w:tc>
          <w:tcPr>
            <w:tcW w:w="1576" w:type="dxa"/>
            <w:vMerge/>
          </w:tcPr>
          <w:p w14:paraId="4F302FCD"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p>
        </w:tc>
        <w:tc>
          <w:tcPr>
            <w:tcW w:w="1821" w:type="dxa"/>
          </w:tcPr>
          <w:p w14:paraId="06A6B20E"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r w:rsidRPr="00752E50">
              <w:rPr>
                <w:rFonts w:eastAsiaTheme="minorEastAsia"/>
              </w:rPr>
              <w:t>Co-occurrence of Gradient Orientations (</w:t>
            </w:r>
            <w:proofErr w:type="spellStart"/>
            <w:r w:rsidRPr="00752E50">
              <w:rPr>
                <w:rFonts w:eastAsiaTheme="minorEastAsia"/>
              </w:rPr>
              <w:t>CoLlAGe</w:t>
            </w:r>
            <w:proofErr w:type="spellEnd"/>
            <w:r w:rsidRPr="00752E50">
              <w:rPr>
                <w:rFonts w:eastAsiaTheme="minorEastAsia"/>
              </w:rPr>
              <w:t>)</w:t>
            </w:r>
            <w:r>
              <w:rPr>
                <w:rFonts w:eastAsiaTheme="minorEastAsia"/>
              </w:rPr>
              <w:t xml:space="preserve"> (13)</w:t>
            </w:r>
          </w:p>
        </w:tc>
        <w:tc>
          <w:tcPr>
            <w:tcW w:w="1697" w:type="dxa"/>
          </w:tcPr>
          <w:p w14:paraId="440969C0"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3</w:t>
            </w:r>
            <w:r>
              <w:rPr>
                <w:rFonts w:eastAsiaTheme="minorEastAsia"/>
                <w:lang w:eastAsia="zh-CN"/>
              </w:rPr>
              <w:t>,5</w:t>
            </w:r>
          </w:p>
        </w:tc>
        <w:tc>
          <w:tcPr>
            <w:tcW w:w="1005" w:type="dxa"/>
          </w:tcPr>
          <w:p w14:paraId="382ABA1A"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4</w:t>
            </w:r>
          </w:p>
        </w:tc>
        <w:tc>
          <w:tcPr>
            <w:tcW w:w="1188" w:type="dxa"/>
          </w:tcPr>
          <w:p w14:paraId="5A3238A2"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hint="eastAsia"/>
                <w:lang w:eastAsia="zh-CN"/>
              </w:rPr>
              <w:t>2</w:t>
            </w:r>
            <w:r>
              <w:rPr>
                <w:rFonts w:eastAsiaTheme="minorEastAsia" w:hint="eastAsia"/>
                <w:lang w:eastAsia="zh-CN"/>
              </w:rPr>
              <w:t>×</w:t>
            </w:r>
            <w:r>
              <w:rPr>
                <w:rFonts w:eastAsiaTheme="minorEastAsia" w:hint="eastAsia"/>
                <w:lang w:eastAsia="zh-CN"/>
              </w:rPr>
              <w:t>4</w:t>
            </w:r>
            <w:r>
              <w:rPr>
                <w:rFonts w:eastAsiaTheme="minorEastAsia"/>
                <w:lang w:eastAsia="zh-CN"/>
              </w:rPr>
              <w:t xml:space="preserve"> (104)</w:t>
            </w:r>
          </w:p>
        </w:tc>
        <w:tc>
          <w:tcPr>
            <w:tcW w:w="1009" w:type="dxa"/>
            <w:vMerge/>
          </w:tcPr>
          <w:p w14:paraId="53B379BD"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p>
        </w:tc>
      </w:tr>
      <w:tr w:rsidR="00BE5908" w14:paraId="38054A60" w14:textId="77777777" w:rsidTr="00A8167A">
        <w:tc>
          <w:tcPr>
            <w:tcW w:w="1576" w:type="dxa"/>
            <w:vMerge w:val="restart"/>
          </w:tcPr>
          <w:p w14:paraId="16C1C752"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sidRPr="00752E50">
              <w:rPr>
                <w:rFonts w:eastAsiaTheme="minorEastAsia" w:hint="eastAsia"/>
                <w:lang w:eastAsia="zh-CN"/>
              </w:rPr>
              <w:t>A</w:t>
            </w:r>
            <w:r w:rsidRPr="00752E50">
              <w:rPr>
                <w:rFonts w:eastAsiaTheme="minorEastAsia"/>
                <w:lang w:eastAsia="zh-CN"/>
              </w:rPr>
              <w:t xml:space="preserve">nnular </w:t>
            </w:r>
            <w:proofErr w:type="gramStart"/>
            <w:r w:rsidRPr="00752E50">
              <w:rPr>
                <w:rFonts w:eastAsiaTheme="minorEastAsia"/>
                <w:lang w:eastAsia="zh-CN"/>
              </w:rPr>
              <w:t>rings  outside</w:t>
            </w:r>
            <w:proofErr w:type="gramEnd"/>
            <w:r w:rsidRPr="00752E50">
              <w:rPr>
                <w:rFonts w:eastAsiaTheme="minorEastAsia"/>
                <w:lang w:eastAsia="zh-CN"/>
              </w:rPr>
              <w:t xml:space="preserve"> the tumor boundary (Peritumoral)</w:t>
            </w:r>
          </w:p>
        </w:tc>
        <w:tc>
          <w:tcPr>
            <w:tcW w:w="1821" w:type="dxa"/>
          </w:tcPr>
          <w:p w14:paraId="230841E6"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proofErr w:type="spellStart"/>
            <w:r w:rsidRPr="00752E50">
              <w:rPr>
                <w:rFonts w:eastAsiaTheme="minorEastAsia" w:hint="eastAsia"/>
                <w:lang w:eastAsia="zh-CN"/>
              </w:rPr>
              <w:t>H</w:t>
            </w:r>
            <w:r w:rsidRPr="00752E50">
              <w:rPr>
                <w:rFonts w:eastAsiaTheme="minorEastAsia"/>
                <w:lang w:eastAsia="zh-CN"/>
              </w:rPr>
              <w:t>aralick</w:t>
            </w:r>
            <w:proofErr w:type="spellEnd"/>
            <w:r w:rsidRPr="00752E50">
              <w:rPr>
                <w:rFonts w:eastAsiaTheme="minorEastAsia"/>
                <w:lang w:eastAsia="zh-CN"/>
              </w:rPr>
              <w:t xml:space="preserve"> textures</w:t>
            </w:r>
            <w:r>
              <w:rPr>
                <w:rFonts w:eastAsiaTheme="minorEastAsia"/>
                <w:lang w:eastAsia="zh-CN"/>
              </w:rPr>
              <w:t xml:space="preserve"> </w:t>
            </w:r>
            <w:r>
              <w:rPr>
                <w:rFonts w:eastAsiaTheme="minorEastAsia" w:hint="eastAsia"/>
                <w:lang w:eastAsia="zh-CN"/>
              </w:rPr>
              <w:t>(</w:t>
            </w:r>
            <w:r>
              <w:rPr>
                <w:rFonts w:eastAsiaTheme="minorEastAsia"/>
                <w:lang w:eastAsia="zh-CN"/>
              </w:rPr>
              <w:t>13)</w:t>
            </w:r>
          </w:p>
        </w:tc>
        <w:tc>
          <w:tcPr>
            <w:tcW w:w="1697" w:type="dxa"/>
          </w:tcPr>
          <w:p w14:paraId="0ED4D55F"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sidRPr="00752E50">
              <w:rPr>
                <w:rFonts w:eastAsiaTheme="minorEastAsia" w:hint="eastAsia"/>
                <w:lang w:eastAsia="zh-CN"/>
              </w:rPr>
              <w:t>0</w:t>
            </w:r>
            <w:r w:rsidRPr="00752E50">
              <w:rPr>
                <w:rFonts w:eastAsiaTheme="minorEastAsia"/>
                <w:lang w:eastAsia="zh-CN"/>
              </w:rPr>
              <w:t>-5mm, 5</w:t>
            </w:r>
            <w:r>
              <w:rPr>
                <w:rFonts w:eastAsiaTheme="minorEastAsia"/>
                <w:lang w:eastAsia="zh-CN"/>
              </w:rPr>
              <w:t>-</w:t>
            </w:r>
            <w:r w:rsidRPr="00752E50">
              <w:rPr>
                <w:rFonts w:eastAsiaTheme="minorEastAsia"/>
                <w:lang w:eastAsia="zh-CN"/>
              </w:rPr>
              <w:t>10mm, 10-15mm</w:t>
            </w:r>
          </w:p>
        </w:tc>
        <w:tc>
          <w:tcPr>
            <w:tcW w:w="1005" w:type="dxa"/>
          </w:tcPr>
          <w:p w14:paraId="160A5590"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5</w:t>
            </w:r>
          </w:p>
        </w:tc>
        <w:tc>
          <w:tcPr>
            <w:tcW w:w="1188" w:type="dxa"/>
          </w:tcPr>
          <w:p w14:paraId="258123B2"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hint="eastAsia"/>
                <w:lang w:eastAsia="zh-CN"/>
              </w:rPr>
              <w:t>3</w:t>
            </w:r>
            <w:r>
              <w:rPr>
                <w:rFonts w:eastAsiaTheme="minorEastAsia" w:hint="eastAsia"/>
                <w:lang w:eastAsia="zh-CN"/>
              </w:rPr>
              <w:t>×</w:t>
            </w:r>
            <w:r>
              <w:rPr>
                <w:rFonts w:eastAsiaTheme="minorEastAsia" w:hint="eastAsia"/>
                <w:lang w:eastAsia="zh-CN"/>
              </w:rPr>
              <w:t>5</w:t>
            </w:r>
            <w:r>
              <w:rPr>
                <w:rFonts w:eastAsiaTheme="minorEastAsia"/>
                <w:lang w:eastAsia="zh-CN"/>
              </w:rPr>
              <w:t xml:space="preserve"> (</w:t>
            </w:r>
            <w:r>
              <w:rPr>
                <w:rFonts w:eastAsiaTheme="minorEastAsia" w:hint="eastAsia"/>
                <w:lang w:eastAsia="zh-CN"/>
              </w:rPr>
              <w:t>1</w:t>
            </w:r>
            <w:r>
              <w:rPr>
                <w:rFonts w:eastAsiaTheme="minorEastAsia"/>
                <w:lang w:eastAsia="zh-CN"/>
              </w:rPr>
              <w:t>95)</w:t>
            </w:r>
          </w:p>
        </w:tc>
        <w:tc>
          <w:tcPr>
            <w:tcW w:w="1009" w:type="dxa"/>
            <w:vMerge w:val="restart"/>
          </w:tcPr>
          <w:p w14:paraId="664327D9"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p>
          <w:p w14:paraId="395C94E9"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p>
          <w:p w14:paraId="2FC989C2"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p>
          <w:p w14:paraId="61B6AC85"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1</w:t>
            </w:r>
            <w:r>
              <w:rPr>
                <w:rFonts w:eastAsiaTheme="minorEastAsia"/>
                <w:lang w:eastAsia="zh-CN"/>
              </w:rPr>
              <w:t>485</w:t>
            </w:r>
          </w:p>
        </w:tc>
      </w:tr>
      <w:tr w:rsidR="00BE5908" w14:paraId="647F0D2C" w14:textId="77777777" w:rsidTr="00A8167A">
        <w:trPr>
          <w:trHeight w:val="1173"/>
        </w:trPr>
        <w:tc>
          <w:tcPr>
            <w:tcW w:w="1576" w:type="dxa"/>
            <w:vMerge/>
          </w:tcPr>
          <w:p w14:paraId="3E031978"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p>
        </w:tc>
        <w:tc>
          <w:tcPr>
            <w:tcW w:w="1821" w:type="dxa"/>
          </w:tcPr>
          <w:p w14:paraId="17F4ED35"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r w:rsidRPr="00752E50">
              <w:rPr>
                <w:rFonts w:eastAsiaTheme="minorEastAsia"/>
              </w:rPr>
              <w:t xml:space="preserve"> </w:t>
            </w:r>
            <w:proofErr w:type="spellStart"/>
            <w:r w:rsidRPr="00752E50">
              <w:rPr>
                <w:rFonts w:eastAsiaTheme="minorEastAsia"/>
              </w:rPr>
              <w:t>CoLlAGe</w:t>
            </w:r>
            <w:proofErr w:type="spellEnd"/>
            <w:r>
              <w:rPr>
                <w:rFonts w:eastAsiaTheme="minorEastAsia"/>
              </w:rPr>
              <w:t xml:space="preserve"> (13)</w:t>
            </w:r>
          </w:p>
        </w:tc>
        <w:tc>
          <w:tcPr>
            <w:tcW w:w="1697" w:type="dxa"/>
          </w:tcPr>
          <w:p w14:paraId="2A3CD136"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r w:rsidRPr="00752E50">
              <w:rPr>
                <w:rFonts w:eastAsiaTheme="minorEastAsia" w:hint="eastAsia"/>
                <w:lang w:eastAsia="zh-CN"/>
              </w:rPr>
              <w:t>0</w:t>
            </w:r>
            <w:r w:rsidRPr="00752E50">
              <w:rPr>
                <w:rFonts w:eastAsiaTheme="minorEastAsia"/>
                <w:lang w:eastAsia="zh-CN"/>
              </w:rPr>
              <w:t>-5mm, 5-10mm, 10-15mm</w:t>
            </w:r>
          </w:p>
        </w:tc>
        <w:tc>
          <w:tcPr>
            <w:tcW w:w="1005" w:type="dxa"/>
          </w:tcPr>
          <w:p w14:paraId="7A32DEFA"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5</w:t>
            </w:r>
          </w:p>
        </w:tc>
        <w:tc>
          <w:tcPr>
            <w:tcW w:w="1188" w:type="dxa"/>
          </w:tcPr>
          <w:p w14:paraId="0CA11F46"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hint="eastAsia"/>
                <w:lang w:eastAsia="zh-CN"/>
              </w:rPr>
              <w:t>3</w:t>
            </w:r>
            <w:r>
              <w:rPr>
                <w:rFonts w:eastAsiaTheme="minorEastAsia" w:hint="eastAsia"/>
                <w:lang w:eastAsia="zh-CN"/>
              </w:rPr>
              <w:t>×</w:t>
            </w:r>
            <w:r>
              <w:rPr>
                <w:rFonts w:eastAsiaTheme="minorEastAsia" w:hint="eastAsia"/>
                <w:lang w:eastAsia="zh-CN"/>
              </w:rPr>
              <w:t>5</w:t>
            </w:r>
            <w:r>
              <w:rPr>
                <w:rFonts w:eastAsiaTheme="minorEastAsia"/>
                <w:lang w:eastAsia="zh-CN"/>
              </w:rPr>
              <w:t xml:space="preserve"> (</w:t>
            </w:r>
            <w:r>
              <w:rPr>
                <w:rFonts w:eastAsiaTheme="minorEastAsia" w:hint="eastAsia"/>
                <w:lang w:eastAsia="zh-CN"/>
              </w:rPr>
              <w:t>1</w:t>
            </w:r>
            <w:r>
              <w:rPr>
                <w:rFonts w:eastAsiaTheme="minorEastAsia"/>
                <w:lang w:eastAsia="zh-CN"/>
              </w:rPr>
              <w:t>95)</w:t>
            </w:r>
          </w:p>
        </w:tc>
        <w:tc>
          <w:tcPr>
            <w:tcW w:w="1009" w:type="dxa"/>
            <w:vMerge/>
          </w:tcPr>
          <w:p w14:paraId="1C397D0D"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p>
        </w:tc>
      </w:tr>
      <w:tr w:rsidR="00BE5908" w14:paraId="35279B68" w14:textId="77777777" w:rsidTr="00A8167A">
        <w:tc>
          <w:tcPr>
            <w:tcW w:w="1576" w:type="dxa"/>
            <w:vMerge/>
          </w:tcPr>
          <w:p w14:paraId="79294CB0"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p>
        </w:tc>
        <w:tc>
          <w:tcPr>
            <w:tcW w:w="1821" w:type="dxa"/>
          </w:tcPr>
          <w:p w14:paraId="406FF7DF"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sidRPr="00752E50">
              <w:rPr>
                <w:rFonts w:eastAsiaTheme="minorEastAsia" w:hint="eastAsia"/>
                <w:lang w:eastAsia="zh-CN"/>
              </w:rPr>
              <w:t>G</w:t>
            </w:r>
            <w:r w:rsidRPr="00752E50">
              <w:rPr>
                <w:rFonts w:eastAsiaTheme="minorEastAsia"/>
                <w:lang w:eastAsia="zh-CN"/>
              </w:rPr>
              <w:t>abor frequency, orientations</w:t>
            </w:r>
            <w:r>
              <w:rPr>
                <w:rFonts w:eastAsiaTheme="minorEastAsia"/>
                <w:lang w:eastAsia="zh-CN"/>
              </w:rPr>
              <w:t xml:space="preserve"> (48)</w:t>
            </w:r>
          </w:p>
        </w:tc>
        <w:tc>
          <w:tcPr>
            <w:tcW w:w="1697" w:type="dxa"/>
          </w:tcPr>
          <w:p w14:paraId="2284EA46"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r w:rsidRPr="00752E50">
              <w:rPr>
                <w:rFonts w:eastAsiaTheme="minorEastAsia" w:hint="eastAsia"/>
                <w:lang w:eastAsia="zh-CN"/>
              </w:rPr>
              <w:t>0</w:t>
            </w:r>
            <w:r w:rsidRPr="00752E50">
              <w:rPr>
                <w:rFonts w:eastAsiaTheme="minorEastAsia"/>
                <w:lang w:eastAsia="zh-CN"/>
              </w:rPr>
              <w:t>-5mm, 5-10mm, 10-15mm</w:t>
            </w:r>
          </w:p>
        </w:tc>
        <w:tc>
          <w:tcPr>
            <w:tcW w:w="1005" w:type="dxa"/>
          </w:tcPr>
          <w:p w14:paraId="601C451D"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5</w:t>
            </w:r>
          </w:p>
        </w:tc>
        <w:tc>
          <w:tcPr>
            <w:tcW w:w="1188" w:type="dxa"/>
          </w:tcPr>
          <w:p w14:paraId="37944087"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lang w:eastAsia="zh-CN"/>
              </w:rPr>
              <w:t>48</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5 (</w:t>
            </w:r>
            <w:r>
              <w:rPr>
                <w:rFonts w:eastAsiaTheme="minorEastAsia" w:hint="eastAsia"/>
                <w:lang w:eastAsia="zh-CN"/>
              </w:rPr>
              <w:t>7</w:t>
            </w:r>
            <w:r>
              <w:rPr>
                <w:rFonts w:eastAsiaTheme="minorEastAsia"/>
                <w:lang w:eastAsia="zh-CN"/>
              </w:rPr>
              <w:t>20)</w:t>
            </w:r>
          </w:p>
        </w:tc>
        <w:tc>
          <w:tcPr>
            <w:tcW w:w="1009" w:type="dxa"/>
            <w:vMerge/>
          </w:tcPr>
          <w:p w14:paraId="4D7C5076"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p>
        </w:tc>
      </w:tr>
      <w:tr w:rsidR="00BE5908" w14:paraId="5403E07C" w14:textId="77777777" w:rsidTr="00A8167A">
        <w:tc>
          <w:tcPr>
            <w:tcW w:w="1576" w:type="dxa"/>
            <w:vMerge/>
          </w:tcPr>
          <w:p w14:paraId="4B81A4C5"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p>
        </w:tc>
        <w:tc>
          <w:tcPr>
            <w:tcW w:w="1821" w:type="dxa"/>
          </w:tcPr>
          <w:p w14:paraId="479AF80D"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r w:rsidRPr="00752E50">
              <w:rPr>
                <w:rFonts w:asciiTheme="majorBidi" w:hAnsiTheme="majorBidi" w:cstheme="majorBidi"/>
              </w:rPr>
              <w:t>Laws’ texture energy</w:t>
            </w:r>
            <w:r>
              <w:rPr>
                <w:rFonts w:asciiTheme="majorBidi" w:hAnsiTheme="majorBidi" w:cstheme="majorBidi"/>
              </w:rPr>
              <w:t xml:space="preserve"> (25)</w:t>
            </w:r>
          </w:p>
        </w:tc>
        <w:tc>
          <w:tcPr>
            <w:tcW w:w="1697" w:type="dxa"/>
          </w:tcPr>
          <w:p w14:paraId="1F2AE670" w14:textId="77777777" w:rsidR="00BE5908" w:rsidRPr="00752E50"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r w:rsidRPr="00752E50">
              <w:rPr>
                <w:rFonts w:eastAsiaTheme="minorEastAsia" w:hint="eastAsia"/>
                <w:lang w:eastAsia="zh-CN"/>
              </w:rPr>
              <w:t>0</w:t>
            </w:r>
            <w:r w:rsidRPr="00752E50">
              <w:rPr>
                <w:rFonts w:eastAsiaTheme="minorEastAsia"/>
                <w:lang w:eastAsia="zh-CN"/>
              </w:rPr>
              <w:t>-5mm, 5-10mm, 10-15mm</w:t>
            </w:r>
          </w:p>
        </w:tc>
        <w:tc>
          <w:tcPr>
            <w:tcW w:w="1005" w:type="dxa"/>
          </w:tcPr>
          <w:p w14:paraId="4BD716C0"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hint="eastAsia"/>
                <w:lang w:eastAsia="zh-CN"/>
              </w:rPr>
              <w:t>5</w:t>
            </w:r>
          </w:p>
        </w:tc>
        <w:tc>
          <w:tcPr>
            <w:tcW w:w="1188" w:type="dxa"/>
          </w:tcPr>
          <w:p w14:paraId="1590A935"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lang w:eastAsia="zh-CN"/>
              </w:rPr>
            </w:pPr>
            <w:r>
              <w:rPr>
                <w:rFonts w:eastAsiaTheme="minorEastAsia"/>
                <w:lang w:eastAsia="zh-CN"/>
              </w:rPr>
              <w:t>25</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5 (</w:t>
            </w:r>
            <w:r>
              <w:rPr>
                <w:rFonts w:eastAsiaTheme="minorEastAsia" w:hint="eastAsia"/>
                <w:lang w:eastAsia="zh-CN"/>
              </w:rPr>
              <w:t>3</w:t>
            </w:r>
            <w:r>
              <w:rPr>
                <w:rFonts w:eastAsiaTheme="minorEastAsia"/>
                <w:lang w:eastAsia="zh-CN"/>
              </w:rPr>
              <w:t>75)</w:t>
            </w:r>
          </w:p>
        </w:tc>
        <w:tc>
          <w:tcPr>
            <w:tcW w:w="1009" w:type="dxa"/>
            <w:vMerge/>
          </w:tcPr>
          <w:p w14:paraId="69B8077B" w14:textId="77777777" w:rsidR="00BE5908" w:rsidRDefault="00BE5908" w:rsidP="00A8167A">
            <w:pPr>
              <w:pStyle w:val="MDPI21heading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eastAsiaTheme="minorEastAsia"/>
              </w:rPr>
            </w:pPr>
          </w:p>
        </w:tc>
      </w:tr>
    </w:tbl>
    <w:p w14:paraId="0CCE3A8E" w14:textId="77777777" w:rsidR="00BE5908" w:rsidRDefault="00BE5908" w:rsidP="009844C0">
      <w:pPr>
        <w:rPr>
          <w:u w:color="000000"/>
        </w:rPr>
      </w:pPr>
    </w:p>
    <w:p w14:paraId="2747CE16" w14:textId="51D2D2F0" w:rsidR="00271FD1" w:rsidRDefault="00271FD1">
      <w:pPr>
        <w:pBdr>
          <w:top w:val="none" w:sz="0" w:space="0" w:color="auto"/>
          <w:left w:val="none" w:sz="0" w:space="0" w:color="auto"/>
          <w:bottom w:val="none" w:sz="0" w:space="0" w:color="auto"/>
          <w:right w:val="none" w:sz="0" w:space="0" w:color="auto"/>
          <w:between w:val="none" w:sz="0" w:space="0" w:color="auto"/>
          <w:bar w:val="none" w:sz="0" w:color="auto"/>
        </w:pBdr>
        <w:rPr>
          <w:u w:color="000000"/>
        </w:rPr>
      </w:pPr>
    </w:p>
    <w:p w14:paraId="31EE8CA4" w14:textId="3B027C92" w:rsidR="00B358CC" w:rsidRDefault="00B358CC" w:rsidP="0074343B">
      <w:pPr>
        <w:jc w:val="center"/>
        <w:rPr>
          <w:u w:color="000000"/>
        </w:rPr>
      </w:pPr>
      <w:r>
        <w:rPr>
          <w:noProof/>
          <w:u w:color="000000"/>
          <w:lang w:eastAsia="zh-CN"/>
        </w:rPr>
        <w:drawing>
          <wp:inline distT="0" distB="0" distL="0" distR="0" wp14:anchorId="17CBAB6C" wp14:editId="7D8A3AE6">
            <wp:extent cx="5274310" cy="45669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4566920"/>
                    </a:xfrm>
                    <a:prstGeom prst="rect">
                      <a:avLst/>
                    </a:prstGeom>
                  </pic:spPr>
                </pic:pic>
              </a:graphicData>
            </a:graphic>
          </wp:inline>
        </w:drawing>
      </w:r>
    </w:p>
    <w:p w14:paraId="6971BFFC" w14:textId="09A5C625" w:rsidR="00B358CC" w:rsidRDefault="00B358CC" w:rsidP="0074343B">
      <w:pPr>
        <w:spacing w:line="480" w:lineRule="auto"/>
        <w:jc w:val="both"/>
      </w:pPr>
      <w:r w:rsidRPr="009844C0">
        <w:rPr>
          <w:b/>
          <w:bCs/>
          <w:u w:color="000000"/>
        </w:rPr>
        <w:t>Figure S</w:t>
      </w:r>
      <w:r>
        <w:rPr>
          <w:b/>
          <w:bCs/>
          <w:u w:color="000000"/>
        </w:rPr>
        <w:t>1</w:t>
      </w:r>
      <w:r w:rsidRPr="00333004">
        <w:rPr>
          <w:u w:color="000000"/>
        </w:rPr>
        <w:t>:</w:t>
      </w:r>
      <w:r>
        <w:rPr>
          <w:u w:color="000000"/>
        </w:rPr>
        <w:t xml:space="preserve"> </w:t>
      </w:r>
      <w:r w:rsidRPr="005152E6">
        <w:t xml:space="preserve">Diagram of the overall </w:t>
      </w:r>
      <w:r w:rsidR="005152E6">
        <w:t>data enrollment, allocation and analysis flowchart.</w:t>
      </w:r>
    </w:p>
    <w:p w14:paraId="37AF24AD" w14:textId="66973DE2" w:rsidR="005152E6" w:rsidRDefault="005152E6"/>
    <w:p w14:paraId="532DFCF7" w14:textId="1DE9F0EB" w:rsidR="0074343B" w:rsidRDefault="0074343B">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788F02A6" w14:textId="3C8D35F4" w:rsidR="005F4FD2" w:rsidRDefault="005152E6" w:rsidP="0074343B">
      <w:pPr>
        <w:jc w:val="center"/>
        <w:rPr>
          <w:u w:color="000000"/>
        </w:rPr>
      </w:pPr>
      <w:r>
        <w:rPr>
          <w:noProof/>
          <w:u w:color="000000"/>
          <w:lang w:eastAsia="zh-CN"/>
        </w:rPr>
        <w:lastRenderedPageBreak/>
        <w:drawing>
          <wp:inline distT="0" distB="0" distL="0" distR="0" wp14:anchorId="105B9A06" wp14:editId="25309D7E">
            <wp:extent cx="4456253" cy="3341921"/>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4476759" cy="3357300"/>
                    </a:xfrm>
                    <a:prstGeom prst="rect">
                      <a:avLst/>
                    </a:prstGeom>
                  </pic:spPr>
                </pic:pic>
              </a:graphicData>
            </a:graphic>
          </wp:inline>
        </w:drawing>
      </w:r>
    </w:p>
    <w:p w14:paraId="64EF2D04" w14:textId="635A09E3" w:rsidR="00C930F5" w:rsidRDefault="00780B68" w:rsidP="0074343B">
      <w:pPr>
        <w:spacing w:line="480" w:lineRule="auto"/>
        <w:jc w:val="both"/>
        <w:rPr>
          <w:u w:color="000000"/>
        </w:rPr>
      </w:pPr>
      <w:r w:rsidRPr="009844C0">
        <w:rPr>
          <w:b/>
          <w:bCs/>
          <w:u w:color="000000"/>
        </w:rPr>
        <w:t>Figure S</w:t>
      </w:r>
      <w:r w:rsidR="00B358CC">
        <w:rPr>
          <w:b/>
          <w:bCs/>
          <w:u w:color="000000"/>
        </w:rPr>
        <w:t>2</w:t>
      </w:r>
      <w:r w:rsidRPr="00333004">
        <w:rPr>
          <w:u w:color="000000"/>
        </w:rPr>
        <w:t xml:space="preserve">: </w:t>
      </w:r>
      <w:r>
        <w:rPr>
          <w:u w:color="000000"/>
        </w:rPr>
        <w:t>Classification metrics changing by different numbers of features selected in training set. The accuracy, specificity and AUC were the highest when top 15 features were selected for the model.</w:t>
      </w:r>
    </w:p>
    <w:p w14:paraId="103A2F25" w14:textId="232F6494" w:rsidR="00A02FF2" w:rsidRDefault="00A02FF2" w:rsidP="00780B68">
      <w:pPr>
        <w:rPr>
          <w:u w:color="000000"/>
        </w:rPr>
      </w:pPr>
    </w:p>
    <w:p w14:paraId="6C3235D7" w14:textId="5D485C29" w:rsidR="00A02FF2" w:rsidRDefault="00A02FF2" w:rsidP="00780B68">
      <w:pPr>
        <w:rPr>
          <w:u w:color="000000"/>
        </w:rPr>
      </w:pPr>
    </w:p>
    <w:p w14:paraId="3C046FD4" w14:textId="1142F72D" w:rsidR="00A02FF2" w:rsidRDefault="00A02FF2" w:rsidP="00780B68">
      <w:pPr>
        <w:rPr>
          <w:u w:color="000000"/>
        </w:rPr>
      </w:pPr>
    </w:p>
    <w:p w14:paraId="5111470C" w14:textId="1EDF7F10" w:rsidR="00A02FF2" w:rsidRDefault="00A02FF2" w:rsidP="00780B68">
      <w:pPr>
        <w:rPr>
          <w:u w:color="000000"/>
        </w:rPr>
      </w:pPr>
    </w:p>
    <w:p w14:paraId="7F1A4B45" w14:textId="77777777" w:rsidR="00A02FF2" w:rsidRDefault="00A02FF2" w:rsidP="00780B68">
      <w:pPr>
        <w:rPr>
          <w:u w:color="000000"/>
        </w:rPr>
      </w:pPr>
    </w:p>
    <w:p w14:paraId="13929029" w14:textId="5C7D2D98" w:rsidR="003D08F6" w:rsidRDefault="00C930F5" w:rsidP="00780B68">
      <w:pPr>
        <w:rPr>
          <w:u w:color="000000"/>
        </w:rPr>
      </w:pPr>
      <w:r>
        <w:rPr>
          <w:noProof/>
          <w:u w:color="000000"/>
          <w:lang w:eastAsia="zh-CN"/>
        </w:rPr>
        <w:lastRenderedPageBreak/>
        <w:drawing>
          <wp:inline distT="0" distB="0" distL="0" distR="0" wp14:anchorId="494B0F56" wp14:editId="7F9CFD1F">
            <wp:extent cx="6541106" cy="381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07120" cy="3848451"/>
                    </a:xfrm>
                    <a:prstGeom prst="rect">
                      <a:avLst/>
                    </a:prstGeom>
                  </pic:spPr>
                </pic:pic>
              </a:graphicData>
            </a:graphic>
          </wp:inline>
        </w:drawing>
      </w:r>
    </w:p>
    <w:p w14:paraId="19A3350A" w14:textId="14507A23" w:rsidR="00780B68" w:rsidRDefault="00C930F5" w:rsidP="0074343B">
      <w:pPr>
        <w:spacing w:line="480" w:lineRule="auto"/>
        <w:jc w:val="both"/>
        <w:rPr>
          <w:u w:color="000000"/>
        </w:rPr>
      </w:pPr>
      <w:r w:rsidRPr="009844C0">
        <w:rPr>
          <w:b/>
          <w:bCs/>
          <w:u w:color="000000"/>
        </w:rPr>
        <w:t>Figure S</w:t>
      </w:r>
      <w:r w:rsidR="005152E6">
        <w:rPr>
          <w:b/>
          <w:bCs/>
          <w:u w:color="000000"/>
        </w:rPr>
        <w:t>3</w:t>
      </w:r>
      <w:r w:rsidRPr="00333004">
        <w:rPr>
          <w:u w:color="000000"/>
        </w:rPr>
        <w:t>:</w:t>
      </w:r>
      <w:r>
        <w:rPr>
          <w:u w:color="000000"/>
        </w:rPr>
        <w:t xml:space="preserve"> Box</w:t>
      </w:r>
      <w:r w:rsidR="00283165">
        <w:rPr>
          <w:u w:color="000000"/>
        </w:rPr>
        <w:t xml:space="preserve"> </w:t>
      </w:r>
      <w:r>
        <w:rPr>
          <w:u w:color="000000"/>
        </w:rPr>
        <w:t xml:space="preserve">plots for the remaining selected features other than the best </w:t>
      </w:r>
      <w:proofErr w:type="spellStart"/>
      <w:r w:rsidR="008124B9">
        <w:rPr>
          <w:u w:color="000000"/>
        </w:rPr>
        <w:t>intratumoral</w:t>
      </w:r>
      <w:proofErr w:type="spellEnd"/>
      <w:r w:rsidR="008124B9">
        <w:rPr>
          <w:u w:color="000000"/>
        </w:rPr>
        <w:t xml:space="preserve"> </w:t>
      </w:r>
      <w:r>
        <w:rPr>
          <w:u w:color="000000"/>
        </w:rPr>
        <w:t xml:space="preserve">and </w:t>
      </w:r>
      <w:r w:rsidR="008124B9">
        <w:rPr>
          <w:u w:color="000000"/>
        </w:rPr>
        <w:t>peritumoral</w:t>
      </w:r>
      <w:r>
        <w:rPr>
          <w:u w:color="000000"/>
        </w:rPr>
        <w:t xml:space="preserve"> feature provided in the main text.</w:t>
      </w:r>
    </w:p>
    <w:p w14:paraId="6F322A61" w14:textId="7290CE96" w:rsidR="00C930F5" w:rsidRDefault="00C930F5" w:rsidP="00780B68">
      <w:pPr>
        <w:rPr>
          <w:u w:color="000000"/>
        </w:rPr>
      </w:pPr>
    </w:p>
    <w:p w14:paraId="38523A5E" w14:textId="767D28E2" w:rsidR="0074343B" w:rsidRDefault="0074343B">
      <w:pPr>
        <w:pBdr>
          <w:top w:val="none" w:sz="0" w:space="0" w:color="auto"/>
          <w:left w:val="none" w:sz="0" w:space="0" w:color="auto"/>
          <w:bottom w:val="none" w:sz="0" w:space="0" w:color="auto"/>
          <w:right w:val="none" w:sz="0" w:space="0" w:color="auto"/>
          <w:between w:val="none" w:sz="0" w:space="0" w:color="auto"/>
          <w:bar w:val="none" w:sz="0" w:color="auto"/>
        </w:pBdr>
        <w:rPr>
          <w:u w:color="000000"/>
        </w:rPr>
      </w:pPr>
      <w:r>
        <w:rPr>
          <w:u w:color="000000"/>
        </w:rPr>
        <w:br w:type="page"/>
      </w:r>
    </w:p>
    <w:p w14:paraId="2BFE811E" w14:textId="69FD1C27" w:rsidR="00D8187B" w:rsidRDefault="00F12A6C" w:rsidP="007F51F7">
      <w:pPr>
        <w:jc w:val="center"/>
        <w:rPr>
          <w:u w:color="000000"/>
        </w:rPr>
      </w:pPr>
      <w:r>
        <w:rPr>
          <w:noProof/>
          <w:u w:color="000000"/>
          <w:lang w:eastAsia="zh-CN"/>
        </w:rPr>
        <w:lastRenderedPageBreak/>
        <w:drawing>
          <wp:inline distT="0" distB="0" distL="0" distR="0" wp14:anchorId="2E2DF250" wp14:editId="575C805F">
            <wp:extent cx="3734100" cy="2800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3745463" cy="2808872"/>
                    </a:xfrm>
                    <a:prstGeom prst="rect">
                      <a:avLst/>
                    </a:prstGeom>
                  </pic:spPr>
                </pic:pic>
              </a:graphicData>
            </a:graphic>
          </wp:inline>
        </w:drawing>
      </w:r>
    </w:p>
    <w:p w14:paraId="63E30F3C" w14:textId="0D849F2A" w:rsidR="00553322" w:rsidRDefault="00D6398E" w:rsidP="007F51F7">
      <w:pPr>
        <w:jc w:val="center"/>
        <w:rPr>
          <w:u w:color="000000"/>
        </w:rPr>
      </w:pPr>
      <w:r>
        <w:rPr>
          <w:noProof/>
          <w:u w:color="000000"/>
          <w:lang w:eastAsia="zh-CN"/>
        </w:rPr>
        <w:drawing>
          <wp:inline distT="0" distB="0" distL="0" distR="0" wp14:anchorId="33DAC2EF" wp14:editId="7947B5BE">
            <wp:extent cx="3695700" cy="27715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3711286" cy="2783242"/>
                    </a:xfrm>
                    <a:prstGeom prst="rect">
                      <a:avLst/>
                    </a:prstGeom>
                  </pic:spPr>
                </pic:pic>
              </a:graphicData>
            </a:graphic>
          </wp:inline>
        </w:drawing>
      </w:r>
    </w:p>
    <w:p w14:paraId="25516A43" w14:textId="48F6B11D" w:rsidR="00C930F5" w:rsidRDefault="00780B68" w:rsidP="0074343B">
      <w:pPr>
        <w:spacing w:line="480" w:lineRule="auto"/>
        <w:jc w:val="both"/>
        <w:rPr>
          <w:u w:color="000000"/>
        </w:rPr>
      </w:pPr>
      <w:r w:rsidRPr="009844C0">
        <w:rPr>
          <w:b/>
          <w:bCs/>
          <w:u w:color="000000"/>
        </w:rPr>
        <w:t>Figure S</w:t>
      </w:r>
      <w:r w:rsidR="001D15CB">
        <w:rPr>
          <w:b/>
          <w:bCs/>
          <w:u w:color="000000"/>
        </w:rPr>
        <w:t>4</w:t>
      </w:r>
      <w:r w:rsidRPr="00333004">
        <w:rPr>
          <w:u w:color="000000"/>
        </w:rPr>
        <w:t xml:space="preserve">: </w:t>
      </w:r>
      <w:r>
        <w:rPr>
          <w:u w:color="000000"/>
        </w:rPr>
        <w:t xml:space="preserve">Hazard ratio with 95% confidence interval changing by different number of features selected in the Cox model for HPV+ </w:t>
      </w:r>
      <w:r w:rsidR="00553322">
        <w:rPr>
          <w:u w:color="000000"/>
        </w:rPr>
        <w:t xml:space="preserve">patients </w:t>
      </w:r>
      <w:r>
        <w:rPr>
          <w:u w:color="000000"/>
        </w:rPr>
        <w:t>(top).</w:t>
      </w:r>
      <w:r w:rsidR="009844C0">
        <w:rPr>
          <w:u w:color="000000"/>
        </w:rPr>
        <w:t xml:space="preserve"> </w:t>
      </w:r>
      <w:r w:rsidR="00553322" w:rsidRPr="00553322">
        <w:rPr>
          <w:u w:color="000000"/>
        </w:rPr>
        <w:t>Elastic net regularization process with partial likelihood deviance plot</w:t>
      </w:r>
      <w:r w:rsidR="00553322">
        <w:rPr>
          <w:u w:color="000000"/>
        </w:rPr>
        <w:t xml:space="preserve"> (bottom).</w:t>
      </w:r>
    </w:p>
    <w:p w14:paraId="0216A7DB" w14:textId="77777777" w:rsidR="009844C0" w:rsidRDefault="009844C0">
      <w:pPr>
        <w:rPr>
          <w:u w:color="000000"/>
        </w:rPr>
      </w:pPr>
    </w:p>
    <w:p w14:paraId="2A3E1C4D" w14:textId="5A0DD995" w:rsidR="0074343B" w:rsidRDefault="0074343B">
      <w:pPr>
        <w:pBdr>
          <w:top w:val="none" w:sz="0" w:space="0" w:color="auto"/>
          <w:left w:val="none" w:sz="0" w:space="0" w:color="auto"/>
          <w:bottom w:val="none" w:sz="0" w:space="0" w:color="auto"/>
          <w:right w:val="none" w:sz="0" w:space="0" w:color="auto"/>
          <w:between w:val="none" w:sz="0" w:space="0" w:color="auto"/>
          <w:bar w:val="none" w:sz="0" w:color="auto"/>
        </w:pBdr>
        <w:rPr>
          <w:u w:color="000000"/>
        </w:rPr>
      </w:pPr>
      <w:r>
        <w:rPr>
          <w:u w:color="000000"/>
        </w:rPr>
        <w:br w:type="page"/>
      </w:r>
    </w:p>
    <w:p w14:paraId="6E8EC76F" w14:textId="24A020CB" w:rsidR="00AF0B24" w:rsidRDefault="00410964" w:rsidP="0074343B">
      <w:pPr>
        <w:jc w:val="center"/>
        <w:rPr>
          <w:u w:color="000000"/>
        </w:rPr>
      </w:pPr>
      <w:r>
        <w:rPr>
          <w:noProof/>
          <w:u w:color="000000"/>
          <w:lang w:eastAsia="zh-CN"/>
        </w:rPr>
        <w:lastRenderedPageBreak/>
        <w:drawing>
          <wp:inline distT="0" distB="0" distL="0" distR="0" wp14:anchorId="7996A54E" wp14:editId="720A2563">
            <wp:extent cx="5274310" cy="5885815"/>
            <wp:effectExtent l="0" t="0" r="254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5885815"/>
                    </a:xfrm>
                    <a:prstGeom prst="rect">
                      <a:avLst/>
                    </a:prstGeom>
                  </pic:spPr>
                </pic:pic>
              </a:graphicData>
            </a:graphic>
          </wp:inline>
        </w:drawing>
      </w:r>
    </w:p>
    <w:p w14:paraId="3C75DF91" w14:textId="74F0F0E4" w:rsidR="00410964" w:rsidRPr="00D7562B" w:rsidRDefault="00410964" w:rsidP="0074343B">
      <w:pPr>
        <w:spacing w:line="480" w:lineRule="auto"/>
        <w:jc w:val="both"/>
        <w:rPr>
          <w:u w:color="000000"/>
          <w:lang w:eastAsia="zh-CN"/>
        </w:rPr>
      </w:pPr>
      <w:r w:rsidRPr="00D7562B">
        <w:rPr>
          <w:rFonts w:hint="eastAsia"/>
          <w:b/>
          <w:bCs/>
          <w:u w:color="000000"/>
          <w:lang w:eastAsia="zh-CN"/>
        </w:rPr>
        <w:t>F</w:t>
      </w:r>
      <w:r w:rsidRPr="00D7562B">
        <w:rPr>
          <w:b/>
          <w:bCs/>
          <w:u w:color="000000"/>
          <w:lang w:eastAsia="zh-CN"/>
        </w:rPr>
        <w:t>igure S</w:t>
      </w:r>
      <w:r w:rsidR="001D15CB">
        <w:rPr>
          <w:b/>
          <w:bCs/>
          <w:u w:color="000000"/>
          <w:lang w:eastAsia="zh-CN"/>
        </w:rPr>
        <w:t>5</w:t>
      </w:r>
      <w:r w:rsidRPr="00D7562B">
        <w:rPr>
          <w:u w:color="000000"/>
          <w:lang w:eastAsia="zh-CN"/>
        </w:rPr>
        <w:t>. RRS</w:t>
      </w:r>
      <w:r>
        <w:rPr>
          <w:u w:color="000000"/>
          <w:vertAlign w:val="subscript"/>
          <w:lang w:eastAsia="zh-CN"/>
        </w:rPr>
        <w:t>HPV</w:t>
      </w:r>
      <w:r>
        <w:rPr>
          <w:rFonts w:hint="eastAsia"/>
          <w:u w:color="000000"/>
          <w:vertAlign w:val="subscript"/>
          <w:lang w:eastAsia="zh-CN"/>
        </w:rPr>
        <w:t>+</w:t>
      </w:r>
      <w:r w:rsidRPr="00D7562B">
        <w:rPr>
          <w:u w:color="000000"/>
          <w:lang w:eastAsia="zh-CN"/>
        </w:rPr>
        <w:t xml:space="preserve"> for each patient in </w:t>
      </w:r>
      <w:r>
        <w:rPr>
          <w:u w:color="000000"/>
          <w:lang w:eastAsia="zh-CN"/>
        </w:rPr>
        <w:t xml:space="preserve">TCIA </w:t>
      </w:r>
      <w:r w:rsidRPr="00D7562B">
        <w:rPr>
          <w:u w:color="000000"/>
          <w:lang w:eastAsia="zh-CN"/>
        </w:rPr>
        <w:t>training (A)</w:t>
      </w:r>
      <w:r>
        <w:rPr>
          <w:u w:color="000000"/>
          <w:lang w:eastAsia="zh-CN"/>
        </w:rPr>
        <w:t xml:space="preserve">, TCIA internal </w:t>
      </w:r>
      <w:r w:rsidRPr="00D7562B">
        <w:rPr>
          <w:u w:color="000000"/>
          <w:lang w:eastAsia="zh-CN"/>
        </w:rPr>
        <w:t>validation set (</w:t>
      </w:r>
      <w:r>
        <w:rPr>
          <w:u w:color="000000"/>
          <w:lang w:eastAsia="zh-CN"/>
        </w:rPr>
        <w:t>B</w:t>
      </w:r>
      <w:r w:rsidRPr="00D7562B">
        <w:rPr>
          <w:u w:color="000000"/>
          <w:lang w:eastAsia="zh-CN"/>
        </w:rPr>
        <w:t>)</w:t>
      </w:r>
      <w:r>
        <w:rPr>
          <w:u w:color="000000"/>
          <w:lang w:eastAsia="zh-CN"/>
        </w:rPr>
        <w:t xml:space="preserve"> and CCF external validation set (C)</w:t>
      </w:r>
      <w:r w:rsidRPr="00D7562B">
        <w:rPr>
          <w:u w:color="000000"/>
          <w:lang w:eastAsia="zh-CN"/>
        </w:rPr>
        <w:t>. RRS</w:t>
      </w:r>
      <w:r>
        <w:rPr>
          <w:u w:color="000000"/>
          <w:vertAlign w:val="subscript"/>
          <w:lang w:eastAsia="zh-CN"/>
        </w:rPr>
        <w:t>HPV-</w:t>
      </w:r>
      <w:r w:rsidRPr="00D7562B">
        <w:rPr>
          <w:u w:color="000000"/>
          <w:lang w:eastAsia="zh-CN"/>
        </w:rPr>
        <w:t xml:space="preserve"> for each patient in training (</w:t>
      </w:r>
      <w:r>
        <w:rPr>
          <w:u w:color="000000"/>
          <w:lang w:eastAsia="zh-CN"/>
        </w:rPr>
        <w:t>D</w:t>
      </w:r>
      <w:r w:rsidRPr="00D7562B">
        <w:rPr>
          <w:u w:color="000000"/>
          <w:lang w:eastAsia="zh-CN"/>
        </w:rPr>
        <w:t>) and validation set (</w:t>
      </w:r>
      <w:r>
        <w:rPr>
          <w:u w:color="000000"/>
          <w:lang w:eastAsia="zh-CN"/>
        </w:rPr>
        <w:t>E</w:t>
      </w:r>
      <w:r w:rsidRPr="00D7562B">
        <w:rPr>
          <w:u w:color="000000"/>
          <w:lang w:eastAsia="zh-CN"/>
        </w:rPr>
        <w:t>). Blue bars indicate censored patients (survived without disease recurrence) and orange bars indicate those patients who had the recurrence or died. Recurrence rate for HPV- patients is higher than that of HPV+ patients. RRS</w:t>
      </w:r>
      <w:r>
        <w:rPr>
          <w:u w:color="000000"/>
          <w:vertAlign w:val="subscript"/>
          <w:lang w:eastAsia="zh-CN"/>
        </w:rPr>
        <w:t>HPV-</w:t>
      </w:r>
      <w:r w:rsidRPr="00D7562B">
        <w:rPr>
          <w:u w:color="000000"/>
          <w:lang w:eastAsia="zh-CN"/>
        </w:rPr>
        <w:t>was able to classify most of the patients who had the recurrence or died into high-risk.</w:t>
      </w:r>
    </w:p>
    <w:p w14:paraId="2E16D1A8" w14:textId="5980E5D2" w:rsidR="0074343B" w:rsidRDefault="0074343B">
      <w:pPr>
        <w:pBdr>
          <w:top w:val="none" w:sz="0" w:space="0" w:color="auto"/>
          <w:left w:val="none" w:sz="0" w:space="0" w:color="auto"/>
          <w:bottom w:val="none" w:sz="0" w:space="0" w:color="auto"/>
          <w:right w:val="none" w:sz="0" w:space="0" w:color="auto"/>
          <w:between w:val="none" w:sz="0" w:space="0" w:color="auto"/>
          <w:bar w:val="none" w:sz="0" w:color="auto"/>
        </w:pBdr>
        <w:rPr>
          <w:u w:color="000000"/>
        </w:rPr>
      </w:pPr>
      <w:r>
        <w:rPr>
          <w:u w:color="000000"/>
        </w:rPr>
        <w:br w:type="page"/>
      </w:r>
    </w:p>
    <w:p w14:paraId="73DCB6AA" w14:textId="47563290" w:rsidR="00B95DCF" w:rsidRDefault="00B95DCF" w:rsidP="0074343B">
      <w:pPr>
        <w:jc w:val="center"/>
        <w:rPr>
          <w:u w:color="000000"/>
        </w:rPr>
      </w:pPr>
      <w:r>
        <w:rPr>
          <w:noProof/>
          <w:u w:color="000000"/>
          <w:lang w:eastAsia="zh-CN"/>
        </w:rPr>
        <w:lastRenderedPageBreak/>
        <w:drawing>
          <wp:inline distT="0" distB="0" distL="0" distR="0" wp14:anchorId="4745D58F" wp14:editId="65F37180">
            <wp:extent cx="3835400" cy="287631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3839134" cy="2879119"/>
                    </a:xfrm>
                    <a:prstGeom prst="rect">
                      <a:avLst/>
                    </a:prstGeom>
                  </pic:spPr>
                </pic:pic>
              </a:graphicData>
            </a:graphic>
          </wp:inline>
        </w:drawing>
      </w:r>
    </w:p>
    <w:p w14:paraId="50DE89D7" w14:textId="006189FC" w:rsidR="00B95DCF" w:rsidRDefault="00B95DCF" w:rsidP="0074343B">
      <w:pPr>
        <w:jc w:val="center"/>
        <w:rPr>
          <w:u w:color="000000"/>
        </w:rPr>
      </w:pPr>
      <w:r>
        <w:rPr>
          <w:noProof/>
          <w:u w:color="000000"/>
          <w:lang w:eastAsia="zh-CN"/>
        </w:rPr>
        <w:drawing>
          <wp:inline distT="0" distB="0" distL="0" distR="0" wp14:anchorId="38F7368E" wp14:editId="7E480E4B">
            <wp:extent cx="3827241" cy="2870200"/>
            <wp:effectExtent l="0" t="0" r="190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3841649" cy="2881005"/>
                    </a:xfrm>
                    <a:prstGeom prst="rect">
                      <a:avLst/>
                    </a:prstGeom>
                  </pic:spPr>
                </pic:pic>
              </a:graphicData>
            </a:graphic>
          </wp:inline>
        </w:drawing>
      </w:r>
    </w:p>
    <w:p w14:paraId="457951ED" w14:textId="3E2E50CF" w:rsidR="002464BB" w:rsidRDefault="002464BB" w:rsidP="0074343B">
      <w:pPr>
        <w:spacing w:line="480" w:lineRule="auto"/>
        <w:jc w:val="both"/>
        <w:rPr>
          <w:u w:color="000000"/>
          <w:lang w:eastAsia="zh-CN"/>
        </w:rPr>
      </w:pPr>
      <w:r w:rsidRPr="009844C0">
        <w:rPr>
          <w:rFonts w:hint="eastAsia"/>
          <w:b/>
          <w:bCs/>
          <w:u w:color="000000"/>
          <w:lang w:eastAsia="zh-CN"/>
        </w:rPr>
        <w:t>F</w:t>
      </w:r>
      <w:r w:rsidRPr="009844C0">
        <w:rPr>
          <w:b/>
          <w:bCs/>
          <w:u w:color="000000"/>
          <w:lang w:eastAsia="zh-CN"/>
        </w:rPr>
        <w:t>igure S</w:t>
      </w:r>
      <w:r w:rsidR="001D15CB">
        <w:rPr>
          <w:b/>
          <w:bCs/>
          <w:u w:color="000000"/>
          <w:lang w:eastAsia="zh-CN"/>
        </w:rPr>
        <w:t>6</w:t>
      </w:r>
      <w:r w:rsidR="00410964">
        <w:rPr>
          <w:u w:color="000000"/>
          <w:lang w:eastAsia="zh-CN"/>
        </w:rPr>
        <w:t>.</w:t>
      </w:r>
      <w:r>
        <w:rPr>
          <w:u w:color="000000"/>
          <w:lang w:eastAsia="zh-CN"/>
        </w:rPr>
        <w:t xml:space="preserve"> Cox model coefficients for HPV+ (top) and HPV- (bottom) patients. Orange bars represent coefficients for </w:t>
      </w:r>
      <w:r w:rsidR="00B95DCF">
        <w:rPr>
          <w:u w:color="000000"/>
          <w:lang w:eastAsia="zh-CN"/>
        </w:rPr>
        <w:t>peri</w:t>
      </w:r>
      <w:r>
        <w:rPr>
          <w:u w:color="000000"/>
          <w:lang w:eastAsia="zh-CN"/>
        </w:rPr>
        <w:t xml:space="preserve">tumoral features while blue represent </w:t>
      </w:r>
      <w:proofErr w:type="spellStart"/>
      <w:r w:rsidR="00B95DCF">
        <w:rPr>
          <w:rFonts w:hint="eastAsia"/>
          <w:u w:color="000000"/>
          <w:lang w:eastAsia="zh-CN"/>
        </w:rPr>
        <w:t>intra</w:t>
      </w:r>
      <w:r>
        <w:rPr>
          <w:u w:color="000000"/>
          <w:lang w:eastAsia="zh-CN"/>
        </w:rPr>
        <w:t>tumoral</w:t>
      </w:r>
      <w:proofErr w:type="spellEnd"/>
      <w:r>
        <w:rPr>
          <w:u w:color="000000"/>
          <w:lang w:eastAsia="zh-CN"/>
        </w:rPr>
        <w:t xml:space="preserve"> features.</w:t>
      </w:r>
    </w:p>
    <w:p w14:paraId="462A407C" w14:textId="3B61E799" w:rsidR="009911C7" w:rsidRDefault="009911C7">
      <w:pPr>
        <w:rPr>
          <w:u w:color="000000"/>
          <w:lang w:eastAsia="zh-CN"/>
        </w:rPr>
      </w:pPr>
    </w:p>
    <w:p w14:paraId="5A3614CF" w14:textId="38571CBD" w:rsidR="000934AE" w:rsidRDefault="00A02FF2">
      <w:pPr>
        <w:rPr>
          <w:b/>
          <w:bCs/>
          <w:u w:color="000000"/>
          <w:lang w:eastAsia="zh-CN"/>
        </w:rPr>
      </w:pPr>
      <w:r>
        <w:rPr>
          <w:u w:color="000000"/>
          <w:lang w:eastAsia="zh-CN"/>
        </w:rPr>
        <w:br w:type="page"/>
      </w:r>
      <w:r w:rsidR="000934AE" w:rsidRPr="009844C0">
        <w:rPr>
          <w:rFonts w:hint="cs"/>
          <w:b/>
          <w:bCs/>
          <w:u w:color="000000"/>
          <w:lang w:eastAsia="zh-CN"/>
        </w:rPr>
        <w:lastRenderedPageBreak/>
        <w:t>A</w:t>
      </w:r>
      <w:r w:rsidR="000934AE" w:rsidRPr="009844C0">
        <w:rPr>
          <w:b/>
          <w:bCs/>
          <w:u w:color="000000"/>
          <w:lang w:eastAsia="zh-CN"/>
        </w:rPr>
        <w:t>ppendix E1</w:t>
      </w:r>
    </w:p>
    <w:p w14:paraId="0733FF2E" w14:textId="77777777" w:rsidR="00215672" w:rsidRPr="009844C0" w:rsidRDefault="00215672">
      <w:pPr>
        <w:rPr>
          <w:b/>
          <w:bCs/>
          <w:u w:color="000000"/>
          <w:lang w:eastAsia="zh-CN"/>
        </w:rPr>
      </w:pPr>
    </w:p>
    <w:p w14:paraId="6823DE05" w14:textId="2F47AD03" w:rsidR="000934AE" w:rsidRPr="009844C0" w:rsidRDefault="000934AE" w:rsidP="00F04D87">
      <w:pPr>
        <w:ind w:firstLineChars="50" w:firstLine="120"/>
        <w:rPr>
          <w:b/>
          <w:bCs/>
          <w:u w:color="000000"/>
          <w:lang w:eastAsia="zh-CN"/>
        </w:rPr>
      </w:pPr>
      <w:r w:rsidRPr="009844C0">
        <w:rPr>
          <w:b/>
          <w:bCs/>
          <w:u w:color="000000"/>
          <w:lang w:eastAsia="zh-CN"/>
        </w:rPr>
        <w:t>Section 1: Peritumoral masks generation</w:t>
      </w:r>
    </w:p>
    <w:p w14:paraId="10CDA842" w14:textId="39E9CA57" w:rsidR="000934AE" w:rsidRDefault="000934AE" w:rsidP="000934AE">
      <w:pPr>
        <w:rPr>
          <w:u w:color="000000"/>
          <w:lang w:eastAsia="zh-CN"/>
        </w:rPr>
      </w:pPr>
      <w:r>
        <w:rPr>
          <w:rFonts w:hint="eastAsia"/>
          <w:u w:color="000000"/>
          <w:lang w:eastAsia="zh-CN"/>
        </w:rPr>
        <w:t>F</w:t>
      </w:r>
      <w:r>
        <w:rPr>
          <w:u w:color="000000"/>
          <w:lang w:eastAsia="zh-CN"/>
        </w:rPr>
        <w:t xml:space="preserve">or all patients, peritumoral masks were dilated a distance of 15 mm from the corresponding </w:t>
      </w:r>
      <w:proofErr w:type="spellStart"/>
      <w:r>
        <w:rPr>
          <w:u w:color="000000"/>
          <w:lang w:eastAsia="zh-CN"/>
        </w:rPr>
        <w:t>intratumoral</w:t>
      </w:r>
      <w:proofErr w:type="spellEnd"/>
      <w:r>
        <w:rPr>
          <w:u w:color="000000"/>
          <w:lang w:eastAsia="zh-CN"/>
        </w:rPr>
        <w:t xml:space="preserve"> masks in a 2-dimensional fashion. For each CT axial slice with tumor, t</w:t>
      </w:r>
      <w:r w:rsidRPr="000934AE">
        <w:rPr>
          <w:u w:color="000000"/>
          <w:lang w:eastAsia="zh-CN"/>
        </w:rPr>
        <w:t>he number of pixels dilated in each peri</w:t>
      </w:r>
      <w:r>
        <w:rPr>
          <w:u w:color="000000"/>
          <w:lang w:eastAsia="zh-CN"/>
        </w:rPr>
        <w:t>tumoral</w:t>
      </w:r>
      <w:r w:rsidRPr="000934AE">
        <w:rPr>
          <w:u w:color="000000"/>
          <w:lang w:eastAsia="zh-CN"/>
        </w:rPr>
        <w:t xml:space="preserve"> mask were</w:t>
      </w:r>
      <w:r>
        <w:rPr>
          <w:rFonts w:hint="eastAsia"/>
          <w:u w:color="000000"/>
          <w:lang w:eastAsia="zh-CN"/>
        </w:rPr>
        <w:t xml:space="preserve"> </w:t>
      </w:r>
      <w:r w:rsidRPr="000934AE">
        <w:rPr>
          <w:u w:color="000000"/>
          <w:lang w:eastAsia="zh-CN"/>
        </w:rPr>
        <w:t>calculated as follows:</w:t>
      </w:r>
    </w:p>
    <w:p w14:paraId="783ED84F" w14:textId="5D1BF3D7" w:rsidR="000934AE" w:rsidRPr="000934AE" w:rsidRDefault="000934AE" w:rsidP="000934AE">
      <w:pPr>
        <w:rPr>
          <w:u w:color="000000"/>
          <w:lang w:eastAsia="zh-CN"/>
        </w:rPr>
      </w:pPr>
      <m:oMathPara>
        <m:oMath>
          <m:r>
            <w:rPr>
              <w:rFonts w:ascii="Cambria Math" w:hAnsi="Cambria Math"/>
              <w:u w:color="000000"/>
              <w:lang w:eastAsia="zh-CN"/>
            </w:rPr>
            <m:t># pixels dilated=</m:t>
          </m:r>
          <m:f>
            <m:fPr>
              <m:ctrlPr>
                <w:rPr>
                  <w:rFonts w:ascii="Cambria Math" w:hAnsi="Cambria Math"/>
                  <w:i/>
                  <w:u w:color="000000"/>
                  <w:lang w:eastAsia="zh-CN"/>
                </w:rPr>
              </m:ctrlPr>
            </m:fPr>
            <m:num>
              <m:r>
                <w:rPr>
                  <w:rFonts w:ascii="Cambria Math" w:hAnsi="Cambria Math"/>
                  <w:u w:color="000000"/>
                  <w:lang w:eastAsia="zh-CN"/>
                </w:rPr>
                <m:t>15</m:t>
              </m:r>
            </m:num>
            <m:den>
              <m:r>
                <w:rPr>
                  <w:rFonts w:ascii="Cambria Math" w:hAnsi="Cambria Math"/>
                  <w:u w:color="000000"/>
                  <w:lang w:eastAsia="zh-CN"/>
                </w:rPr>
                <m:t>pixel size(in mm)</m:t>
              </m:r>
            </m:den>
          </m:f>
        </m:oMath>
      </m:oMathPara>
    </w:p>
    <w:p w14:paraId="14666097" w14:textId="48810165" w:rsidR="000934AE" w:rsidRDefault="000934AE" w:rsidP="000934AE">
      <w:r>
        <w:t>During this peritumoral feature extraction process, additional consideration was taken to get rid of the region with air (&lt;-900 HU). To avoid any edge artifacts that might arise during feature extraction, the filtered ‘dead’ pixels of the CT scan were substituted by using an averaging filter across its 9 × 9 neighborhood.</w:t>
      </w:r>
    </w:p>
    <w:p w14:paraId="181F5EA1" w14:textId="067DFF4A" w:rsidR="0027641C" w:rsidRDefault="0027641C" w:rsidP="000934AE"/>
    <w:p w14:paraId="09EAA265" w14:textId="77777777" w:rsidR="00A02FF2" w:rsidRDefault="00A02FF2" w:rsidP="000934AE"/>
    <w:p w14:paraId="66AB53D2" w14:textId="1F71FD65" w:rsidR="0027641C" w:rsidRPr="009844C0" w:rsidRDefault="0027641C" w:rsidP="000934AE">
      <w:pPr>
        <w:rPr>
          <w:b/>
          <w:bCs/>
          <w:lang w:eastAsia="zh-CN"/>
        </w:rPr>
      </w:pPr>
      <w:r>
        <w:rPr>
          <w:rFonts w:hint="eastAsia"/>
          <w:lang w:eastAsia="zh-CN"/>
        </w:rPr>
        <w:t xml:space="preserve"> </w:t>
      </w:r>
      <w:r w:rsidRPr="009844C0">
        <w:rPr>
          <w:b/>
          <w:bCs/>
          <w:lang w:eastAsia="zh-CN"/>
        </w:rPr>
        <w:t>Section 2: Expanded description of the extracted radiomic features</w:t>
      </w:r>
    </w:p>
    <w:p w14:paraId="01A6FF7F" w14:textId="53713968" w:rsidR="0027641C" w:rsidRPr="0027641C" w:rsidRDefault="0027641C" w:rsidP="0027641C">
      <w:pPr>
        <w:pStyle w:val="ListParagraph"/>
        <w:numPr>
          <w:ilvl w:val="0"/>
          <w:numId w:val="1"/>
        </w:numPr>
        <w:ind w:firstLineChars="0"/>
      </w:pPr>
      <w:r w:rsidRPr="00BD1F22">
        <w:rPr>
          <w:i/>
          <w:iCs/>
        </w:rPr>
        <w:t>Gray level intensity features</w:t>
      </w:r>
      <w:r>
        <w:t xml:space="preserve">: </w:t>
      </w:r>
      <w:r w:rsidR="00140F60">
        <w:t>Statistics</w:t>
      </w:r>
      <w:r>
        <w:t xml:space="preserve"> were calculated on the gray level intensity values within a </w:t>
      </w:r>
      <w:r w:rsidRPr="0027641C">
        <w:t>neighborhood</w:t>
      </w:r>
      <w:r>
        <w:t xml:space="preserve"> of 3</w:t>
      </w:r>
      <w:r w:rsidR="00140F60">
        <w:rPr>
          <w:rFonts w:hint="eastAsia"/>
          <w:lang w:eastAsia="zh-CN"/>
        </w:rPr>
        <w:t xml:space="preserve"> </w:t>
      </w:r>
      <w:r w:rsidR="00140F60">
        <w:rPr>
          <w:lang w:eastAsia="zh-CN"/>
        </w:rPr>
        <w:t xml:space="preserve">by </w:t>
      </w:r>
      <w:r>
        <w:t>3</w:t>
      </w:r>
      <w:r>
        <w:rPr>
          <w:rFonts w:hint="eastAsia"/>
        </w:rPr>
        <w:t>,</w:t>
      </w:r>
      <w:r>
        <w:t>5</w:t>
      </w:r>
      <w:r w:rsidR="00140F60">
        <w:rPr>
          <w:rFonts w:hint="eastAsia"/>
          <w:lang w:eastAsia="zh-CN"/>
        </w:rPr>
        <w:t xml:space="preserve"> </w:t>
      </w:r>
      <w:r w:rsidR="00140F60">
        <w:rPr>
          <w:lang w:eastAsia="zh-CN"/>
        </w:rPr>
        <w:t xml:space="preserve">by </w:t>
      </w:r>
      <w:r>
        <w:t>5</w:t>
      </w:r>
      <w:r>
        <w:rPr>
          <w:rFonts w:hint="eastAsia"/>
        </w:rPr>
        <w:t>,</w:t>
      </w:r>
      <w:r>
        <w:t>7</w:t>
      </w:r>
      <w:r w:rsidR="00140F60">
        <w:rPr>
          <w:rFonts w:hint="eastAsia"/>
          <w:lang w:eastAsia="zh-CN"/>
        </w:rPr>
        <w:t xml:space="preserve"> </w:t>
      </w:r>
      <w:r w:rsidR="00140F60">
        <w:rPr>
          <w:lang w:eastAsia="zh-CN"/>
        </w:rPr>
        <w:t xml:space="preserve">by </w:t>
      </w:r>
      <w:r>
        <w:t xml:space="preserve">7 </w:t>
      </w:r>
      <w:r>
        <w:rPr>
          <w:rFonts w:hint="eastAsia"/>
        </w:rPr>
        <w:t>and</w:t>
      </w:r>
      <w:r>
        <w:t xml:space="preserve"> 9</w:t>
      </w:r>
      <w:r w:rsidR="00140F60">
        <w:rPr>
          <w:rFonts w:hint="eastAsia"/>
          <w:lang w:eastAsia="zh-CN"/>
        </w:rPr>
        <w:t xml:space="preserve"> </w:t>
      </w:r>
      <w:r w:rsidR="00140F60">
        <w:rPr>
          <w:lang w:eastAsia="zh-CN"/>
        </w:rPr>
        <w:t xml:space="preserve">by </w:t>
      </w:r>
      <w:r>
        <w:t>9</w:t>
      </w:r>
      <w:r w:rsidR="00140F60">
        <w:t>.</w:t>
      </w:r>
    </w:p>
    <w:p w14:paraId="262145BB" w14:textId="364583E7" w:rsidR="00140F60" w:rsidRDefault="00140F60" w:rsidP="0027641C">
      <w:pPr>
        <w:pStyle w:val="ListParagraph"/>
        <w:numPr>
          <w:ilvl w:val="0"/>
          <w:numId w:val="1"/>
        </w:numPr>
        <w:ind w:firstLineChars="0"/>
      </w:pPr>
      <w:r w:rsidRPr="00BD1F22">
        <w:rPr>
          <w:i/>
          <w:iCs/>
        </w:rPr>
        <w:t>Intensity gradient-based features</w:t>
      </w:r>
      <w:r>
        <w:t>: Statistics were calculated on the image gradients:</w:t>
      </w:r>
    </w:p>
    <w:p w14:paraId="1E677F4F" w14:textId="23E1FA88" w:rsidR="0027641C" w:rsidRPr="00140F60" w:rsidRDefault="00140F60" w:rsidP="00140F60">
      <w:pPr>
        <w:pStyle w:val="ListParagraph"/>
        <w:ind w:left="360" w:firstLineChars="0" w:firstLine="0"/>
      </w:pPr>
      <m:oMathPara>
        <m:oMath>
          <m:r>
            <m:rPr>
              <m:sty m:val="p"/>
            </m:rPr>
            <w:rPr>
              <w:rFonts w:ascii="Cambria Math" w:hAnsi="Cambria Math"/>
            </w:rPr>
            <m:t>∇</m:t>
          </m:r>
          <m:r>
            <w:rPr>
              <w:rFonts w:ascii="Cambria Math" w:hAnsi="Cambria Math"/>
            </w:rPr>
            <m:t xml:space="preserve">f=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hAnsi="Cambria Math"/>
                          </w:rPr>
                          <m:t>∂f</m:t>
                        </m:r>
                      </m:num>
                      <m:den>
                        <m:r>
                          <w:rPr>
                            <w:rFonts w:ascii="Cambria Math" w:hAnsi="Cambria Math"/>
                          </w:rPr>
                          <m:t>∂x</m:t>
                        </m:r>
                      </m:den>
                    </m:f>
                  </m:e>
                </m:mr>
                <m:mr>
                  <m:e>
                    <m:f>
                      <m:fPr>
                        <m:ctrlPr>
                          <w:rPr>
                            <w:rFonts w:ascii="Cambria Math" w:hAnsi="Cambria Math"/>
                            <w:i/>
                          </w:rPr>
                        </m:ctrlPr>
                      </m:fPr>
                      <m:num>
                        <m:r>
                          <w:rPr>
                            <w:rFonts w:ascii="Cambria Math" w:hAnsi="Cambria Math"/>
                          </w:rPr>
                          <m:t>∂f</m:t>
                        </m:r>
                      </m:num>
                      <m:den>
                        <m:r>
                          <w:rPr>
                            <w:rFonts w:ascii="Cambria Math" w:hAnsi="Cambria Math"/>
                          </w:rPr>
                          <m:t>∂y</m:t>
                        </m:r>
                      </m:den>
                    </m:f>
                  </m:e>
                </m:mr>
              </m:m>
            </m:e>
          </m:d>
        </m:oMath>
      </m:oMathPara>
    </w:p>
    <w:p w14:paraId="2F54F412" w14:textId="443B32A9" w:rsidR="00140F60" w:rsidRDefault="00140F60" w:rsidP="00140F60">
      <w:pPr>
        <w:pStyle w:val="ListParagraph"/>
        <w:ind w:left="360" w:firstLineChars="0" w:firstLine="0"/>
        <w:rPr>
          <w:lang w:eastAsia="zh-CN"/>
        </w:rPr>
      </w:pPr>
      <w:r>
        <w:rPr>
          <w:lang w:eastAsia="zh-CN"/>
        </w:rPr>
        <w:t>where:</w:t>
      </w:r>
    </w:p>
    <w:p w14:paraId="2E134A59" w14:textId="22B1DB70" w:rsidR="00140F60" w:rsidRDefault="0013766A" w:rsidP="00140F60">
      <w:pPr>
        <w:pStyle w:val="ListParagraph"/>
        <w:ind w:left="360" w:firstLineChars="0" w:firstLine="0"/>
        <w:rPr>
          <w:lang w:eastAsia="zh-CN"/>
        </w:rPr>
      </w:pPr>
      <m:oMath>
        <m:f>
          <m:fPr>
            <m:ctrlPr>
              <w:rPr>
                <w:rFonts w:ascii="Cambria Math" w:hAnsi="Cambria Math"/>
                <w:i/>
              </w:rPr>
            </m:ctrlPr>
          </m:fPr>
          <m:num>
            <m:r>
              <w:rPr>
                <w:rFonts w:ascii="Cambria Math" w:hAnsi="Cambria Math"/>
              </w:rPr>
              <m:t>∂f</m:t>
            </m:r>
          </m:num>
          <m:den>
            <m:r>
              <w:rPr>
                <w:rFonts w:ascii="Cambria Math" w:hAnsi="Cambria Math"/>
              </w:rPr>
              <m:t>∂x</m:t>
            </m:r>
          </m:den>
        </m:f>
      </m:oMath>
      <w:r w:rsidR="00140F60">
        <w:rPr>
          <w:rFonts w:hint="eastAsia"/>
          <w:lang w:eastAsia="zh-CN"/>
        </w:rPr>
        <w:t xml:space="preserve"> </w:t>
      </w:r>
      <w:r w:rsidR="00140F60" w:rsidRPr="00140F60">
        <w:rPr>
          <w:lang w:eastAsia="zh-CN"/>
        </w:rPr>
        <w:t>is the derivative with respect to x (gradient in the x direction)</w:t>
      </w:r>
      <w:r w:rsidR="00140F60">
        <w:rPr>
          <w:lang w:eastAsia="zh-CN"/>
        </w:rPr>
        <w:t xml:space="preserve"> and </w:t>
      </w:r>
      <m:oMath>
        <m:f>
          <m:fPr>
            <m:ctrlPr>
              <w:rPr>
                <w:rFonts w:ascii="Cambria Math" w:hAnsi="Cambria Math"/>
                <w:i/>
              </w:rPr>
            </m:ctrlPr>
          </m:fPr>
          <m:num>
            <m:r>
              <w:rPr>
                <w:rFonts w:ascii="Cambria Math" w:hAnsi="Cambria Math"/>
              </w:rPr>
              <m:t>∂f</m:t>
            </m:r>
          </m:num>
          <m:den>
            <m:r>
              <w:rPr>
                <w:rFonts w:ascii="Cambria Math" w:hAnsi="Cambria Math"/>
              </w:rPr>
              <m:t>∂y</m:t>
            </m:r>
          </m:den>
        </m:f>
      </m:oMath>
      <w:r w:rsidR="00140F60">
        <w:rPr>
          <w:rFonts w:hint="eastAsia"/>
          <w:lang w:eastAsia="zh-CN"/>
        </w:rPr>
        <w:t xml:space="preserve"> </w:t>
      </w:r>
      <w:r w:rsidR="00140F60" w:rsidRPr="00140F60">
        <w:rPr>
          <w:lang w:eastAsia="zh-CN"/>
        </w:rPr>
        <w:t xml:space="preserve">is the derivative with respect to </w:t>
      </w:r>
      <w:r w:rsidR="00140F60">
        <w:rPr>
          <w:lang w:eastAsia="zh-CN"/>
        </w:rPr>
        <w:t>y</w:t>
      </w:r>
      <w:r w:rsidR="00140F60" w:rsidRPr="00140F60">
        <w:rPr>
          <w:lang w:eastAsia="zh-CN"/>
        </w:rPr>
        <w:t xml:space="preserve"> (gradient in the </w:t>
      </w:r>
      <w:r w:rsidR="00140F60">
        <w:rPr>
          <w:lang w:eastAsia="zh-CN"/>
        </w:rPr>
        <w:t>y</w:t>
      </w:r>
      <w:r w:rsidR="00140F60" w:rsidRPr="00140F60">
        <w:rPr>
          <w:lang w:eastAsia="zh-CN"/>
        </w:rPr>
        <w:t xml:space="preserve"> direction</w:t>
      </w:r>
      <w:proofErr w:type="gramStart"/>
      <w:r w:rsidR="00140F60" w:rsidRPr="00140F60">
        <w:rPr>
          <w:lang w:eastAsia="zh-CN"/>
        </w:rPr>
        <w:t>)</w:t>
      </w:r>
      <w:r w:rsidR="00140F60">
        <w:rPr>
          <w:lang w:eastAsia="zh-CN"/>
        </w:rPr>
        <w:t>.</w:t>
      </w:r>
      <w:proofErr w:type="gramEnd"/>
    </w:p>
    <w:p w14:paraId="11723723" w14:textId="17CAADD0" w:rsidR="00140F60" w:rsidRDefault="00BD1F22" w:rsidP="00140F60">
      <w:pPr>
        <w:pStyle w:val="ListParagraph"/>
        <w:numPr>
          <w:ilvl w:val="0"/>
          <w:numId w:val="1"/>
        </w:numPr>
        <w:ind w:firstLineChars="0"/>
        <w:rPr>
          <w:lang w:eastAsia="zh-CN"/>
        </w:rPr>
      </w:pPr>
      <w:r w:rsidRPr="00BD1F22">
        <w:rPr>
          <w:i/>
          <w:iCs/>
        </w:rPr>
        <w:t>Laws</w:t>
      </w:r>
      <w:r>
        <w:t xml:space="preserve">: </w:t>
      </w:r>
      <w:r w:rsidR="00140F60">
        <w:t>2-dimensional Laws filters are derived by computing the outer product of combinations of the following 1-dimensional filter vectors focused on different texture patterns</w:t>
      </w:r>
      <w:r>
        <w:t>:</w:t>
      </w:r>
    </w:p>
    <w:p w14:paraId="1B1B80C2" w14:textId="31031024" w:rsidR="00BD1F22" w:rsidRDefault="00BD1F22" w:rsidP="00BD1F22">
      <w:pPr>
        <w:pStyle w:val="ListParagraph"/>
        <w:ind w:left="360" w:firstLineChars="0" w:firstLine="0"/>
      </w:pPr>
      <w:r>
        <w:t>Level (L5) – detects smoothness of intensity values. L5 = [1 4 6 4 1]</w:t>
      </w:r>
    </w:p>
    <w:p w14:paraId="5D8F02DA" w14:textId="3FA1DD3A" w:rsidR="00BD1F22" w:rsidRDefault="00BD1F22" w:rsidP="00BD1F22">
      <w:pPr>
        <w:pStyle w:val="ListParagraph"/>
        <w:ind w:left="360" w:firstLineChars="0" w:firstLine="0"/>
      </w:pPr>
      <w:r>
        <w:t>Edge (E5) – detects edges between regions with abrupt changes in intensity. E5 = [-1 -2 0 2 1]</w:t>
      </w:r>
    </w:p>
    <w:p w14:paraId="3FB0D9FB" w14:textId="53E18A75" w:rsidR="00BD1F22" w:rsidRDefault="00BD1F22" w:rsidP="00BD1F22">
      <w:pPr>
        <w:pStyle w:val="ListParagraph"/>
        <w:ind w:left="360" w:firstLineChars="0" w:firstLine="0"/>
      </w:pPr>
      <w:r>
        <w:t>Spot (S5) – detects speckled enhancement patterns. S5 = [-1 0 2 0 -1]</w:t>
      </w:r>
    </w:p>
    <w:p w14:paraId="0E89913C" w14:textId="72A20265" w:rsidR="00BD1F22" w:rsidRDefault="00BD1F22" w:rsidP="00BD1F22">
      <w:pPr>
        <w:pStyle w:val="ListParagraph"/>
        <w:ind w:left="360" w:firstLineChars="0" w:firstLine="0"/>
      </w:pPr>
      <w:r>
        <w:t>Wave (W5) – detects regularly oscillating local intensity patterns. W5 = [-1 2 0 -2 1]</w:t>
      </w:r>
    </w:p>
    <w:p w14:paraId="4C42D46D" w14:textId="46D451D1" w:rsidR="00BD1F22" w:rsidRDefault="00BD1F22" w:rsidP="00BD1F22">
      <w:pPr>
        <w:pStyle w:val="ListParagraph"/>
        <w:ind w:left="360" w:firstLineChars="0" w:firstLine="0"/>
      </w:pPr>
      <w:r>
        <w:t>Ripple (R5) – detects oscillating intensity patterns centered at region of extreme intensity. R5 = [ 1 -4 6 -4 1]</w:t>
      </w:r>
    </w:p>
    <w:p w14:paraId="5A53953E" w14:textId="53914EF4" w:rsidR="00BD1F22" w:rsidRDefault="00BD1F22" w:rsidP="00BD1F22">
      <w:pPr>
        <w:pStyle w:val="ListParagraph"/>
        <w:ind w:left="360" w:firstLineChars="0" w:firstLine="0"/>
      </w:pPr>
    </w:p>
    <w:p w14:paraId="088EC1E8" w14:textId="060F2CD9" w:rsidR="00BD1F22" w:rsidRDefault="00BD1F22" w:rsidP="00BD1F22">
      <w:pPr>
        <w:pStyle w:val="ListParagraph"/>
        <w:ind w:left="360" w:firstLineChars="0" w:firstLine="0"/>
      </w:pPr>
      <w:r>
        <w:t xml:space="preserve">To obtain a feature vector, convolution is performed on the filters and the images within a window size </w:t>
      </w:r>
      <w:r w:rsidRPr="0027641C">
        <w:t>neighborhood</w:t>
      </w:r>
      <w:r>
        <w:t xml:space="preserve"> followed by summing up all the values. Features are named by the combination of filters applied in the y and x axes, </w:t>
      </w:r>
      <w:proofErr w:type="gramStart"/>
      <w:r>
        <w:t>e.g.</w:t>
      </w:r>
      <w:proofErr w:type="gramEnd"/>
      <w:r>
        <w:t xml:space="preserve"> L5E5 is the product of a level detection filter in the y axis and an edge detection filter in the x axis.</w:t>
      </w:r>
    </w:p>
    <w:p w14:paraId="0F383D4D" w14:textId="5411C691" w:rsidR="00BD1F22" w:rsidRDefault="00BD1F22" w:rsidP="00BD1F22">
      <w:pPr>
        <w:pStyle w:val="ListParagraph"/>
        <w:numPr>
          <w:ilvl w:val="0"/>
          <w:numId w:val="1"/>
        </w:numPr>
        <w:ind w:firstLineChars="0"/>
        <w:rPr>
          <w:lang w:eastAsia="zh-CN"/>
        </w:rPr>
      </w:pPr>
      <w:r w:rsidRPr="00BD1F22">
        <w:rPr>
          <w:rFonts w:hint="eastAsia"/>
          <w:i/>
          <w:iCs/>
          <w:lang w:eastAsia="zh-CN"/>
        </w:rPr>
        <w:lastRenderedPageBreak/>
        <w:t>G</w:t>
      </w:r>
      <w:r w:rsidRPr="00BD1F22">
        <w:rPr>
          <w:i/>
          <w:iCs/>
          <w:lang w:eastAsia="zh-CN"/>
        </w:rPr>
        <w:t>abor</w:t>
      </w:r>
      <w:r>
        <w:rPr>
          <w:lang w:eastAsia="zh-CN"/>
        </w:rPr>
        <w:t xml:space="preserve">: 2-dimensional </w:t>
      </w:r>
      <w:r>
        <w:t xml:space="preserve">Gabor filters are computed by modulating a Gaussian kernel function with one of 48 sinusoidal plane waves. Each sinusoidal plane wave corresponds to a unique combination of one of </w:t>
      </w:r>
      <w:r w:rsidR="00DC4DDC">
        <w:t>four</w:t>
      </w:r>
      <w:r>
        <w:t xml:space="preserve"> spatial wavelengths (2 pixels, 4 pixels, 8 pixels, 12 pixels) and one of </w:t>
      </w:r>
      <w:r w:rsidR="00DC4DDC">
        <w:t>seven</w:t>
      </w:r>
      <w:r>
        <w:t xml:space="preserve"> orientations (22.5°, 45°, 67.5°, 90°, 112.5°, 135°, 157.5°). Each Gabor filter is then convolved with the original image and values corresponding to filter response within the region of interest are concatenated.</w:t>
      </w:r>
    </w:p>
    <w:p w14:paraId="689361E2" w14:textId="4E2A4F59" w:rsidR="009537D1" w:rsidRDefault="009537D1" w:rsidP="00BD1F22">
      <w:pPr>
        <w:pStyle w:val="ListParagraph"/>
        <w:numPr>
          <w:ilvl w:val="0"/>
          <w:numId w:val="1"/>
        </w:numPr>
        <w:ind w:firstLineChars="0"/>
        <w:rPr>
          <w:lang w:eastAsia="zh-CN"/>
        </w:rPr>
      </w:pPr>
      <w:proofErr w:type="spellStart"/>
      <w:r w:rsidRPr="009537D1">
        <w:rPr>
          <w:i/>
          <w:iCs/>
        </w:rPr>
        <w:t>Haralick</w:t>
      </w:r>
      <w:proofErr w:type="spellEnd"/>
      <w:r w:rsidRPr="009537D1">
        <w:rPr>
          <w:i/>
          <w:iCs/>
        </w:rPr>
        <w:t xml:space="preserve"> features</w:t>
      </w:r>
      <w:r>
        <w:t xml:space="preserve">: The following </w:t>
      </w:r>
      <w:proofErr w:type="spellStart"/>
      <w:r>
        <w:t>Haralick</w:t>
      </w:r>
      <w:proofErr w:type="spellEnd"/>
      <w:r>
        <w:t xml:space="preserve"> gray level co-occurrence matrix (GLCM) descriptors were computed: entropy, energy, inertia, inverse difference moment, correlation, information measure of correlation 1, information measure of correlation 2, sum average, sum variance, sum entropy, difference average, difference variance, and difference entropy. GLCM statistics were concatenated within a window size </w:t>
      </w:r>
      <w:r w:rsidRPr="0027641C">
        <w:t>neighborhood</w:t>
      </w:r>
      <w:r>
        <w:t>, yielding 13 descriptor vectors per region.</w:t>
      </w:r>
    </w:p>
    <w:p w14:paraId="01EC15F0" w14:textId="00F7558D" w:rsidR="009537D1" w:rsidRDefault="009537D1" w:rsidP="00BD1F22">
      <w:pPr>
        <w:pStyle w:val="ListParagraph"/>
        <w:numPr>
          <w:ilvl w:val="0"/>
          <w:numId w:val="1"/>
        </w:numPr>
        <w:ind w:firstLineChars="0"/>
        <w:rPr>
          <w:lang w:eastAsia="zh-CN"/>
        </w:rPr>
      </w:pPr>
      <w:r w:rsidRPr="009537D1">
        <w:rPr>
          <w:i/>
          <w:iCs/>
        </w:rPr>
        <w:t>Co-occurrence of local anisotropy gradients (</w:t>
      </w:r>
      <w:proofErr w:type="spellStart"/>
      <w:r w:rsidRPr="009537D1">
        <w:rPr>
          <w:i/>
          <w:iCs/>
        </w:rPr>
        <w:t>CoLlAGe</w:t>
      </w:r>
      <w:proofErr w:type="spellEnd"/>
      <w:r w:rsidRPr="009537D1">
        <w:rPr>
          <w:i/>
          <w:iCs/>
        </w:rPr>
        <w:t>)</w:t>
      </w:r>
      <w:r>
        <w:t xml:space="preserve">: </w:t>
      </w:r>
      <w:r w:rsidR="009844C0">
        <w:t xml:space="preserve">An image’s intensity gradients in the x and y direction are computed. Within a window size </w:t>
      </w:r>
      <w:r w:rsidR="009844C0" w:rsidRPr="0027641C">
        <w:t>neighborhood</w:t>
      </w:r>
      <w:r w:rsidR="009844C0">
        <w:t xml:space="preserve">, the dominant intensity gradient orientation (between 0°-360°) is computed via principal component analysis, resulting in a 2D array of equal size with the dominant gradient orientation value centered at the corresponding pixel of the original image. Metrics of the co-occurrence matrix are then applied to this gradient orientation image in the same manner as described above for </w:t>
      </w:r>
      <w:proofErr w:type="spellStart"/>
      <w:r w:rsidR="009844C0">
        <w:t>Haralick</w:t>
      </w:r>
      <w:proofErr w:type="spellEnd"/>
      <w:r w:rsidR="009844C0">
        <w:t xml:space="preserve"> GLCM features. The resulting 13 </w:t>
      </w:r>
      <w:proofErr w:type="spellStart"/>
      <w:r w:rsidR="009844C0">
        <w:t>CoLlAGe</w:t>
      </w:r>
      <w:proofErr w:type="spellEnd"/>
      <w:r w:rsidR="009844C0">
        <w:t xml:space="preserve"> descriptors quantify the homogeneity of intensity gradient directionality within an image.</w:t>
      </w:r>
    </w:p>
    <w:p w14:paraId="2B99B3D4" w14:textId="4B1E2FDF" w:rsidR="00F04D87" w:rsidRDefault="00F04D87" w:rsidP="00F04D87">
      <w:pPr>
        <w:pStyle w:val="ListParagraph"/>
        <w:ind w:left="360" w:firstLineChars="0" w:firstLine="0"/>
        <w:rPr>
          <w:lang w:eastAsia="zh-CN"/>
        </w:rPr>
      </w:pPr>
    </w:p>
    <w:p w14:paraId="601F4B09" w14:textId="77777777" w:rsidR="00F04D87" w:rsidRDefault="00F04D87" w:rsidP="00F04D87">
      <w:pPr>
        <w:pStyle w:val="ListParagraph"/>
        <w:ind w:left="360" w:firstLineChars="0" w:firstLine="0"/>
        <w:rPr>
          <w:lang w:eastAsia="zh-CN"/>
        </w:rPr>
      </w:pPr>
    </w:p>
    <w:p w14:paraId="097FD4A3" w14:textId="071EEB67" w:rsidR="00F04D87" w:rsidRDefault="00F04D87" w:rsidP="00F04D87">
      <w:pPr>
        <w:ind w:leftChars="150" w:left="360"/>
      </w:pPr>
      <w:r w:rsidRPr="00F04D87">
        <w:rPr>
          <w:rFonts w:hint="eastAsia"/>
          <w:b/>
          <w:bCs/>
          <w:lang w:eastAsia="zh-CN"/>
        </w:rPr>
        <w:t>S</w:t>
      </w:r>
      <w:r w:rsidRPr="00F04D87">
        <w:rPr>
          <w:b/>
          <w:bCs/>
          <w:lang w:eastAsia="zh-CN"/>
        </w:rPr>
        <w:t>ection 3: CT imaging parameter</w:t>
      </w:r>
      <w:r>
        <w:rPr>
          <w:b/>
          <w:bCs/>
          <w:lang w:eastAsia="zh-CN"/>
        </w:rPr>
        <w:t>s</w:t>
      </w:r>
      <w:r w:rsidR="00FB5B76">
        <w:rPr>
          <w:b/>
          <w:bCs/>
          <w:lang w:eastAsia="zh-CN"/>
        </w:rPr>
        <w:t xml:space="preserve"> </w:t>
      </w:r>
      <w:r w:rsidRPr="00F04D87">
        <w:t xml:space="preserve">The CT images for the TCIA cohort were acquired from one of the following CT scanners: General Electric Discovery ST; General Electric Lightspeed Plus; Toshiba Medical Systems </w:t>
      </w:r>
      <w:proofErr w:type="spellStart"/>
      <w:r w:rsidRPr="00F04D87">
        <w:t>Aquillion</w:t>
      </w:r>
      <w:proofErr w:type="spellEnd"/>
      <w:r w:rsidRPr="00F04D87">
        <w:t xml:space="preserve"> ONE. CT scans were acquired in helical mode with a slice thickness of 2.5 mm (General Electric) or 2 mm (Toshiba), at 120 </w:t>
      </w:r>
      <w:proofErr w:type="spellStart"/>
      <w:r w:rsidRPr="00F04D87">
        <w:t>kVp</w:t>
      </w:r>
      <w:proofErr w:type="spellEnd"/>
      <w:r w:rsidRPr="00F04D87">
        <w:t xml:space="preserve"> and 300 </w:t>
      </w:r>
      <w:proofErr w:type="spellStart"/>
      <w:r w:rsidRPr="00F04D87">
        <w:t>mAs</w:t>
      </w:r>
      <w:proofErr w:type="spellEnd"/>
      <w:r w:rsidRPr="00F04D87">
        <w:t xml:space="preserve"> tube current. Image resolution was 1 mm for all the scans. </w:t>
      </w:r>
    </w:p>
    <w:p w14:paraId="080D1FF9" w14:textId="77777777" w:rsidR="00F04D87" w:rsidRPr="00F04D87" w:rsidRDefault="00F04D87" w:rsidP="00F04D87">
      <w:pPr>
        <w:pStyle w:val="ListParagraph"/>
        <w:ind w:left="360" w:firstLineChars="0" w:firstLine="0"/>
      </w:pPr>
      <w:r w:rsidRPr="00F04D87">
        <w:t xml:space="preserve">The CT images for the CCF cohort were acquired from either The General Electric Medical System or The Siemens Medical System. CT scans were acquired in helical mode with a slice thickness of 3 mm, at 120 </w:t>
      </w:r>
      <w:proofErr w:type="spellStart"/>
      <w:r w:rsidRPr="00F04D87">
        <w:t>kVp</w:t>
      </w:r>
      <w:proofErr w:type="spellEnd"/>
      <w:r w:rsidRPr="00F04D87">
        <w:t xml:space="preserve"> and 235 </w:t>
      </w:r>
      <w:proofErr w:type="spellStart"/>
      <w:r w:rsidRPr="00F04D87">
        <w:t>mAs</w:t>
      </w:r>
      <w:proofErr w:type="spellEnd"/>
      <w:r w:rsidRPr="00F04D87">
        <w:t xml:space="preserve"> tube current. Image resolution is between 0.4 mm - 0.5 mm for most of the patients, with image matrix of 512 </w:t>
      </w:r>
      <w:r w:rsidRPr="00F04D87">
        <w:rPr>
          <w:rFonts w:hint="eastAsia"/>
        </w:rPr>
        <w:t>×</w:t>
      </w:r>
      <w:r w:rsidRPr="00F04D87">
        <w:t xml:space="preserve"> 512.</w:t>
      </w:r>
    </w:p>
    <w:p w14:paraId="057F8E39" w14:textId="77777777" w:rsidR="00F04D87" w:rsidRPr="00F04D87" w:rsidRDefault="00F04D87" w:rsidP="00F04D87">
      <w:pPr>
        <w:pStyle w:val="ListParagraph"/>
        <w:ind w:left="360" w:firstLineChars="0" w:firstLine="0"/>
        <w:rPr>
          <w:lang w:eastAsia="zh-CN"/>
        </w:rPr>
      </w:pPr>
    </w:p>
    <w:sectPr w:rsidR="00F04D87" w:rsidRPr="00F04D87" w:rsidSect="00F369A9">
      <w:footerReference w:type="default" r:id="rId16"/>
      <w:pgSz w:w="11906" w:h="16838"/>
      <w:pgMar w:top="1440" w:right="1440" w:bottom="1440" w:left="1440" w:header="851" w:footer="72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E714" w14:textId="77777777" w:rsidR="0013766A" w:rsidRDefault="0013766A" w:rsidP="000934AE">
      <w:r>
        <w:separator/>
      </w:r>
    </w:p>
  </w:endnote>
  <w:endnote w:type="continuationSeparator" w:id="0">
    <w:p w14:paraId="27D6ED0C" w14:textId="77777777" w:rsidR="0013766A" w:rsidRDefault="0013766A" w:rsidP="0009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236142"/>
      <w:docPartObj>
        <w:docPartGallery w:val="Page Numbers (Bottom of Page)"/>
        <w:docPartUnique/>
      </w:docPartObj>
    </w:sdtPr>
    <w:sdtEndPr>
      <w:rPr>
        <w:noProof/>
        <w:sz w:val="22"/>
        <w:szCs w:val="22"/>
      </w:rPr>
    </w:sdtEndPr>
    <w:sdtContent>
      <w:p w14:paraId="604D875D" w14:textId="05393682" w:rsidR="00271FD1" w:rsidRPr="00F369A9" w:rsidRDefault="00271FD1">
        <w:pPr>
          <w:pStyle w:val="Footer"/>
          <w:jc w:val="center"/>
          <w:rPr>
            <w:sz w:val="22"/>
            <w:szCs w:val="22"/>
          </w:rPr>
        </w:pPr>
        <w:r w:rsidRPr="00F369A9">
          <w:rPr>
            <w:sz w:val="22"/>
            <w:szCs w:val="22"/>
          </w:rPr>
          <w:fldChar w:fldCharType="begin"/>
        </w:r>
        <w:r w:rsidRPr="00F369A9">
          <w:rPr>
            <w:sz w:val="22"/>
            <w:szCs w:val="22"/>
          </w:rPr>
          <w:instrText xml:space="preserve"> PAGE   \* MERGEFORMAT </w:instrText>
        </w:r>
        <w:r w:rsidRPr="00F369A9">
          <w:rPr>
            <w:sz w:val="22"/>
            <w:szCs w:val="22"/>
          </w:rPr>
          <w:fldChar w:fldCharType="separate"/>
        </w:r>
        <w:r w:rsidR="007F51F7">
          <w:rPr>
            <w:noProof/>
            <w:sz w:val="22"/>
            <w:szCs w:val="22"/>
          </w:rPr>
          <w:t>11</w:t>
        </w:r>
        <w:r w:rsidRPr="00F369A9">
          <w:rPr>
            <w:noProof/>
            <w:sz w:val="22"/>
            <w:szCs w:val="22"/>
          </w:rPr>
          <w:fldChar w:fldCharType="end"/>
        </w:r>
      </w:p>
    </w:sdtContent>
  </w:sdt>
  <w:p w14:paraId="5EFFDD67" w14:textId="77777777" w:rsidR="00271FD1" w:rsidRDefault="00271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F822" w14:textId="77777777" w:rsidR="0013766A" w:rsidRDefault="0013766A" w:rsidP="000934AE">
      <w:r>
        <w:separator/>
      </w:r>
    </w:p>
  </w:footnote>
  <w:footnote w:type="continuationSeparator" w:id="0">
    <w:p w14:paraId="330AFE2B" w14:textId="77777777" w:rsidR="0013766A" w:rsidRDefault="0013766A" w:rsidP="00093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E098B"/>
    <w:multiLevelType w:val="hybridMultilevel"/>
    <w:tmpl w:val="2B6E9B76"/>
    <w:lvl w:ilvl="0" w:tplc="67F6A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FD2"/>
    <w:rsid w:val="000335C1"/>
    <w:rsid w:val="00046F0E"/>
    <w:rsid w:val="000934AE"/>
    <w:rsid w:val="000C6B04"/>
    <w:rsid w:val="0013766A"/>
    <w:rsid w:val="00140F60"/>
    <w:rsid w:val="00155A55"/>
    <w:rsid w:val="001B3816"/>
    <w:rsid w:val="001D15CB"/>
    <w:rsid w:val="002140F8"/>
    <w:rsid w:val="00215672"/>
    <w:rsid w:val="002464BB"/>
    <w:rsid w:val="00271FD1"/>
    <w:rsid w:val="00275DFE"/>
    <w:rsid w:val="0027641C"/>
    <w:rsid w:val="00283165"/>
    <w:rsid w:val="00285F51"/>
    <w:rsid w:val="00301854"/>
    <w:rsid w:val="00312ED5"/>
    <w:rsid w:val="003D08F6"/>
    <w:rsid w:val="00410964"/>
    <w:rsid w:val="0048373B"/>
    <w:rsid w:val="0051275A"/>
    <w:rsid w:val="005152E6"/>
    <w:rsid w:val="00545C7E"/>
    <w:rsid w:val="00553322"/>
    <w:rsid w:val="005A5BE0"/>
    <w:rsid w:val="005C3806"/>
    <w:rsid w:val="005F4FD2"/>
    <w:rsid w:val="005F7362"/>
    <w:rsid w:val="00607C88"/>
    <w:rsid w:val="00623125"/>
    <w:rsid w:val="00643957"/>
    <w:rsid w:val="0066693E"/>
    <w:rsid w:val="00701905"/>
    <w:rsid w:val="0074343B"/>
    <w:rsid w:val="00780B68"/>
    <w:rsid w:val="007F51F7"/>
    <w:rsid w:val="007F55B9"/>
    <w:rsid w:val="008124B9"/>
    <w:rsid w:val="008270DA"/>
    <w:rsid w:val="008A5B6C"/>
    <w:rsid w:val="008E34F7"/>
    <w:rsid w:val="0092534E"/>
    <w:rsid w:val="009537D1"/>
    <w:rsid w:val="00972313"/>
    <w:rsid w:val="009844C0"/>
    <w:rsid w:val="009911C7"/>
    <w:rsid w:val="00A02FF2"/>
    <w:rsid w:val="00A67EFB"/>
    <w:rsid w:val="00AD67B3"/>
    <w:rsid w:val="00AE6AB4"/>
    <w:rsid w:val="00AF0B24"/>
    <w:rsid w:val="00B074D0"/>
    <w:rsid w:val="00B15636"/>
    <w:rsid w:val="00B358CC"/>
    <w:rsid w:val="00B95DCF"/>
    <w:rsid w:val="00BD1F22"/>
    <w:rsid w:val="00BE5908"/>
    <w:rsid w:val="00BF16FE"/>
    <w:rsid w:val="00C001A9"/>
    <w:rsid w:val="00C05567"/>
    <w:rsid w:val="00C41324"/>
    <w:rsid w:val="00C41495"/>
    <w:rsid w:val="00C930F5"/>
    <w:rsid w:val="00CA4A51"/>
    <w:rsid w:val="00CD0233"/>
    <w:rsid w:val="00CF3272"/>
    <w:rsid w:val="00D12BBA"/>
    <w:rsid w:val="00D23900"/>
    <w:rsid w:val="00D6398E"/>
    <w:rsid w:val="00D7562B"/>
    <w:rsid w:val="00D8187B"/>
    <w:rsid w:val="00DC4DDC"/>
    <w:rsid w:val="00DF0DD1"/>
    <w:rsid w:val="00E806CC"/>
    <w:rsid w:val="00E911CD"/>
    <w:rsid w:val="00F04D87"/>
    <w:rsid w:val="00F12A6C"/>
    <w:rsid w:val="00F369A9"/>
    <w:rsid w:val="00F500A3"/>
    <w:rsid w:val="00F51F0A"/>
    <w:rsid w:val="00F8744A"/>
    <w:rsid w:val="00FB581A"/>
    <w:rsid w:val="00FB5B76"/>
    <w:rsid w:val="00FD7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6AE4A"/>
  <w15:chartTrackingRefBased/>
  <w15:docId w15:val="{CB19164E-5ADC-41DC-8B53-1C7D317C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FD2"/>
    <w:pPr>
      <w:pBdr>
        <w:top w:val="nil"/>
        <w:left w:val="nil"/>
        <w:bottom w:val="nil"/>
        <w:right w:val="nil"/>
        <w:between w:val="nil"/>
        <w:bar w:val="nil"/>
      </w:pBdr>
    </w:pPr>
    <w:rPr>
      <w:rFonts w:ascii="Times New Roman" w:hAnsi="Times New Roman" w:cs="Times New Roman"/>
      <w:kern w:val="0"/>
      <w:sz w:val="24"/>
      <w:szCs w:val="24"/>
      <w:bdr w:val="ni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21heading1">
    <w:name w:val="MDPI_2.1_heading1"/>
    <w:rsid w:val="005F4FD2"/>
    <w:pPr>
      <w:pBdr>
        <w:top w:val="nil"/>
        <w:left w:val="nil"/>
        <w:bottom w:val="nil"/>
        <w:right w:val="nil"/>
        <w:between w:val="nil"/>
        <w:bar w:val="nil"/>
      </w:pBdr>
      <w:spacing w:before="240" w:after="120" w:line="260" w:lineRule="atLeast"/>
      <w:outlineLvl w:val="0"/>
    </w:pPr>
    <w:rPr>
      <w:rFonts w:ascii="Palatino Linotype" w:eastAsia="Palatino Linotype" w:hAnsi="Palatino Linotype" w:cs="Palatino Linotype"/>
      <w:b/>
      <w:bCs/>
      <w:color w:val="000000"/>
      <w:kern w:val="0"/>
      <w:sz w:val="20"/>
      <w:szCs w:val="20"/>
      <w:u w:color="000000"/>
      <w:bdr w:val="nil"/>
    </w:rPr>
  </w:style>
  <w:style w:type="table" w:styleId="TableGrid">
    <w:name w:val="Table Grid"/>
    <w:basedOn w:val="TableNormal"/>
    <w:uiPriority w:val="39"/>
    <w:rsid w:val="005F4FD2"/>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F4FD2"/>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styleId="Header">
    <w:name w:val="header"/>
    <w:basedOn w:val="Normal"/>
    <w:link w:val="HeaderChar"/>
    <w:uiPriority w:val="99"/>
    <w:unhideWhenUsed/>
    <w:rsid w:val="000934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934AE"/>
    <w:rPr>
      <w:rFonts w:ascii="Times New Roman" w:hAnsi="Times New Roman" w:cs="Times New Roman"/>
      <w:kern w:val="0"/>
      <w:sz w:val="18"/>
      <w:szCs w:val="18"/>
      <w:bdr w:val="nil"/>
      <w:lang w:eastAsia="en-US"/>
    </w:rPr>
  </w:style>
  <w:style w:type="paragraph" w:styleId="Footer">
    <w:name w:val="footer"/>
    <w:basedOn w:val="Normal"/>
    <w:link w:val="FooterChar"/>
    <w:uiPriority w:val="99"/>
    <w:unhideWhenUsed/>
    <w:rsid w:val="000934A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0934AE"/>
    <w:rPr>
      <w:rFonts w:ascii="Times New Roman" w:hAnsi="Times New Roman" w:cs="Times New Roman"/>
      <w:kern w:val="0"/>
      <w:sz w:val="18"/>
      <w:szCs w:val="18"/>
      <w:bdr w:val="nil"/>
      <w:lang w:eastAsia="en-US"/>
    </w:rPr>
  </w:style>
  <w:style w:type="paragraph" w:styleId="BalloonText">
    <w:name w:val="Balloon Text"/>
    <w:basedOn w:val="Normal"/>
    <w:link w:val="BalloonTextChar"/>
    <w:uiPriority w:val="99"/>
    <w:semiHidden/>
    <w:unhideWhenUsed/>
    <w:rsid w:val="000934AE"/>
    <w:rPr>
      <w:sz w:val="18"/>
      <w:szCs w:val="18"/>
    </w:rPr>
  </w:style>
  <w:style w:type="character" w:customStyle="1" w:styleId="BalloonTextChar">
    <w:name w:val="Balloon Text Char"/>
    <w:basedOn w:val="DefaultParagraphFont"/>
    <w:link w:val="BalloonText"/>
    <w:uiPriority w:val="99"/>
    <w:semiHidden/>
    <w:rsid w:val="000934AE"/>
    <w:rPr>
      <w:rFonts w:ascii="Times New Roman" w:hAnsi="Times New Roman" w:cs="Times New Roman"/>
      <w:kern w:val="0"/>
      <w:sz w:val="18"/>
      <w:szCs w:val="18"/>
      <w:bdr w:val="nil"/>
      <w:lang w:eastAsia="en-US"/>
    </w:rPr>
  </w:style>
  <w:style w:type="paragraph" w:styleId="ListParagraph">
    <w:name w:val="List Paragraph"/>
    <w:basedOn w:val="Normal"/>
    <w:uiPriority w:val="34"/>
    <w:qFormat/>
    <w:rsid w:val="0027641C"/>
    <w:pPr>
      <w:ind w:firstLineChars="200" w:firstLine="420"/>
    </w:pPr>
  </w:style>
  <w:style w:type="character" w:styleId="CommentReference">
    <w:name w:val="annotation reference"/>
    <w:basedOn w:val="DefaultParagraphFont"/>
    <w:uiPriority w:val="99"/>
    <w:semiHidden/>
    <w:unhideWhenUsed/>
    <w:rsid w:val="00283165"/>
    <w:rPr>
      <w:sz w:val="16"/>
      <w:szCs w:val="16"/>
    </w:rPr>
  </w:style>
  <w:style w:type="paragraph" w:styleId="CommentText">
    <w:name w:val="annotation text"/>
    <w:basedOn w:val="Normal"/>
    <w:link w:val="CommentTextChar"/>
    <w:uiPriority w:val="99"/>
    <w:semiHidden/>
    <w:unhideWhenUsed/>
    <w:rsid w:val="00283165"/>
    <w:rPr>
      <w:sz w:val="20"/>
      <w:szCs w:val="20"/>
    </w:rPr>
  </w:style>
  <w:style w:type="character" w:customStyle="1" w:styleId="CommentTextChar">
    <w:name w:val="Comment Text Char"/>
    <w:basedOn w:val="DefaultParagraphFont"/>
    <w:link w:val="CommentText"/>
    <w:uiPriority w:val="99"/>
    <w:semiHidden/>
    <w:rsid w:val="00283165"/>
    <w:rPr>
      <w:rFonts w:ascii="Times New Roman" w:hAnsi="Times New Roman" w:cs="Times New Roman"/>
      <w:kern w:val="0"/>
      <w:sz w:val="20"/>
      <w:szCs w:val="20"/>
      <w:bdr w:val="nil"/>
      <w:lang w:eastAsia="en-US"/>
    </w:rPr>
  </w:style>
  <w:style w:type="paragraph" w:styleId="CommentSubject">
    <w:name w:val="annotation subject"/>
    <w:basedOn w:val="CommentText"/>
    <w:next w:val="CommentText"/>
    <w:link w:val="CommentSubjectChar"/>
    <w:uiPriority w:val="99"/>
    <w:semiHidden/>
    <w:unhideWhenUsed/>
    <w:rsid w:val="00283165"/>
    <w:rPr>
      <w:b/>
      <w:bCs/>
    </w:rPr>
  </w:style>
  <w:style w:type="character" w:customStyle="1" w:styleId="CommentSubjectChar">
    <w:name w:val="Comment Subject Char"/>
    <w:basedOn w:val="CommentTextChar"/>
    <w:link w:val="CommentSubject"/>
    <w:uiPriority w:val="99"/>
    <w:semiHidden/>
    <w:rsid w:val="00283165"/>
    <w:rPr>
      <w:rFonts w:ascii="Times New Roman" w:hAnsi="Times New Roman" w:cs="Times New Roman"/>
      <w:b/>
      <w:bCs/>
      <w:kern w:val="0"/>
      <w:sz w:val="20"/>
      <w:szCs w:val="20"/>
      <w:bdr w:val="nil"/>
      <w:lang w:eastAsia="en-US"/>
    </w:rPr>
  </w:style>
  <w:style w:type="paragraph" w:customStyle="1" w:styleId="MDPI31text">
    <w:name w:val="MDPI_3.1_text"/>
    <w:rsid w:val="00F04D87"/>
    <w:pPr>
      <w:pBdr>
        <w:top w:val="nil"/>
        <w:left w:val="nil"/>
        <w:bottom w:val="nil"/>
        <w:right w:val="nil"/>
        <w:between w:val="nil"/>
        <w:bar w:val="nil"/>
      </w:pBdr>
      <w:spacing w:line="260" w:lineRule="atLeast"/>
      <w:ind w:firstLine="425"/>
      <w:jc w:val="both"/>
    </w:pPr>
    <w:rPr>
      <w:rFonts w:ascii="Palatino Linotype" w:eastAsia="Palatino Linotype" w:hAnsi="Palatino Linotype" w:cs="Palatino Linotype"/>
      <w:color w:val="000000"/>
      <w:kern w:val="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153330">
      <w:bodyDiv w:val="1"/>
      <w:marLeft w:val="0"/>
      <w:marRight w:val="0"/>
      <w:marTop w:val="0"/>
      <w:marBottom w:val="0"/>
      <w:divBdr>
        <w:top w:val="none" w:sz="0" w:space="0" w:color="auto"/>
        <w:left w:val="none" w:sz="0" w:space="0" w:color="auto"/>
        <w:bottom w:val="none" w:sz="0" w:space="0" w:color="auto"/>
        <w:right w:val="none" w:sz="0" w:space="0" w:color="auto"/>
      </w:divBdr>
    </w:div>
    <w:div w:id="203608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D4037-9EA2-4936-8948-6B84A7BD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2645</TotalTime>
  <Pages>9</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Bolin Song</dc:creator>
  <cp:keywords/>
  <dc:description/>
  <cp:lastModifiedBy>Naimeng Liu</cp:lastModifiedBy>
  <cp:revision>30</cp:revision>
  <dcterms:created xsi:type="dcterms:W3CDTF">2020-09-28T20:19:00Z</dcterms:created>
  <dcterms:modified xsi:type="dcterms:W3CDTF">2021-08-17T06:39:00Z</dcterms:modified>
</cp:coreProperties>
</file>