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E708" w14:textId="0B61ABAC" w:rsidR="00E86CCA" w:rsidRDefault="00E86CCA"/>
    <w:p w14:paraId="3738FBE9" w14:textId="10750BBA" w:rsidR="0022684D" w:rsidRPr="00096B1A" w:rsidRDefault="0022684D" w:rsidP="002268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Arial" w:hAnsi="Arial" w:cs="Arial"/>
          <w:color w:val="000000"/>
        </w:rPr>
      </w:pPr>
      <w:r w:rsidRPr="00815224">
        <w:rPr>
          <w:rFonts w:ascii="Arial" w:hAnsi="Arial" w:cs="Arial"/>
          <w:b/>
          <w:color w:val="000000"/>
        </w:rPr>
        <w:t>Supplemental Materials and Methods</w:t>
      </w:r>
      <w:r w:rsidR="00096B1A" w:rsidRPr="00815224">
        <w:rPr>
          <w:rFonts w:ascii="Arial" w:hAnsi="Arial" w:cs="Arial"/>
          <w:b/>
          <w:color w:val="000000"/>
        </w:rPr>
        <w:t xml:space="preserve"> including Tables for Antibodies and Primers</w:t>
      </w:r>
    </w:p>
    <w:p w14:paraId="2024D943" w14:textId="77777777" w:rsidR="0022684D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</w:p>
    <w:p w14:paraId="7A0F87C8" w14:textId="5F3337BA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fr-FR"/>
        </w:rPr>
      </w:pPr>
      <w:r w:rsidRPr="00047DC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 xml:space="preserve">Cell culture </w:t>
      </w:r>
    </w:p>
    <w:p w14:paraId="40D8F58C" w14:textId="478A5C50" w:rsidR="0022684D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All cultures were performed in complete medium consisting of RPMI 1640 supplemented with 10% FCS and antibiotics (</w:t>
      </w:r>
      <w:hyperlink r:id="rId4" w:tgtFrame="_blank"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fr-FR"/>
          </w:rPr>
          <w:t>All</w:t>
        </w:r>
      </w:hyperlink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from Gibco, Life Technologies, Grand Island, NY). Tonsil-derived LZ B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fr-FR"/>
        </w:rPr>
        <w:t>GC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-cells were cultured at 0.8 x 10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5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cells/ml and stimulated for 12 h or 24 h </w:t>
      </w:r>
      <w:r>
        <w:rPr>
          <w:rFonts w:ascii="Arial" w:eastAsia="Times New Roman" w:hAnsi="Arial" w:cs="Arial"/>
          <w:sz w:val="20"/>
          <w:szCs w:val="20"/>
          <w:lang w:eastAsia="fr-FR"/>
        </w:rPr>
        <w:t>with 10 ng/ml recombinant human (rh) IL-4 (</w:t>
      </w:r>
      <w:hyperlink r:id="rId5" w:tgtFrame="_blank">
        <w:r>
          <w:rPr>
            <w:rFonts w:ascii="Arial" w:eastAsia="Times New Roman" w:hAnsi="Arial" w:cs="Arial"/>
            <w:sz w:val="20"/>
            <w:szCs w:val="20"/>
            <w:lang w:eastAsia="fr-FR"/>
          </w:rPr>
          <w:t>R&amp;D Systems</w:t>
        </w:r>
      </w:hyperlink>
      <w:r>
        <w:rPr>
          <w:rFonts w:ascii="Arial" w:eastAsia="Times New Roman" w:hAnsi="Arial" w:cs="Arial"/>
          <w:sz w:val="20"/>
          <w:szCs w:val="20"/>
          <w:lang w:eastAsia="fr-FR"/>
        </w:rPr>
        <w:t>, Minneapolis, MN),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477EC9">
        <w:rPr>
          <w:rFonts w:ascii="Arial" w:eastAsia="Times New Roman" w:hAnsi="Arial" w:cs="Arial"/>
          <w:sz w:val="20"/>
          <w:szCs w:val="20"/>
          <w:lang w:eastAsia="fr-FR"/>
        </w:rPr>
        <w:t xml:space="preserve">200 </w:t>
      </w:r>
      <w:r>
        <w:rPr>
          <w:rFonts w:ascii="Arial" w:eastAsia="Times New Roman" w:hAnsi="Arial" w:cs="Arial"/>
          <w:sz w:val="20"/>
          <w:szCs w:val="20"/>
          <w:lang w:eastAsia="fr-FR"/>
        </w:rPr>
        <w:t>ng/ml soluble rhCD40L (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Immunex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) and 50 </w:t>
      </w:r>
      <w:r w:rsidR="00477EC9">
        <w:rPr>
          <w:rFonts w:ascii="Arial" w:eastAsia="Times New Roman" w:hAnsi="Arial" w:cs="Arial"/>
          <w:sz w:val="20"/>
          <w:szCs w:val="20"/>
          <w:lang w:eastAsia="fr-FR"/>
        </w:rPr>
        <w:t>ng</w:t>
      </w:r>
      <w:r>
        <w:rPr>
          <w:rFonts w:ascii="Arial" w:eastAsia="Times New Roman" w:hAnsi="Arial" w:cs="Arial"/>
          <w:sz w:val="20"/>
          <w:szCs w:val="20"/>
          <w:lang w:eastAsia="fr-FR"/>
        </w:rPr>
        <w:t>/mL rhIL-21 (Miltenyi Biotech).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477EC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For RNA expression analysis, CD23- and CD23+ subsets were then cell-sorted after staining with </w:t>
      </w:r>
      <w:proofErr w:type="spellStart"/>
      <w:r w:rsidR="00477EC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Caspglow</w:t>
      </w:r>
      <w:proofErr w:type="spellEnd"/>
      <w:r w:rsidR="00477EC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-FITC (to exclude apoptotic and dead cells), CD38 and CD138 (to exclude a potential contamination with PB or PC).</w:t>
      </w:r>
    </w:p>
    <w:p w14:paraId="5E50D94B" w14:textId="77777777" w:rsidR="0022684D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For differentiation experiments, CD23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and CD23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-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LZ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  <w:vertAlign w:val="subscript"/>
        </w:rPr>
        <w:t>GC</w:t>
      </w:r>
      <w:r>
        <w:rPr>
          <w:rFonts w:ascii="Arial" w:hAnsi="Arial" w:cs="Arial"/>
          <w:sz w:val="20"/>
          <w:szCs w:val="20"/>
        </w:rPr>
        <w:t>-cells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obtained after 24h of culture with IL-4, CD40L and IL-21 were sorted by the BD FACS Aria and then cultured for 48 h </w:t>
      </w:r>
      <w:r>
        <w:rPr>
          <w:rFonts w:ascii="Arial" w:eastAsia="Times New Roman" w:hAnsi="Arial" w:cs="Arial"/>
          <w:sz w:val="20"/>
          <w:szCs w:val="20"/>
          <w:lang w:eastAsia="fr-FR"/>
        </w:rPr>
        <w:t>with 50 U/ml rhIL-2 (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Proleukin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Novartis),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10 ng/ml rhIL-4 (</w:t>
      </w:r>
      <w:hyperlink r:id="rId6" w:tgtFrame="_blank">
        <w:r>
          <w:rPr>
            <w:rFonts w:ascii="Arial" w:eastAsia="Times New Roman" w:hAnsi="Arial" w:cs="Arial"/>
            <w:sz w:val="20"/>
            <w:szCs w:val="20"/>
            <w:lang w:eastAsia="fr-FR"/>
          </w:rPr>
          <w:t>R&amp;D Systems</w:t>
        </w:r>
      </w:hyperlink>
      <w:r>
        <w:rPr>
          <w:rFonts w:ascii="Arial" w:eastAsia="Times New Roman" w:hAnsi="Arial" w:cs="Arial"/>
          <w:sz w:val="20"/>
          <w:szCs w:val="20"/>
          <w:lang w:eastAsia="fr-FR"/>
        </w:rPr>
        <w:t>)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and 12 ng/ml rhIL-10 (R&amp;D Systems). </w:t>
      </w:r>
    </w:p>
    <w:p w14:paraId="5EACFF7D" w14:textId="1066963C" w:rsidR="0022684D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For cocultures between LZ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  <w:vertAlign w:val="subscript"/>
        </w:rPr>
        <w:t>GC</w:t>
      </w:r>
      <w:r>
        <w:rPr>
          <w:rFonts w:ascii="Arial" w:hAnsi="Arial" w:cs="Arial"/>
          <w:sz w:val="20"/>
          <w:szCs w:val="20"/>
        </w:rPr>
        <w:t xml:space="preserve"> cells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and Tfh cells,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autologous CD4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T cells were purified by negative selection using magnetic cell separation with CD19, CD8, CD16 and CD14 purified mouse monoclonal antibodies (Beckman Coulter, Brea, CA) followed by anti-mouse microbeads (Miltenyi Biotech) with the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AutoMACS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deplete-sensitive program. Tfh cells (CD4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CXCR5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65753B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ICOS</w:t>
      </w:r>
      <w:r w:rsidR="0065753B" w:rsidRPr="0065753B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 w:rsidR="0065753B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PD1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) were then sorted by the BD FACS Aria cell sorter. Tfh cells were added to LZ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  <w:vertAlign w:val="subscript"/>
        </w:rPr>
        <w:t>GC</w:t>
      </w:r>
      <w:r>
        <w:rPr>
          <w:rFonts w:ascii="Arial" w:hAnsi="Arial" w:cs="Arial"/>
          <w:sz w:val="20"/>
          <w:szCs w:val="20"/>
        </w:rPr>
        <w:t>-cells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(ratio 1T:2B) with 0.2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μg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/ml anti-CD3 plus 0.2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μg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/ml anti-CD28 (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PeliCluster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Sanquin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, Amsterdam, The Netherlands) or 250 µg/mL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taphylococcal Enterotoxin B</w:t>
      </w:r>
      <w:r>
        <w:rPr>
          <w:rFonts w:ascii="Arial" w:hAnsi="Arial" w:cs="Arial"/>
          <w:sz w:val="20"/>
          <w:szCs w:val="20"/>
        </w:rPr>
        <w:t xml:space="preserve"> (SEB, Sigma-Aldrich)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during 24h. </w:t>
      </w:r>
    </w:p>
    <w:p w14:paraId="2DD2582C" w14:textId="77777777" w:rsidR="0022684D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For pSTAT6 inhibition, LZ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  <w:vertAlign w:val="subscript"/>
        </w:rPr>
        <w:t>GC</w:t>
      </w:r>
      <w:r>
        <w:rPr>
          <w:rFonts w:ascii="Arial" w:hAnsi="Arial" w:cs="Arial"/>
          <w:sz w:val="20"/>
          <w:szCs w:val="20"/>
        </w:rPr>
        <w:t>-cells</w:t>
      </w:r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  <w:t xml:space="preserve"> were cultured with 1µM of pSTAT6 inhibitor (#AS1517499, Axon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  <w:t>Medchem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  <w:t xml:space="preserve">, Groningen, The Netherlands) or DMSO during 24 h in complete medium.  </w:t>
      </w:r>
    </w:p>
    <w:p w14:paraId="798D49D3" w14:textId="77777777" w:rsidR="0022684D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3C562C8C" w14:textId="77777777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047DC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Surface and intracellular staining for flow cytometry </w:t>
      </w:r>
    </w:p>
    <w:p w14:paraId="50F7CB4E" w14:textId="77777777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NBC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s were defined as CD19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IgD</w:t>
      </w:r>
      <w:proofErr w:type="spellEnd"/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CD38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-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MBCs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as CD19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CD38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-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CD27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and B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fr-FR"/>
        </w:rPr>
        <w:t>GC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-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cells as CD19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IgD</w:t>
      </w:r>
      <w:proofErr w:type="spellEnd"/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 xml:space="preserve">- 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CD38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fr-FR"/>
        </w:rPr>
        <w:t>+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. </w:t>
      </w:r>
    </w:p>
    <w:p w14:paraId="4D3F3E03" w14:textId="5ED676AD" w:rsidR="0022684D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For intracellular staining of pSTAT6, cells were fixed with 1.6% paraformaldehyde in complete medium during 10 minutes at room temperature. After a wash in PBS, cells were permeabilized with cold methanol during 15 m</w:t>
      </w:r>
      <w:r w:rsidR="006137D8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n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on ice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. Cells were then labelled with STAT6(pY641)-Alexa 488 and CD23-PE antibodies for 15 m</w:t>
      </w:r>
      <w:r w:rsidR="006137D8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n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at 4°C. Data were acquired on a </w:t>
      </w:r>
      <w:proofErr w:type="spellStart"/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CytoFLEX</w:t>
      </w:r>
      <w:proofErr w:type="spellEnd"/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flow cytometer (Beckman Coulter) and analyzed using </w:t>
      </w:r>
      <w:proofErr w:type="spellStart"/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FlowJo</w:t>
      </w:r>
      <w:proofErr w:type="spellEnd"/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software.</w:t>
      </w:r>
    </w:p>
    <w:p w14:paraId="127A5F13" w14:textId="77777777" w:rsidR="00477EC9" w:rsidRDefault="00477EC9" w:rsidP="00477EC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For intracellular staining of KI67, cells were fixed and permeabilized using the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cytofix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/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cytoperm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buffer set (BD Biosciences). For intracellular staining of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cMYC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, p-S6, BCL6 and BLIMP1, cells were fixed and permeabilized using the Transcription Factor buffer set (BD Biosciences).</w:t>
      </w:r>
    </w:p>
    <w:p w14:paraId="0E3AC84B" w14:textId="77777777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bookmarkStart w:id="0" w:name="_Hlk86069736"/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All monoclonal antibodies (mAbs) used are detailed in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Supplemental </w:t>
      </w:r>
      <w:r w:rsidRPr="00A72A4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Table I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.</w:t>
      </w:r>
    </w:p>
    <w:bookmarkEnd w:id="0"/>
    <w:p w14:paraId="00229880" w14:textId="77777777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240DF1E2" w14:textId="77777777" w:rsidR="00AC2C1B" w:rsidRPr="00047DC5" w:rsidRDefault="00AC2C1B" w:rsidP="00AC2C1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>qRT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>-</w:t>
      </w:r>
      <w:r w:rsidRPr="00047DC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 xml:space="preserve">PCR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FR"/>
        </w:rPr>
        <w:t>analysis</w:t>
      </w:r>
    </w:p>
    <w:p w14:paraId="2D8BCB9A" w14:textId="58104C81" w:rsidR="000C55DD" w:rsidRPr="00886182" w:rsidRDefault="00AC2C1B" w:rsidP="00AC2C1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fr-FR"/>
        </w:rPr>
      </w:pP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RNA was extracted using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NucloSpin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RNA Plus XS Kit (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Macherey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-Nagel) and reverse transcribed into cDNA with Superscript II (Invitrogen). Multiplex qPCR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s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w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ere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performed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using the TaqMan Gene Expression Master Mix </w:t>
      </w:r>
      <w:r w:rsidRPr="00047DC5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fr-FR"/>
        </w:rPr>
        <w:t>(</w:t>
      </w:r>
      <w:r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fr-FR"/>
        </w:rPr>
        <w:t>Applied Biosystems</w:t>
      </w:r>
      <w:r w:rsidRPr="00047DC5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fr-FR"/>
        </w:rPr>
        <w:t xml:space="preserve">) </w:t>
      </w:r>
      <w:r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fr-FR"/>
        </w:rPr>
        <w:t xml:space="preserve">and run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on a 96.96 Dynamic Array IFC using the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Fluidigm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BioMark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HD system.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All TaqMan primers (</w:t>
      </w:r>
      <w:r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fr-FR"/>
        </w:rPr>
        <w:t>Applied Biosystems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)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used in this study are listed in </w:t>
      </w:r>
      <w:r w:rsidRPr="00131FF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Supplemental table II.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Gene expression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levels were quantified using </w:t>
      </w:r>
      <w:r w:rsidRPr="00047DC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fr-FR"/>
        </w:rPr>
        <w:t>ABL1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gene as endogenous control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. The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2 exp(-</w:t>
      </w:r>
      <w:r w:rsidRPr="00047DC5">
        <w:rPr>
          <w:rFonts w:ascii="Arial" w:hAnsi="Arial" w:cs="Arial"/>
          <w:sz w:val="20"/>
          <w:szCs w:val="20"/>
        </w:rPr>
        <w:t>∆∆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Ct) method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was used to determine the relative expression of each gene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.</w:t>
      </w:r>
    </w:p>
    <w:p w14:paraId="4619744D" w14:textId="7DF9FBA6" w:rsidR="00557D30" w:rsidRDefault="00790518">
      <w:pPr>
        <w:pStyle w:val="Heading1"/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lastRenderedPageBreak/>
        <w:t>For s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ingle</w:t>
      </w:r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-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cell </w:t>
      </w:r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experiments</w:t>
      </w:r>
      <w:r w:rsidR="000C55D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="00662EB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expression data</w:t>
      </w:r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was </w:t>
      </w:r>
      <w:r w:rsidR="003959C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imported </w:t>
      </w:r>
      <w:r w:rsidR="00662EB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i</w:t>
      </w:r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n R version </w:t>
      </w:r>
      <w:r w:rsidR="00662EB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3</w:t>
      </w:r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.6.</w:t>
      </w:r>
      <w:r w:rsidR="0037293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2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with </w:t>
      </w:r>
      <w:r w:rsidR="00E81A6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the </w:t>
      </w:r>
      <w:proofErr w:type="spellStart"/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F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luid</w:t>
      </w:r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i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gm</w:t>
      </w:r>
      <w:proofErr w:type="spellEnd"/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SC package (version 3.6.2) (Sun and Wang, 2017). Quality control, data scaling</w:t>
      </w:r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,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dimensionality reduction </w:t>
      </w:r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and clustering 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analysis were performed using the Seurat package (version 3.1.3) (Stuart </w:t>
      </w:r>
      <w:r w:rsidR="00AC2C1B" w:rsidRPr="00047DC5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fr-FR"/>
        </w:rPr>
        <w:t xml:space="preserve">et al., 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2019). Particularly, UMAP computation was executed on PCA coordinates using the following parameters: dims=1:5, </w:t>
      </w:r>
      <w:proofErr w:type="spellStart"/>
      <w:proofErr w:type="gramStart"/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n.neighbors</w:t>
      </w:r>
      <w:proofErr w:type="spellEnd"/>
      <w:proofErr w:type="gramEnd"/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=</w:t>
      </w:r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15, </w:t>
      </w:r>
      <w:proofErr w:type="spellStart"/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min.dist</w:t>
      </w:r>
      <w:proofErr w:type="spellEnd"/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=</w:t>
      </w:r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0.45. Based on this UMAP results, Monocle3 package (version 0.2.0) was used to produce cell trajectory, which was ordered according to </w:t>
      </w:r>
      <w:r w:rsidR="00AC2C1B"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LZ B</w:t>
      </w:r>
      <w:r w:rsidR="00AC2C1B" w:rsidRPr="00047DC5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  <w:lang w:eastAsia="fr-FR"/>
        </w:rPr>
        <w:t>GC</w:t>
      </w:r>
      <w:r w:rsidR="00AC2C1B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-</w:t>
      </w:r>
      <w:r w:rsidR="00AC2C1B" w:rsidRPr="00047DC5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cells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and </w:t>
      </w:r>
      <w:r w:rsidR="00AC2C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plasmablasts</w:t>
      </w:r>
      <w:r w:rsidR="00AC2C1B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coordinates. </w:t>
      </w:r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Continuous gene expression</w:t>
      </w:r>
      <w:r w:rsidR="00662EB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s</w:t>
      </w:r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according to </w:t>
      </w:r>
      <w:proofErr w:type="spellStart"/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pseudotime</w:t>
      </w:r>
      <w:proofErr w:type="spellEnd"/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were estimated by fitting generalized additive models with </w:t>
      </w:r>
      <w:r w:rsidR="00662EB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the </w:t>
      </w:r>
      <w:proofErr w:type="spellStart"/>
      <w:r w:rsidR="00662EB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mgcv</w:t>
      </w:r>
      <w:proofErr w:type="spellEnd"/>
      <w:r w:rsidR="00662EB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R package (version 1.8.37) (Wood, 2010</w:t>
      </w:r>
      <w:r w:rsidR="0088618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, </w:t>
      </w:r>
      <w:r w:rsidR="00886182" w:rsidRPr="0088618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https://doi.org/10.1111/j.1467-9868.2010.00749.x</w:t>
      </w:r>
      <w:r w:rsidR="00662EB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) and using the REML smoothing parameter estimation method.</w:t>
      </w:r>
    </w:p>
    <w:p w14:paraId="52F645F0" w14:textId="69A0107C" w:rsidR="00AC2C1B" w:rsidRPr="00047DC5" w:rsidRDefault="00AC2C1B" w:rsidP="00886182">
      <w:pPr>
        <w:pStyle w:val="Heading1"/>
        <w:spacing w:line="36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Graphical representations of </w:t>
      </w:r>
      <w:r w:rsidR="00EC3AE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clustering results and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gene expression according to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pseudotime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were performed using ggplot2 (version 3.3.0) (Wickham </w:t>
      </w:r>
      <w:r w:rsidRPr="00047DC5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fr-FR"/>
        </w:rPr>
        <w:t xml:space="preserve">et al.,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2016)</w:t>
      </w:r>
      <w:r w:rsidR="00EC3AE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,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="009C3F1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p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heatmap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(version 1.0.12) (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Kolde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Pr="00047DC5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fr-FR"/>
        </w:rPr>
        <w:t xml:space="preserve">et al.,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2019) </w:t>
      </w:r>
      <w:r w:rsidR="00EC3AE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and </w:t>
      </w:r>
      <w:proofErr w:type="spellStart"/>
      <w:r w:rsidR="00EC3AE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clustree</w:t>
      </w:r>
      <w:proofErr w:type="spellEnd"/>
      <w:r w:rsidR="00EC3AE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(version 0.4.3) (</w:t>
      </w:r>
      <w:proofErr w:type="spellStart"/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Zapia</w:t>
      </w:r>
      <w:proofErr w:type="spellEnd"/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and </w:t>
      </w:r>
      <w:proofErr w:type="spellStart"/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Oshlack</w:t>
      </w:r>
      <w:proofErr w:type="spellEnd"/>
      <w:r w:rsidR="00557D3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2018</w:t>
      </w:r>
      <w:r w:rsidR="0088618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, </w:t>
      </w:r>
      <w:r w:rsidR="00886182" w:rsidRPr="0088618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10.1093/</w:t>
      </w:r>
      <w:proofErr w:type="spellStart"/>
      <w:r w:rsidR="00886182" w:rsidRPr="0088618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gigascience</w:t>
      </w:r>
      <w:proofErr w:type="spellEnd"/>
      <w:r w:rsidR="00886182" w:rsidRPr="0088618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/giy083</w:t>
      </w:r>
      <w:r w:rsidR="00EC3AE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)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packages.</w:t>
      </w:r>
    </w:p>
    <w:p w14:paraId="176528C8" w14:textId="77777777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</w:p>
    <w:p w14:paraId="1EDA4BA9" w14:textId="77777777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047DC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5 ́Rapid Amplification of cDNA Ends PCR (RACE PCR) </w:t>
      </w:r>
    </w:p>
    <w:p w14:paraId="3795656A" w14:textId="2FD0FDEF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A mix containing </w:t>
      </w:r>
      <w:r w:rsidR="003657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500 ng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mRNAs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fr-FR"/>
        </w:rPr>
        <w:t xml:space="preserve"> of CD23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fr-FR"/>
        </w:rPr>
        <w:t>+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fr-FR"/>
        </w:rPr>
        <w:t xml:space="preserve"> and CD23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eastAsia="fr-FR"/>
        </w:rPr>
        <w:t>-</w:t>
      </w:r>
      <w:r w:rsidRPr="00047DC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fr-FR"/>
        </w:rPr>
        <w:t xml:space="preserve"> lymph node-derived LZ </w:t>
      </w:r>
      <w:r w:rsidRPr="00047DC5">
        <w:rPr>
          <w:rFonts w:ascii="Arial" w:hAnsi="Arial" w:cs="Arial"/>
          <w:sz w:val="20"/>
          <w:szCs w:val="20"/>
        </w:rPr>
        <w:t>B</w:t>
      </w:r>
      <w:r w:rsidRPr="00047DC5">
        <w:rPr>
          <w:rFonts w:ascii="Arial" w:hAnsi="Arial" w:cs="Arial"/>
          <w:sz w:val="20"/>
          <w:szCs w:val="20"/>
          <w:vertAlign w:val="subscript"/>
        </w:rPr>
        <w:t>GC</w:t>
      </w:r>
      <w:r>
        <w:rPr>
          <w:rFonts w:ascii="Arial" w:hAnsi="Arial" w:cs="Arial"/>
          <w:sz w:val="20"/>
          <w:szCs w:val="20"/>
        </w:rPr>
        <w:t>-</w:t>
      </w:r>
      <w:r w:rsidRPr="00047DC5">
        <w:rPr>
          <w:rFonts w:ascii="Arial" w:hAnsi="Arial" w:cs="Arial"/>
          <w:sz w:val="20"/>
          <w:szCs w:val="20"/>
        </w:rPr>
        <w:t>cells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, 1µL of 10µM reverse primer complementary to IGHM</w:t>
      </w:r>
      <w:r w:rsidR="006137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,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IGHG, IGL and IGK constant regions (5’-CGGGTRCTGCTGATGTCAGA-3’, 5’-GTGTTGCTGGGCTTGTGAT-3’, 5’-GACTTCGCAGGCGTAGACTT-3’, 5’-CTGGCCGCYTACTTGTTGTT-3’, respectively), and 1µL-deoxynucleoside 5’-triphosphate solution mix (New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EnglandBiolabs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), adjusted to a final volume of 12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µ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L with water, was incubated for 3 m</w:t>
      </w:r>
      <w:r w:rsidR="006137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i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n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at 72°C and 2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m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n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at 42°C. After a short spin, the mix was placed on ice for 2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m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n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. Then, 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a mix of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4µL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ProtoScript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buffer, 2µL dithiothreitol solution, 1µL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ProtoScriptII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(New England Biolabs), and 1µL cap-race primer (5’-AAGCAGTGGTATCAACGCAGAGTACAT[GGGG]-3’, with the 4 G </w:t>
      </w:r>
      <w:r w:rsidR="006137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in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brackets </w:t>
      </w:r>
      <w:r w:rsidR="006137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are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ribonucleotides) was incubated 90 min at 42°C and 10 min at 70°C. At the end of the reaction, 20µL 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of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RNAse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free water was added. </w:t>
      </w:r>
    </w:p>
    <w:p w14:paraId="7960773C" w14:textId="5324438F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The cDNA was amplified with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TaqPhusion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(New England Biolabs), using a universal forward primer mix (5’-CTAATACGACTCACTATAGGGC-3’ and 5’-CTAATACGACTCACTATAGGGCAAGCAGTGGTATCAACGCAGAGT-3’, in a ratio of 4:1) and a 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custom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reverse primer 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specific</w:t>
      </w:r>
      <w:r w:rsidR="006137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of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IGHM IGHG, IGL and IGK constant exons (5’-GTCTCGTGGGCTCGGAGATGTGTATAAGAGACAGCTCGTATCCGACGGGGAATT-3’, 5’-GTCTCGTGGGCTCGGAGATGTGTATAAGAGACAGCGGTTCGGGGAAGTAGTCC-3’, 5’-GTCTCGTGGGCTCGGAGATGTGTATAAGAGACAGGCGGGAAGATGAAGACAGAT-3’, 5’-GTCTCGTGGGCTCGGAGATGTGTATAAGAGACAGGTTGGCTTGYAGCTCCTCAG-3’). Each PCR was performed in four replicates. Cycling conditions were 30 s at 98°C, 32 cycles of 30 s at 98°C, 30 s at 65°C, 30 s at 72°C, </w:t>
      </w:r>
      <w:r w:rsidR="006137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with a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final elongation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of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5 min at 72°C. The 4 replicates were pooled and migrated on an agarose gel, and the fragments of interest were purified using the kit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Nucleospin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gel and PCR clean-up </w:t>
      </w:r>
      <w:r w:rsidR="006137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kits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(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Macherey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-Nagel). Then, Illumina sequencing adapter and tag sequences were added by primer extension using Taq Phusion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="00223174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(New England Biolabs)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. 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Samples were </w:t>
      </w:r>
      <w:proofErr w:type="gramStart"/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divide</w:t>
      </w:r>
      <w:proofErr w:type="gramEnd"/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into 4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replicates 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and PCR was performed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using 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unique tags for each replicates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. Cycling conditions were 30 s at 98°C, 12 cycles of 30 s at 98°C, 30 s at 65°C, 30 s at 72°C, and final elongation 5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m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n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at 72°C. The 4 replicates were mixed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proofErr w:type="gramStart"/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and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gel</w:t>
      </w:r>
      <w:proofErr w:type="gram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purified as previously.</w:t>
      </w:r>
    </w:p>
    <w:p w14:paraId="01FAB679" w14:textId="3E439538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Resulting amplicons were sequenced on an Illumina MiSeq sequencing system using MiSeq Reagent Kit V3 600 cycles</w:t>
      </w:r>
      <w:r w:rsidR="0022317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Illumina)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. Paired reads were merged using FLASH software. Repertoire analysis was performed using IMGT/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HighV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-QUEST tool (http://imgt.org/) for sequence alignments</w:t>
      </w:r>
      <w:r w:rsidR="0072528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,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annotations</w:t>
      </w:r>
      <w:r w:rsidR="0072528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and mutations frequency and </w:t>
      </w:r>
      <w:r w:rsidR="00725287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amino acid (</w:t>
      </w:r>
      <w:proofErr w:type="gramStart"/>
      <w:r w:rsidR="00725287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AA) </w:t>
      </w:r>
      <w:r w:rsidR="0072528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changes</w:t>
      </w:r>
      <w:proofErr w:type="gramEnd"/>
      <w:r w:rsidR="0072528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are depicted for each region.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="0072528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We developed an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inhouse R script to identify clonotype</w:t>
      </w:r>
      <w:r w:rsidR="0072528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.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Briefly, reads were considered to originate from the same clonotype if they share the same V and J genes and a significant similarity in their CDR3 sequence. To define the extent of variability allowed between CDR3, each CDR3 AA sequence was aligned against itself to define a maximum alignment score. Then all CDR3 from reads bearing the same V and J genes were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lastRenderedPageBreak/>
        <w:t>aligned against each other. CDR3 were considered as coming from the same clonotype if their alignment score was superior or equal to 70% of their maximum alignment score, and grouped together.</w:t>
      </w:r>
    </w:p>
    <w:p w14:paraId="7B2843D9" w14:textId="2434D80B" w:rsidR="0022684D" w:rsidRPr="00047DC5" w:rsidRDefault="0022684D" w:rsidP="0022684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The B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cell repertoire was studied for each IgM and IgG libraries for each patient. </w:t>
      </w:r>
      <w:r w:rsidR="006137D8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The Venn diagram shows distribution of unique and overlapping CD23</w:t>
      </w:r>
      <w:r w:rsidR="006137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+</w:t>
      </w:r>
      <w:r w:rsidR="006137D8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and CD23</w:t>
      </w:r>
      <w:r w:rsidR="006137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-</w:t>
      </w:r>
      <w:r w:rsidR="006137D8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CDR3 AA clonotypes (</w:t>
      </w:r>
      <w:proofErr w:type="spellStart"/>
      <w:r w:rsidR="006137D8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VennDiagram</w:t>
      </w:r>
      <w:proofErr w:type="spellEnd"/>
      <w:r w:rsidR="006137D8"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R package v1.6.20). </w:t>
      </w:r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The CDR3 AA clonotypes in common between IgG and IgM for each patient are represented in a 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Circos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plot (</w:t>
      </w:r>
      <w:proofErr w:type="spellStart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circlize</w:t>
      </w:r>
      <w:proofErr w:type="spellEnd"/>
      <w:r w:rsidRPr="00047D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R package v0.4.10). The histogram track, displayed for each population, illustrates the relative proportion of the number of sequences representing each CDR3 AA clonotype as a fraction of the total number of sequences for a sample. V-gene usages complement the characterization of each repertoire. The Fisher exact test was used to compare V-gene usage between the two populations for each repertoire.</w:t>
      </w:r>
    </w:p>
    <w:p w14:paraId="52BFC373" w14:textId="77777777" w:rsidR="0022684D" w:rsidRPr="00047DC5" w:rsidRDefault="0022684D" w:rsidP="0022684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</w:p>
    <w:p w14:paraId="6A439BC2" w14:textId="3EBB5D42" w:rsidR="000D3C9F" w:rsidRDefault="000D3C9F" w:rsidP="0022684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F58984" w14:textId="4AA94CF1" w:rsidR="000D3C9F" w:rsidRDefault="000D3C9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1F18B25" w14:textId="128FFF1A" w:rsidR="0010536B" w:rsidRDefault="0010536B" w:rsidP="0010536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8618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Supplemental Table </w:t>
      </w:r>
      <w:r w:rsidR="0081522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: Flow cytometry antibodies list</w:t>
      </w:r>
    </w:p>
    <w:p w14:paraId="3709F911" w14:textId="77777777" w:rsidR="00477EC9" w:rsidRDefault="00477EC9" w:rsidP="0010536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A73DF55" w14:textId="11F65D1B" w:rsidR="0010536B" w:rsidRDefault="00B913FC" w:rsidP="0010536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05B9D">
        <w:rPr>
          <w:noProof/>
        </w:rPr>
        <w:drawing>
          <wp:inline distT="0" distB="0" distL="0" distR="0" wp14:anchorId="335E8D28" wp14:editId="4DCDA048">
            <wp:extent cx="5756910" cy="7230110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23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BF9C" w14:textId="5449A23F" w:rsidR="000D3C9F" w:rsidRDefault="000D3C9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7E22C85" w14:textId="08AF6EB4" w:rsidR="000D3C9F" w:rsidRDefault="002C184E" w:rsidP="00886182">
      <w:pPr>
        <w:rPr>
          <w:rFonts w:ascii="Arial" w:hAnsi="Arial" w:cs="Arial"/>
          <w:color w:val="000000" w:themeColor="text1"/>
          <w:sz w:val="20"/>
          <w:szCs w:val="20"/>
        </w:rPr>
      </w:pPr>
      <w:r w:rsidRPr="002C184E">
        <w:rPr>
          <w:rFonts w:ascii="Arial" w:eastAsia="Times New Roman" w:hAnsi="Arial" w:cs="Arial"/>
          <w:b/>
          <w:bCs/>
          <w:color w:val="000000"/>
          <w:lang w:eastAsia="fr-FR"/>
        </w:rPr>
        <w:lastRenderedPageBreak/>
        <w:t xml:space="preserve"> </w:t>
      </w:r>
      <w:r w:rsidRPr="00886182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Supplemental Table </w:t>
      </w:r>
      <w:proofErr w:type="gramStart"/>
      <w:r w:rsidR="00815224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2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</w:t>
      </w:r>
      <w:r w:rsidRPr="00886182">
        <w:rPr>
          <w:rFonts w:ascii="Arial" w:eastAsia="Times New Roman" w:hAnsi="Arial" w:cs="Arial"/>
          <w:color w:val="000000"/>
          <w:lang w:eastAsia="fr-FR"/>
        </w:rPr>
        <w:t>List of TaqMan Assay-on-</w:t>
      </w:r>
      <w:proofErr w:type="spellStart"/>
      <w:r w:rsidRPr="00886182">
        <w:rPr>
          <w:rFonts w:ascii="Arial" w:eastAsia="Times New Roman" w:hAnsi="Arial" w:cs="Arial"/>
          <w:color w:val="000000"/>
          <w:lang w:eastAsia="fr-FR"/>
        </w:rPr>
        <w:t>Demand</w:t>
      </w:r>
      <w:r w:rsidRPr="00886182">
        <w:rPr>
          <w:rFonts w:ascii="Arial" w:eastAsia="Times New Roman" w:hAnsi="Arial" w:cs="Arial"/>
          <w:color w:val="000000"/>
          <w:vertAlign w:val="superscript"/>
          <w:lang w:eastAsia="fr-FR"/>
        </w:rPr>
        <w:t>TM</w:t>
      </w:r>
      <w:proofErr w:type="spellEnd"/>
      <w:r w:rsidRPr="002C184E">
        <w:rPr>
          <w:rFonts w:ascii="Arial" w:eastAsia="Times New Roman" w:hAnsi="Arial" w:cs="Arial"/>
          <w:b/>
          <w:bCs/>
          <w:color w:val="000000"/>
          <w:lang w:eastAsia="fr-FR"/>
        </w:rPr>
        <w:t>.</w:t>
      </w:r>
    </w:p>
    <w:p w14:paraId="3AD7085E" w14:textId="6668CC85" w:rsidR="000D3C9F" w:rsidRDefault="000D3C9F" w:rsidP="0022684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7B0A5E" w14:textId="29221212" w:rsidR="000D3C9F" w:rsidRPr="0046644F" w:rsidRDefault="002C184E" w:rsidP="0022684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13DF">
        <w:rPr>
          <w:noProof/>
        </w:rPr>
        <w:drawing>
          <wp:inline distT="0" distB="0" distL="0" distR="0" wp14:anchorId="1B1C08E5" wp14:editId="7ACC2C77">
            <wp:extent cx="5756910" cy="65665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3ABFE" w14:textId="6097F8F0" w:rsidR="00B81939" w:rsidRDefault="00B81939">
      <w:pPr>
        <w:spacing w:after="0"/>
      </w:pPr>
      <w:r>
        <w:br w:type="page"/>
      </w:r>
    </w:p>
    <w:p w14:paraId="6DF8D927" w14:textId="77777777" w:rsidR="00B81939" w:rsidRDefault="00B81939"/>
    <w:p w14:paraId="3CFC5440" w14:textId="47154DA9" w:rsidR="0022684D" w:rsidRDefault="00F83179">
      <w:pPr>
        <w:rPr>
          <w:sz w:val="24"/>
          <w:szCs w:val="24"/>
        </w:rPr>
      </w:pPr>
      <w:r w:rsidRPr="00886182">
        <w:rPr>
          <w:b/>
          <w:bCs/>
          <w:sz w:val="24"/>
          <w:szCs w:val="24"/>
          <w:u w:val="single"/>
        </w:rPr>
        <w:t xml:space="preserve">Supplemental Table </w:t>
      </w:r>
      <w:r w:rsidR="00815224">
        <w:rPr>
          <w:b/>
          <w:bCs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: list of antibodies for </w:t>
      </w:r>
      <w:proofErr w:type="spellStart"/>
      <w:r>
        <w:rPr>
          <w:sz w:val="24"/>
          <w:szCs w:val="24"/>
        </w:rPr>
        <w:t>immunohistofluorescence</w:t>
      </w:r>
      <w:proofErr w:type="spellEnd"/>
      <w:r>
        <w:rPr>
          <w:sz w:val="24"/>
          <w:szCs w:val="24"/>
        </w:rPr>
        <w:t xml:space="preserve"> </w:t>
      </w:r>
    </w:p>
    <w:p w14:paraId="3AC3C96E" w14:textId="04135C01" w:rsidR="00F83179" w:rsidRDefault="00F83179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689"/>
        <w:gridCol w:w="2348"/>
        <w:gridCol w:w="1366"/>
        <w:gridCol w:w="1400"/>
        <w:gridCol w:w="9"/>
      </w:tblGrid>
      <w:tr w:rsidR="00F83179" w:rsidRPr="00DF11D9" w14:paraId="0043593A" w14:textId="77777777" w:rsidTr="00A523E4">
        <w:trPr>
          <w:trHeight w:val="523"/>
          <w:jc w:val="center"/>
        </w:trPr>
        <w:tc>
          <w:tcPr>
            <w:tcW w:w="1999" w:type="dxa"/>
          </w:tcPr>
          <w:p w14:paraId="7262F0DF" w14:textId="77777777" w:rsidR="00F83179" w:rsidRPr="001D1AAF" w:rsidRDefault="00F83179" w:rsidP="00A523E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1A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Antibody target</w:t>
            </w:r>
          </w:p>
          <w:p w14:paraId="58BFA22E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D1A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species</w:t>
            </w:r>
            <w:proofErr w:type="gramEnd"/>
            <w:r w:rsidRPr="001D1A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raised in)</w:t>
            </w:r>
          </w:p>
        </w:tc>
        <w:tc>
          <w:tcPr>
            <w:tcW w:w="1689" w:type="dxa"/>
          </w:tcPr>
          <w:p w14:paraId="4ABDB2A0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Fluorochrome</w:t>
            </w:r>
          </w:p>
        </w:tc>
        <w:tc>
          <w:tcPr>
            <w:tcW w:w="2348" w:type="dxa"/>
          </w:tcPr>
          <w:p w14:paraId="6A7A7DE3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Manufacturer</w:t>
            </w:r>
          </w:p>
        </w:tc>
        <w:tc>
          <w:tcPr>
            <w:tcW w:w="1366" w:type="dxa"/>
          </w:tcPr>
          <w:p w14:paraId="783C5E87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1400" w:type="dxa"/>
            <w:gridSpan w:val="2"/>
          </w:tcPr>
          <w:p w14:paraId="3F0364EB" w14:textId="77777777" w:rsidR="00F83179" w:rsidRPr="001D1AAF" w:rsidRDefault="00F83179" w:rsidP="00A523E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1A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Dilution</w:t>
            </w:r>
          </w:p>
        </w:tc>
      </w:tr>
      <w:tr w:rsidR="00F83179" w:rsidRPr="00DF11D9" w14:paraId="1DF5D8BD" w14:textId="77777777" w:rsidTr="00A523E4">
        <w:trPr>
          <w:gridAfter w:val="1"/>
          <w:wAfter w:w="9" w:type="dxa"/>
          <w:trHeight w:val="318"/>
          <w:jc w:val="center"/>
        </w:trPr>
        <w:tc>
          <w:tcPr>
            <w:tcW w:w="1999" w:type="dxa"/>
          </w:tcPr>
          <w:p w14:paraId="32C2AEFB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Anti-PAX5</w:t>
            </w:r>
          </w:p>
        </w:tc>
        <w:tc>
          <w:tcPr>
            <w:tcW w:w="1689" w:type="dxa"/>
          </w:tcPr>
          <w:p w14:paraId="71BFB3C4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Unconjugated</w:t>
            </w:r>
          </w:p>
        </w:tc>
        <w:tc>
          <w:tcPr>
            <w:tcW w:w="2348" w:type="dxa"/>
          </w:tcPr>
          <w:p w14:paraId="62605399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Abcam</w:t>
            </w:r>
          </w:p>
        </w:tc>
        <w:tc>
          <w:tcPr>
            <w:tcW w:w="1366" w:type="dxa"/>
          </w:tcPr>
          <w:p w14:paraId="2473F5EA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Ab109443</w:t>
            </w:r>
          </w:p>
        </w:tc>
        <w:tc>
          <w:tcPr>
            <w:tcW w:w="1400" w:type="dxa"/>
          </w:tcPr>
          <w:p w14:paraId="0FADE9FA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1/100</w:t>
            </w:r>
          </w:p>
        </w:tc>
      </w:tr>
      <w:tr w:rsidR="00F83179" w:rsidRPr="00DF11D9" w14:paraId="2B40F5F3" w14:textId="77777777" w:rsidTr="00A523E4">
        <w:trPr>
          <w:gridAfter w:val="1"/>
          <w:wAfter w:w="9" w:type="dxa"/>
          <w:trHeight w:val="205"/>
          <w:jc w:val="center"/>
        </w:trPr>
        <w:tc>
          <w:tcPr>
            <w:tcW w:w="1999" w:type="dxa"/>
          </w:tcPr>
          <w:p w14:paraId="7B8897FC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Anti-CD3</w:t>
            </w:r>
          </w:p>
        </w:tc>
        <w:tc>
          <w:tcPr>
            <w:tcW w:w="1689" w:type="dxa"/>
          </w:tcPr>
          <w:p w14:paraId="423B89C5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Unconjugated</w:t>
            </w:r>
          </w:p>
        </w:tc>
        <w:tc>
          <w:tcPr>
            <w:tcW w:w="2348" w:type="dxa"/>
          </w:tcPr>
          <w:p w14:paraId="012121B6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Abcam</w:t>
            </w:r>
          </w:p>
        </w:tc>
        <w:tc>
          <w:tcPr>
            <w:tcW w:w="1366" w:type="dxa"/>
          </w:tcPr>
          <w:p w14:paraId="6F17001B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Ab11089</w:t>
            </w:r>
          </w:p>
        </w:tc>
        <w:tc>
          <w:tcPr>
            <w:tcW w:w="1400" w:type="dxa"/>
          </w:tcPr>
          <w:p w14:paraId="606C0677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1/100</w:t>
            </w:r>
          </w:p>
        </w:tc>
      </w:tr>
      <w:tr w:rsidR="00F83179" w:rsidRPr="00DF11D9" w14:paraId="5B9D2C60" w14:textId="77777777" w:rsidTr="00A523E4">
        <w:trPr>
          <w:gridAfter w:val="1"/>
          <w:wAfter w:w="9" w:type="dxa"/>
          <w:trHeight w:val="318"/>
          <w:jc w:val="center"/>
        </w:trPr>
        <w:tc>
          <w:tcPr>
            <w:tcW w:w="1999" w:type="dxa"/>
          </w:tcPr>
          <w:p w14:paraId="76282246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Anti-CD20</w:t>
            </w:r>
          </w:p>
        </w:tc>
        <w:tc>
          <w:tcPr>
            <w:tcW w:w="1689" w:type="dxa"/>
          </w:tcPr>
          <w:p w14:paraId="7CB7BDB4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Unconjugated</w:t>
            </w:r>
          </w:p>
        </w:tc>
        <w:tc>
          <w:tcPr>
            <w:tcW w:w="2348" w:type="dxa"/>
          </w:tcPr>
          <w:p w14:paraId="2FF5A059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Abcam</w:t>
            </w:r>
          </w:p>
        </w:tc>
        <w:tc>
          <w:tcPr>
            <w:tcW w:w="1366" w:type="dxa"/>
          </w:tcPr>
          <w:p w14:paraId="7D1536D8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Ab78237</w:t>
            </w:r>
          </w:p>
        </w:tc>
        <w:tc>
          <w:tcPr>
            <w:tcW w:w="1400" w:type="dxa"/>
          </w:tcPr>
          <w:p w14:paraId="31E5E55F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1/100</w:t>
            </w:r>
          </w:p>
        </w:tc>
      </w:tr>
      <w:tr w:rsidR="00F83179" w:rsidRPr="00DF11D9" w14:paraId="1CBBE86F" w14:textId="77777777" w:rsidTr="00A523E4">
        <w:trPr>
          <w:gridAfter w:val="1"/>
          <w:wAfter w:w="9" w:type="dxa"/>
          <w:trHeight w:val="437"/>
          <w:jc w:val="center"/>
        </w:trPr>
        <w:tc>
          <w:tcPr>
            <w:tcW w:w="1999" w:type="dxa"/>
          </w:tcPr>
          <w:p w14:paraId="37BC47ED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-</w:t>
            </w: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CD23</w:t>
            </w:r>
          </w:p>
        </w:tc>
        <w:tc>
          <w:tcPr>
            <w:tcW w:w="1689" w:type="dxa"/>
          </w:tcPr>
          <w:p w14:paraId="4D201BE6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Unconjugated</w:t>
            </w:r>
          </w:p>
        </w:tc>
        <w:tc>
          <w:tcPr>
            <w:tcW w:w="2348" w:type="dxa"/>
          </w:tcPr>
          <w:p w14:paraId="63DB275C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Abcam</w:t>
            </w:r>
          </w:p>
        </w:tc>
        <w:tc>
          <w:tcPr>
            <w:tcW w:w="1366" w:type="dxa"/>
          </w:tcPr>
          <w:p w14:paraId="6981E855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EPR3617</w:t>
            </w:r>
          </w:p>
        </w:tc>
        <w:tc>
          <w:tcPr>
            <w:tcW w:w="1400" w:type="dxa"/>
          </w:tcPr>
          <w:p w14:paraId="37BB0502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1/100</w:t>
            </w:r>
          </w:p>
        </w:tc>
      </w:tr>
      <w:tr w:rsidR="00F83179" w:rsidRPr="00DF11D9" w14:paraId="429B7626" w14:textId="77777777" w:rsidTr="00A523E4">
        <w:trPr>
          <w:gridAfter w:val="1"/>
          <w:wAfter w:w="9" w:type="dxa"/>
          <w:trHeight w:val="205"/>
          <w:jc w:val="center"/>
        </w:trPr>
        <w:tc>
          <w:tcPr>
            <w:tcW w:w="1999" w:type="dxa"/>
          </w:tcPr>
          <w:p w14:paraId="6FD0A178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-</w:t>
            </w: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CD21L</w:t>
            </w:r>
          </w:p>
        </w:tc>
        <w:tc>
          <w:tcPr>
            <w:tcW w:w="1689" w:type="dxa"/>
          </w:tcPr>
          <w:p w14:paraId="31CF6CCF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Unconjugated</w:t>
            </w:r>
          </w:p>
        </w:tc>
        <w:tc>
          <w:tcPr>
            <w:tcW w:w="2348" w:type="dxa"/>
          </w:tcPr>
          <w:p w14:paraId="7D8E108B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Dako</w:t>
            </w:r>
            <w:proofErr w:type="spellEnd"/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Cytomation</w:t>
            </w:r>
            <w:proofErr w:type="spellEnd"/>
          </w:p>
        </w:tc>
        <w:tc>
          <w:tcPr>
            <w:tcW w:w="1366" w:type="dxa"/>
          </w:tcPr>
          <w:p w14:paraId="4E1DB269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</w:tcPr>
          <w:p w14:paraId="6452412E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1/100</w:t>
            </w:r>
          </w:p>
        </w:tc>
      </w:tr>
      <w:tr w:rsidR="00F83179" w:rsidRPr="00DF11D9" w14:paraId="0168FFDA" w14:textId="77777777" w:rsidTr="00A523E4">
        <w:trPr>
          <w:gridAfter w:val="1"/>
          <w:wAfter w:w="9" w:type="dxa"/>
          <w:trHeight w:val="205"/>
          <w:jc w:val="center"/>
        </w:trPr>
        <w:tc>
          <w:tcPr>
            <w:tcW w:w="1999" w:type="dxa"/>
          </w:tcPr>
          <w:p w14:paraId="611073FB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Anti-CXCL12</w:t>
            </w:r>
          </w:p>
        </w:tc>
        <w:tc>
          <w:tcPr>
            <w:tcW w:w="1689" w:type="dxa"/>
          </w:tcPr>
          <w:p w14:paraId="4F3E5EC4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Unconjugated</w:t>
            </w:r>
          </w:p>
        </w:tc>
        <w:tc>
          <w:tcPr>
            <w:tcW w:w="2348" w:type="dxa"/>
          </w:tcPr>
          <w:p w14:paraId="26C66557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Thermofisher</w:t>
            </w:r>
            <w:proofErr w:type="spellEnd"/>
          </w:p>
        </w:tc>
        <w:tc>
          <w:tcPr>
            <w:tcW w:w="1366" w:type="dxa"/>
          </w:tcPr>
          <w:p w14:paraId="242A6FCE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14-7992-81</w:t>
            </w:r>
          </w:p>
        </w:tc>
        <w:tc>
          <w:tcPr>
            <w:tcW w:w="1400" w:type="dxa"/>
          </w:tcPr>
          <w:p w14:paraId="0B100A54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1/100</w:t>
            </w:r>
          </w:p>
        </w:tc>
      </w:tr>
      <w:tr w:rsidR="00F83179" w:rsidRPr="00DF11D9" w14:paraId="3483741B" w14:textId="77777777" w:rsidTr="00A523E4">
        <w:trPr>
          <w:gridAfter w:val="1"/>
          <w:wAfter w:w="9" w:type="dxa"/>
          <w:trHeight w:val="318"/>
          <w:jc w:val="center"/>
        </w:trPr>
        <w:tc>
          <w:tcPr>
            <w:tcW w:w="1999" w:type="dxa"/>
          </w:tcPr>
          <w:p w14:paraId="342BFEAD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Anti-Mouse</w:t>
            </w:r>
          </w:p>
        </w:tc>
        <w:tc>
          <w:tcPr>
            <w:tcW w:w="1689" w:type="dxa"/>
          </w:tcPr>
          <w:p w14:paraId="16D5FA55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Alexa-Fluor 647</w:t>
            </w:r>
          </w:p>
        </w:tc>
        <w:tc>
          <w:tcPr>
            <w:tcW w:w="2348" w:type="dxa"/>
          </w:tcPr>
          <w:p w14:paraId="29F158CC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 xml:space="preserve">Jackson </w:t>
            </w:r>
            <w:proofErr w:type="spellStart"/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ImmmunoResearch</w:t>
            </w:r>
            <w:proofErr w:type="spellEnd"/>
          </w:p>
        </w:tc>
        <w:tc>
          <w:tcPr>
            <w:tcW w:w="1366" w:type="dxa"/>
          </w:tcPr>
          <w:p w14:paraId="2AE85800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715-606-151</w:t>
            </w:r>
          </w:p>
        </w:tc>
        <w:tc>
          <w:tcPr>
            <w:tcW w:w="1400" w:type="dxa"/>
          </w:tcPr>
          <w:p w14:paraId="2E84B794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1/500</w:t>
            </w:r>
          </w:p>
        </w:tc>
      </w:tr>
      <w:tr w:rsidR="00F83179" w:rsidRPr="00DF11D9" w14:paraId="3443B071" w14:textId="77777777" w:rsidTr="00A523E4">
        <w:trPr>
          <w:gridAfter w:val="1"/>
          <w:wAfter w:w="9" w:type="dxa"/>
          <w:trHeight w:val="318"/>
          <w:jc w:val="center"/>
        </w:trPr>
        <w:tc>
          <w:tcPr>
            <w:tcW w:w="1999" w:type="dxa"/>
          </w:tcPr>
          <w:p w14:paraId="320A0F02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 IgM Mouse</w:t>
            </w:r>
          </w:p>
        </w:tc>
        <w:tc>
          <w:tcPr>
            <w:tcW w:w="1689" w:type="dxa"/>
          </w:tcPr>
          <w:p w14:paraId="46EE7DBB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Alexa-Fluor 594</w:t>
            </w:r>
          </w:p>
        </w:tc>
        <w:tc>
          <w:tcPr>
            <w:tcW w:w="2348" w:type="dxa"/>
          </w:tcPr>
          <w:p w14:paraId="465A4164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 xml:space="preserve">Jackson </w:t>
            </w:r>
            <w:proofErr w:type="spellStart"/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ImmmunoResearch</w:t>
            </w:r>
            <w:proofErr w:type="spellEnd"/>
          </w:p>
        </w:tc>
        <w:tc>
          <w:tcPr>
            <w:tcW w:w="1366" w:type="dxa"/>
          </w:tcPr>
          <w:p w14:paraId="0F8B8262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715-606-020</w:t>
            </w:r>
          </w:p>
        </w:tc>
        <w:tc>
          <w:tcPr>
            <w:tcW w:w="1400" w:type="dxa"/>
          </w:tcPr>
          <w:p w14:paraId="76159009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1/500</w:t>
            </w:r>
          </w:p>
        </w:tc>
      </w:tr>
      <w:tr w:rsidR="00F83179" w:rsidRPr="00DF11D9" w14:paraId="6E87B36D" w14:textId="77777777" w:rsidTr="00A523E4">
        <w:trPr>
          <w:trHeight w:val="318"/>
          <w:jc w:val="center"/>
        </w:trPr>
        <w:tc>
          <w:tcPr>
            <w:tcW w:w="1999" w:type="dxa"/>
          </w:tcPr>
          <w:p w14:paraId="23D4AC9B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Anti-Rabbit</w:t>
            </w:r>
          </w:p>
        </w:tc>
        <w:tc>
          <w:tcPr>
            <w:tcW w:w="1689" w:type="dxa"/>
          </w:tcPr>
          <w:p w14:paraId="30EE69B6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Alexa-Fluor 488</w:t>
            </w:r>
          </w:p>
        </w:tc>
        <w:tc>
          <w:tcPr>
            <w:tcW w:w="2348" w:type="dxa"/>
          </w:tcPr>
          <w:p w14:paraId="455A35D2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 xml:space="preserve">Jackson </w:t>
            </w:r>
            <w:proofErr w:type="spellStart"/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ImmmunoResearch</w:t>
            </w:r>
            <w:proofErr w:type="spellEnd"/>
          </w:p>
        </w:tc>
        <w:tc>
          <w:tcPr>
            <w:tcW w:w="1366" w:type="dxa"/>
          </w:tcPr>
          <w:p w14:paraId="30CF96CD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711-546-152</w:t>
            </w:r>
          </w:p>
        </w:tc>
        <w:tc>
          <w:tcPr>
            <w:tcW w:w="1400" w:type="dxa"/>
            <w:gridSpan w:val="2"/>
          </w:tcPr>
          <w:p w14:paraId="26D90453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1/500</w:t>
            </w:r>
          </w:p>
        </w:tc>
      </w:tr>
      <w:tr w:rsidR="00F83179" w:rsidRPr="00DF11D9" w14:paraId="1A9BF7A5" w14:textId="77777777" w:rsidTr="00A523E4">
        <w:trPr>
          <w:trHeight w:val="324"/>
          <w:jc w:val="center"/>
        </w:trPr>
        <w:tc>
          <w:tcPr>
            <w:tcW w:w="1999" w:type="dxa"/>
          </w:tcPr>
          <w:p w14:paraId="66FB3D2E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Anti-Rabbit</w:t>
            </w:r>
          </w:p>
        </w:tc>
        <w:tc>
          <w:tcPr>
            <w:tcW w:w="1689" w:type="dxa"/>
          </w:tcPr>
          <w:p w14:paraId="4F66ECCB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Alexa-Fluor 647</w:t>
            </w:r>
          </w:p>
        </w:tc>
        <w:tc>
          <w:tcPr>
            <w:tcW w:w="2348" w:type="dxa"/>
          </w:tcPr>
          <w:p w14:paraId="3A9714D8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 xml:space="preserve">Jackson </w:t>
            </w:r>
            <w:proofErr w:type="spellStart"/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ImmmunoResearch</w:t>
            </w:r>
            <w:proofErr w:type="spellEnd"/>
          </w:p>
        </w:tc>
        <w:tc>
          <w:tcPr>
            <w:tcW w:w="1366" w:type="dxa"/>
          </w:tcPr>
          <w:p w14:paraId="510767ED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711-606-152</w:t>
            </w:r>
          </w:p>
        </w:tc>
        <w:tc>
          <w:tcPr>
            <w:tcW w:w="1400" w:type="dxa"/>
            <w:gridSpan w:val="2"/>
          </w:tcPr>
          <w:p w14:paraId="242AD78D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1/500</w:t>
            </w:r>
          </w:p>
        </w:tc>
      </w:tr>
      <w:tr w:rsidR="00F83179" w:rsidRPr="00DF11D9" w14:paraId="1DB1CCEB" w14:textId="77777777" w:rsidTr="00A523E4">
        <w:trPr>
          <w:trHeight w:val="318"/>
          <w:jc w:val="center"/>
        </w:trPr>
        <w:tc>
          <w:tcPr>
            <w:tcW w:w="1999" w:type="dxa"/>
          </w:tcPr>
          <w:p w14:paraId="6C7829FD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Anti-Rabbit</w:t>
            </w:r>
          </w:p>
        </w:tc>
        <w:tc>
          <w:tcPr>
            <w:tcW w:w="1689" w:type="dxa"/>
          </w:tcPr>
          <w:p w14:paraId="58EFBFD3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Alexa-Fluor 594</w:t>
            </w:r>
          </w:p>
        </w:tc>
        <w:tc>
          <w:tcPr>
            <w:tcW w:w="2348" w:type="dxa"/>
          </w:tcPr>
          <w:p w14:paraId="009EF7AB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 xml:space="preserve">Jackson </w:t>
            </w:r>
            <w:proofErr w:type="spellStart"/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ImmmunoResearch</w:t>
            </w:r>
            <w:proofErr w:type="spellEnd"/>
          </w:p>
        </w:tc>
        <w:tc>
          <w:tcPr>
            <w:tcW w:w="1366" w:type="dxa"/>
          </w:tcPr>
          <w:p w14:paraId="6D9011D1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711-586-152</w:t>
            </w:r>
          </w:p>
        </w:tc>
        <w:tc>
          <w:tcPr>
            <w:tcW w:w="1400" w:type="dxa"/>
            <w:gridSpan w:val="2"/>
          </w:tcPr>
          <w:p w14:paraId="4B086FB2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1/500</w:t>
            </w:r>
          </w:p>
        </w:tc>
      </w:tr>
      <w:tr w:rsidR="00F83179" w:rsidRPr="00DF11D9" w14:paraId="1950FBE6" w14:textId="77777777" w:rsidTr="00A523E4">
        <w:trPr>
          <w:trHeight w:val="318"/>
          <w:jc w:val="center"/>
        </w:trPr>
        <w:tc>
          <w:tcPr>
            <w:tcW w:w="1999" w:type="dxa"/>
          </w:tcPr>
          <w:p w14:paraId="490F1143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Anti-Rat</w:t>
            </w:r>
          </w:p>
        </w:tc>
        <w:tc>
          <w:tcPr>
            <w:tcW w:w="1689" w:type="dxa"/>
          </w:tcPr>
          <w:p w14:paraId="62161287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Alexa-Fluor 488</w:t>
            </w:r>
          </w:p>
        </w:tc>
        <w:tc>
          <w:tcPr>
            <w:tcW w:w="2348" w:type="dxa"/>
          </w:tcPr>
          <w:p w14:paraId="03D1A10F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 xml:space="preserve">Jackson </w:t>
            </w:r>
            <w:proofErr w:type="spellStart"/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ImmmunoResearch</w:t>
            </w:r>
            <w:proofErr w:type="spellEnd"/>
          </w:p>
        </w:tc>
        <w:tc>
          <w:tcPr>
            <w:tcW w:w="1366" w:type="dxa"/>
          </w:tcPr>
          <w:p w14:paraId="1C1C7207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  <w:t>712-546-153</w:t>
            </w:r>
          </w:p>
        </w:tc>
        <w:tc>
          <w:tcPr>
            <w:tcW w:w="1400" w:type="dxa"/>
            <w:gridSpan w:val="2"/>
          </w:tcPr>
          <w:p w14:paraId="0A4F2527" w14:textId="77777777" w:rsidR="00F83179" w:rsidRPr="001D1AAF" w:rsidRDefault="00F83179" w:rsidP="00A523E4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D1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1/500</w:t>
            </w:r>
          </w:p>
        </w:tc>
      </w:tr>
    </w:tbl>
    <w:p w14:paraId="75BD3A13" w14:textId="7769CF14" w:rsidR="00F83179" w:rsidRDefault="00F83179">
      <w:pPr>
        <w:rPr>
          <w:sz w:val="24"/>
          <w:szCs w:val="24"/>
        </w:rPr>
      </w:pPr>
    </w:p>
    <w:p w14:paraId="6A4B9884" w14:textId="2059D048" w:rsidR="00F83179" w:rsidRDefault="00F83179" w:rsidP="00F83179">
      <w:pPr>
        <w:rPr>
          <w:sz w:val="24"/>
          <w:szCs w:val="24"/>
        </w:rPr>
      </w:pPr>
      <w:r w:rsidRPr="00886182">
        <w:rPr>
          <w:b/>
          <w:bCs/>
          <w:sz w:val="24"/>
          <w:szCs w:val="24"/>
          <w:u w:val="single"/>
        </w:rPr>
        <w:t xml:space="preserve">Supplemental Table </w:t>
      </w:r>
      <w:r w:rsidR="00815224">
        <w:rPr>
          <w:b/>
          <w:bCs/>
          <w:sz w:val="24"/>
          <w:szCs w:val="24"/>
          <w:u w:val="single"/>
        </w:rPr>
        <w:t>4</w:t>
      </w:r>
      <w:r>
        <w:rPr>
          <w:sz w:val="24"/>
          <w:szCs w:val="24"/>
        </w:rPr>
        <w:t>: list of antibodies for multiplex immunofluorescence detection on paraffin-embedded tissues</w:t>
      </w:r>
    </w:p>
    <w:p w14:paraId="313A2CED" w14:textId="79768E1E" w:rsidR="00F83179" w:rsidRDefault="00F83179">
      <w:pPr>
        <w:rPr>
          <w:sz w:val="24"/>
          <w:szCs w:val="24"/>
        </w:rPr>
      </w:pPr>
      <w:r w:rsidRPr="00F83179">
        <w:rPr>
          <w:noProof/>
          <w:sz w:val="24"/>
          <w:szCs w:val="24"/>
        </w:rPr>
        <w:drawing>
          <wp:inline distT="0" distB="0" distL="0" distR="0" wp14:anchorId="5436FFAC" wp14:editId="15257829">
            <wp:extent cx="6385367" cy="207498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5118" cy="207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9015" w14:textId="77777777" w:rsidR="00C4651E" w:rsidRDefault="00C4651E" w:rsidP="009620EE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</w:pPr>
    </w:p>
    <w:p w14:paraId="285EF779" w14:textId="77777777" w:rsidR="00C4651E" w:rsidRDefault="00C4651E" w:rsidP="009620EE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</w:pPr>
    </w:p>
    <w:p w14:paraId="24CD967A" w14:textId="77777777" w:rsidR="00C4651E" w:rsidRDefault="00C4651E" w:rsidP="009620EE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</w:pPr>
    </w:p>
    <w:p w14:paraId="0638FC0E" w14:textId="547DCF74" w:rsidR="009620EE" w:rsidRPr="00380850" w:rsidRDefault="009620EE" w:rsidP="009620EE">
      <w:pPr>
        <w:spacing w:after="0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38085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lastRenderedPageBreak/>
        <w:t xml:space="preserve">Supplemental Table </w:t>
      </w:r>
      <w:r w:rsidR="0081522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5</w:t>
      </w:r>
      <w:r w:rsidRPr="00380850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: </w:t>
      </w:r>
      <w:r w:rsidRPr="0038085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Gene prediction and biological network integration of our list of genes from </w:t>
      </w:r>
      <w:proofErr w:type="spellStart"/>
      <w:r w:rsidRPr="00380850">
        <w:rPr>
          <w:rFonts w:eastAsia="Times New Roman" w:cstheme="minorHAnsi"/>
          <w:color w:val="000000"/>
          <w:sz w:val="24"/>
          <w:szCs w:val="24"/>
          <w:lang w:eastAsia="fr-FR"/>
        </w:rPr>
        <w:t>scqPCR</w:t>
      </w:r>
      <w:proofErr w:type="spellEnd"/>
      <w:r w:rsidRPr="0038085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identified clusters with predicted related genes using </w:t>
      </w:r>
      <w:proofErr w:type="spellStart"/>
      <w:r w:rsidRPr="00380850">
        <w:rPr>
          <w:rFonts w:eastAsia="Times New Roman" w:cstheme="minorHAnsi"/>
          <w:color w:val="000000"/>
          <w:sz w:val="24"/>
          <w:szCs w:val="24"/>
          <w:lang w:eastAsia="fr-FR"/>
        </w:rPr>
        <w:t>GeneMANIA</w:t>
      </w:r>
      <w:proofErr w:type="spellEnd"/>
      <w:r w:rsidRPr="0038085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prediction server (</w:t>
      </w:r>
      <w:proofErr w:type="spellStart"/>
      <w:r w:rsidRPr="00380850">
        <w:rPr>
          <w:rFonts w:eastAsia="Times New Roman" w:cstheme="minorHAnsi"/>
          <w:color w:val="000000"/>
          <w:sz w:val="24"/>
          <w:szCs w:val="24"/>
          <w:lang w:eastAsia="fr-FR"/>
        </w:rPr>
        <w:t>Warde</w:t>
      </w:r>
      <w:proofErr w:type="spellEnd"/>
      <w:r w:rsidRPr="0038085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-Farley D et al., Nucleic Acids Res. </w:t>
      </w:r>
      <w:proofErr w:type="gramStart"/>
      <w:r w:rsidRPr="00380850">
        <w:rPr>
          <w:rFonts w:eastAsia="Times New Roman" w:cstheme="minorHAnsi"/>
          <w:color w:val="000000"/>
          <w:sz w:val="24"/>
          <w:szCs w:val="24"/>
          <w:lang w:eastAsia="fr-FR"/>
        </w:rPr>
        <w:t>2010 )</w:t>
      </w:r>
      <w:proofErr w:type="gramEnd"/>
    </w:p>
    <w:p w14:paraId="12F9090F" w14:textId="33B0B862" w:rsidR="00F83179" w:rsidRDefault="00C4651E" w:rsidP="00C4651E">
      <w:pPr>
        <w:spacing w:after="120"/>
        <w:rPr>
          <w:sz w:val="24"/>
          <w:szCs w:val="24"/>
        </w:rPr>
      </w:pPr>
      <w:r w:rsidRPr="00C4651E">
        <w:rPr>
          <w:noProof/>
          <w:sz w:val="24"/>
          <w:szCs w:val="24"/>
        </w:rPr>
        <w:drawing>
          <wp:inline distT="0" distB="0" distL="0" distR="0" wp14:anchorId="1D9E5CB9" wp14:editId="2AA37644">
            <wp:extent cx="5756910" cy="87236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72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E521B" w14:textId="77777777" w:rsidR="00886182" w:rsidRDefault="008861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047ED2E" w14:textId="1D171303" w:rsidR="00F83179" w:rsidRDefault="005879EE">
      <w:pPr>
        <w:rPr>
          <w:sz w:val="24"/>
          <w:szCs w:val="24"/>
        </w:rPr>
      </w:pPr>
      <w:r w:rsidRPr="00886182">
        <w:rPr>
          <w:b/>
          <w:bCs/>
          <w:sz w:val="24"/>
          <w:szCs w:val="24"/>
          <w:u w:val="single"/>
        </w:rPr>
        <w:lastRenderedPageBreak/>
        <w:t xml:space="preserve">Supplemental table </w:t>
      </w:r>
      <w:r w:rsidR="00815224">
        <w:rPr>
          <w:b/>
          <w:bCs/>
          <w:sz w:val="24"/>
          <w:szCs w:val="24"/>
          <w:u w:val="single"/>
        </w:rPr>
        <w:t>6</w:t>
      </w:r>
      <w:r w:rsidRPr="00886182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List of genes significantly differentially expressed between CD23 positive and CD23 negative cells.</w:t>
      </w:r>
    </w:p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740"/>
        <w:gridCol w:w="1520"/>
      </w:tblGrid>
      <w:tr w:rsidR="00603CEC" w:rsidRPr="00603CEC" w14:paraId="0DCE1A2F" w14:textId="77777777" w:rsidTr="00603CEC">
        <w:trPr>
          <w:trHeight w:val="6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700B9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Gene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AB06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avg</w:t>
            </w:r>
            <w:proofErr w:type="gramEnd"/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_logFC</w:t>
            </w:r>
            <w:proofErr w:type="spellEnd"/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br/>
              <w:t>CD23neg-vs-CD23pos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DBB9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p</w:t>
            </w:r>
            <w:proofErr w:type="gramEnd"/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_val</w:t>
            </w:r>
            <w:proofErr w:type="spellEnd"/>
          </w:p>
        </w:tc>
      </w:tr>
      <w:tr w:rsidR="00603CEC" w:rsidRPr="00603CEC" w14:paraId="04D898C1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259C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CD86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B5C7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-0.6959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608B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0.0005</w:t>
            </w:r>
          </w:p>
        </w:tc>
      </w:tr>
      <w:tr w:rsidR="00603CEC" w:rsidRPr="00603CEC" w14:paraId="5C12AD9A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D917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FCER2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0AF1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-2.0502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9340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0.0008</w:t>
            </w:r>
          </w:p>
        </w:tc>
      </w:tr>
      <w:tr w:rsidR="00603CEC" w:rsidRPr="00603CEC" w14:paraId="68CAF854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AE55B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STAT4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A9EC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-1.2530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C915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0.0023</w:t>
            </w:r>
          </w:p>
        </w:tc>
      </w:tr>
      <w:tr w:rsidR="00603CEC" w:rsidRPr="00603CEC" w14:paraId="3616F2E4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59637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SOCS5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A4CE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-1.2375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F5119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0.0052</w:t>
            </w:r>
          </w:p>
        </w:tc>
      </w:tr>
      <w:tr w:rsidR="00603CEC" w:rsidRPr="00603CEC" w14:paraId="4C6C68A5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E142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MAPK1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E5EF1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-0.4617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D25B6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0.0072</w:t>
            </w:r>
          </w:p>
        </w:tc>
      </w:tr>
      <w:tr w:rsidR="00603CEC" w:rsidRPr="00603CEC" w14:paraId="56677D11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5E40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CCNE1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B510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1.1354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EB60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0.0140</w:t>
            </w:r>
          </w:p>
        </w:tc>
      </w:tr>
      <w:tr w:rsidR="00603CEC" w:rsidRPr="00603CEC" w14:paraId="3DF8FA2E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5E20C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HIF1A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BD47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-0.5606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1B3F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0.0175</w:t>
            </w:r>
          </w:p>
        </w:tc>
      </w:tr>
      <w:tr w:rsidR="00603CEC" w:rsidRPr="00603CEC" w14:paraId="0FC9F735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29CB1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MKI67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EDF1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0.9568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26DF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0.0200</w:t>
            </w:r>
          </w:p>
        </w:tc>
      </w:tr>
      <w:tr w:rsidR="00603CEC" w:rsidRPr="00603CEC" w14:paraId="7C4CF983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D5696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CD38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AA62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0.3717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4F0B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0.0281</w:t>
            </w:r>
          </w:p>
        </w:tc>
      </w:tr>
      <w:tr w:rsidR="00603CEC" w:rsidRPr="00603CEC" w14:paraId="2031BE05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D105A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CDK6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069E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F9E89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0.0306</w:t>
            </w:r>
          </w:p>
        </w:tc>
      </w:tr>
      <w:tr w:rsidR="00603CEC" w:rsidRPr="00603CEC" w14:paraId="7A9880C1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9C49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NFKB1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F6786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-0.8769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52B3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0.0354</w:t>
            </w:r>
          </w:p>
        </w:tc>
      </w:tr>
      <w:tr w:rsidR="00603CEC" w:rsidRPr="00603CEC" w14:paraId="70DC8C6D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6340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E2F1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60E6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0.4777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E1871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0.0365</w:t>
            </w:r>
          </w:p>
        </w:tc>
      </w:tr>
      <w:tr w:rsidR="00603CEC" w:rsidRPr="00603CEC" w14:paraId="59098DC2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428A8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TET2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8A700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-0.6142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690B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0.0385</w:t>
            </w:r>
          </w:p>
        </w:tc>
      </w:tr>
      <w:tr w:rsidR="00603CEC" w:rsidRPr="00603CEC" w14:paraId="4EC2DDC2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1F3F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ICOSL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B9092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0.4261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2555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0.0447</w:t>
            </w:r>
          </w:p>
        </w:tc>
      </w:tr>
      <w:tr w:rsidR="00603CEC" w:rsidRPr="00603CEC" w14:paraId="78D18547" w14:textId="77777777" w:rsidTr="00603CEC">
        <w:trPr>
          <w:trHeight w:val="4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237F1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DNMT1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8D192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0.6425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CB0A6" w14:textId="77777777" w:rsidR="00603CEC" w:rsidRPr="00603CEC" w:rsidRDefault="00603CEC" w:rsidP="00603CE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603C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FR" w:eastAsia="fr-FR"/>
              </w:rPr>
              <w:t>0.0464</w:t>
            </w:r>
          </w:p>
        </w:tc>
      </w:tr>
    </w:tbl>
    <w:p w14:paraId="4ECB31A6" w14:textId="4A5310C4" w:rsidR="005879EE" w:rsidRPr="00F83179" w:rsidRDefault="005879EE" w:rsidP="00603CEC">
      <w:pPr>
        <w:rPr>
          <w:sz w:val="24"/>
          <w:szCs w:val="24"/>
        </w:rPr>
      </w:pPr>
    </w:p>
    <w:sectPr w:rsidR="005879EE" w:rsidRPr="00F83179" w:rsidSect="00C4651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EB"/>
    <w:rsid w:val="000269B2"/>
    <w:rsid w:val="00096B1A"/>
    <w:rsid w:val="000C55DD"/>
    <w:rsid w:val="000D3C9F"/>
    <w:rsid w:val="0010536B"/>
    <w:rsid w:val="00223174"/>
    <w:rsid w:val="0022684D"/>
    <w:rsid w:val="002800EB"/>
    <w:rsid w:val="002C184E"/>
    <w:rsid w:val="0035755E"/>
    <w:rsid w:val="00360908"/>
    <w:rsid w:val="003657A8"/>
    <w:rsid w:val="00372939"/>
    <w:rsid w:val="00380850"/>
    <w:rsid w:val="003959C3"/>
    <w:rsid w:val="003D4E9B"/>
    <w:rsid w:val="0042618F"/>
    <w:rsid w:val="00477EC9"/>
    <w:rsid w:val="004B304A"/>
    <w:rsid w:val="00557D30"/>
    <w:rsid w:val="005879EE"/>
    <w:rsid w:val="0059346A"/>
    <w:rsid w:val="00603CEC"/>
    <w:rsid w:val="006137D8"/>
    <w:rsid w:val="0064203D"/>
    <w:rsid w:val="0065753B"/>
    <w:rsid w:val="00662EB0"/>
    <w:rsid w:val="00725287"/>
    <w:rsid w:val="00790518"/>
    <w:rsid w:val="007C5A9E"/>
    <w:rsid w:val="00815224"/>
    <w:rsid w:val="008530BF"/>
    <w:rsid w:val="00886182"/>
    <w:rsid w:val="008F284A"/>
    <w:rsid w:val="00933542"/>
    <w:rsid w:val="009620EE"/>
    <w:rsid w:val="0098268C"/>
    <w:rsid w:val="009C3F1B"/>
    <w:rsid w:val="00AB7526"/>
    <w:rsid w:val="00AC2C1B"/>
    <w:rsid w:val="00B25E96"/>
    <w:rsid w:val="00B7206F"/>
    <w:rsid w:val="00B81939"/>
    <w:rsid w:val="00B913FC"/>
    <w:rsid w:val="00C43C9D"/>
    <w:rsid w:val="00C4651E"/>
    <w:rsid w:val="00D12C76"/>
    <w:rsid w:val="00DE5DD9"/>
    <w:rsid w:val="00DF6541"/>
    <w:rsid w:val="00E81A6D"/>
    <w:rsid w:val="00E86CCA"/>
    <w:rsid w:val="00E93F0D"/>
    <w:rsid w:val="00EC3AEB"/>
    <w:rsid w:val="00ED4160"/>
    <w:rsid w:val="00F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7AF1"/>
  <w15:chartTrackingRefBased/>
  <w15:docId w15:val="{2A373752-32FE-9648-B79F-1257EA00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4D"/>
    <w:pPr>
      <w:spacing w:after="200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1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55DD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C18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E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EC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7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EC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EC9"/>
    <w:rPr>
      <w:b/>
      <w:b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7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7D3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o">
    <w:name w:val="co"/>
    <w:basedOn w:val="DefaultParagraphFont"/>
    <w:rsid w:val="0055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ndsystem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ndsystems.com/" TargetMode="External"/><Relationship Id="rId10" Type="http://schemas.openxmlformats.org/officeDocument/2006/relationships/image" Target="media/image4.emf"/><Relationship Id="rId4" Type="http://schemas.openxmlformats.org/officeDocument/2006/relationships/hyperlink" Target="https://www.thermofisher.com/us/en/home/brands/invitrogen.html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Eleanor Masterman</cp:lastModifiedBy>
  <cp:revision>4</cp:revision>
  <dcterms:created xsi:type="dcterms:W3CDTF">2021-10-29T08:18:00Z</dcterms:created>
  <dcterms:modified xsi:type="dcterms:W3CDTF">2021-11-15T17:26:00Z</dcterms:modified>
</cp:coreProperties>
</file>