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rPr>
          <w:rFonts w:hint="eastAsia" w:eastAsiaTheme="minorEastAsia"/>
          <w:lang w:eastAsia="zh-CN"/>
        </w:rPr>
      </w:pPr>
      <w:r>
        <w:t>Supplementary</w:t>
      </w:r>
      <w:r>
        <w:rPr>
          <w:rFonts w:hint="eastAsia" w:eastAsia="宋体"/>
          <w:lang w:val="en-US" w:eastAsia="zh-CN"/>
        </w:rPr>
        <w:t xml:space="preserve"> </w:t>
      </w:r>
      <w:r>
        <w:t>Figures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7695" cy="2133600"/>
            <wp:effectExtent l="0" t="0" r="8255" b="0"/>
            <wp:docPr id="20" name="图片 20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/>
          <w:b/>
          <w:bCs/>
        </w:rPr>
        <w:t>FIGURE S1</w:t>
      </w:r>
      <w:r>
        <w:rPr>
          <w:rFonts w:hint="eastAsia"/>
        </w:rPr>
        <w:t xml:space="preserve"> (A) Net photosynthetic rate (Pn), and (B) soil and plant analyzer development (SPAD) value of cotton leaves under different nitrogen treatments. Depicted are the means of eight</w: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replicates± standard error. ns not significant (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0.05), **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cs="Times New Roman"/>
          <w:sz w:val="24"/>
          <w:szCs w:val="24"/>
          <w:lang w:val="en-US" w:eastAsia="zh-CN"/>
        </w:rPr>
        <w:t>0.01.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cs="Times New Roman"/>
          <w:sz w:val="24"/>
          <w:szCs w:val="24"/>
          <w:lang w:val="en-US" w:eastAsia="zh-CN"/>
        </w:rPr>
        <w:t>0.01.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keepNext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5775960" cy="4806950"/>
            <wp:effectExtent l="0" t="0" r="15240" b="12700"/>
            <wp:docPr id="21" name="图片 2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hint="eastAsia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sz w:val="24"/>
          <w:szCs w:val="24"/>
        </w:rPr>
        <w:t>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Root parameters under different nitrogen treatments. </w:t>
      </w:r>
      <w:r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Total root length, </w:t>
      </w:r>
      <w:r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average root diameter, </w:t>
      </w:r>
      <w:r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total root surface area, </w:t>
      </w:r>
      <w:r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total root volume. Depicted are the means of three replicates ± standard error. *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hint="eastAsia"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0.05, **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hint="eastAsia"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cs="Times New Roman"/>
          <w:sz w:val="24"/>
          <w:szCs w:val="24"/>
          <w:lang w:val="en-US" w:eastAsia="zh-CN"/>
        </w:rPr>
        <w:t>0.01.</w:t>
      </w:r>
    </w:p>
    <w:p>
      <w:pPr>
        <w:keepNext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6207760" cy="2336800"/>
            <wp:effectExtent l="0" t="0" r="2540" b="6350"/>
            <wp:docPr id="22" name="图片 22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sz w:val="24"/>
          <w:szCs w:val="24"/>
        </w:rPr>
        <w:t>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S3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Soluble protein content, and </w:t>
      </w:r>
      <w:r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soluble sugar content of cotton root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under different nitrogen treatments. Depicted are the means of three replicates ± standard error. *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hint="eastAsia"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0.05, **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0.01.</w:t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6207125" cy="2342515"/>
            <wp:effectExtent l="0" t="0" r="3175" b="635"/>
            <wp:docPr id="23" name="图片 23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igure S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hint="eastAsia" w:ascii="Times New Roman" w:hAnsi="Times New Roman" w:cs="Times New Roman"/>
          <w:b/>
          <w:sz w:val="24"/>
          <w:szCs w:val="24"/>
        </w:rPr>
        <w:t>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S4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Nitrogen content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leaves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hint="eastAsia" w:ascii="Times New Roman" w:hAnsi="Times New Roman" w:cs="Times New Roman"/>
          <w:sz w:val="24"/>
          <w:szCs w:val="24"/>
        </w:rPr>
        <w:t>, and roots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under different nitrogen treatments. Depicted are the means of three replicates ± standard error. ns, not significant (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0.05), **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0.01.</w:t>
      </w:r>
    </w:p>
    <w:p>
      <w:pPr>
        <w:keepNext/>
        <w:rPr>
          <w:rFonts w:cs="Times New Roman"/>
          <w:szCs w:val="24"/>
        </w:rPr>
      </w:pPr>
    </w:p>
    <w:p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drawing>
          <wp:inline distT="0" distB="0" distL="0" distR="0">
            <wp:extent cx="6208395" cy="4762500"/>
            <wp:effectExtent l="0" t="0" r="1905" b="0"/>
            <wp:docPr id="3" name="图片 3" descr="E:\转录组文章写作\frontiers\投稿\图片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转录组文章写作\frontiers\投稿\图片\Figure S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</w:t>
      </w:r>
      <w:r>
        <w:rPr>
          <w:rFonts w:hint="eastAsia" w:cs="Times New Roman"/>
          <w:b/>
          <w:szCs w:val="24"/>
        </w:rPr>
        <w:t>IGURE S</w:t>
      </w:r>
      <w:r>
        <w:rPr>
          <w:rFonts w:hint="eastAsia" w:cs="Times New Roman"/>
          <w:b/>
          <w:szCs w:val="24"/>
          <w:lang w:val="en-US" w:eastAsia="zh-CN"/>
        </w:rPr>
        <w:t>5</w:t>
      </w:r>
      <w:r>
        <w:rPr>
          <w:rFonts w:cs="Times New Roman"/>
          <w:szCs w:val="24"/>
        </w:rPr>
        <w:t xml:space="preserve"> GO enrichment analysis of the upregulated </w:t>
      </w:r>
      <w:r>
        <w:rPr>
          <w:rFonts w:cs="Times New Roman"/>
          <w:b/>
          <w:szCs w:val="24"/>
        </w:rPr>
        <w:t>(A)</w:t>
      </w:r>
      <w:r>
        <w:rPr>
          <w:rFonts w:cs="Times New Roman"/>
          <w:szCs w:val="24"/>
        </w:rPr>
        <w:t xml:space="preserve"> and downregulated </w:t>
      </w:r>
      <w:r>
        <w:rPr>
          <w:rFonts w:cs="Times New Roman"/>
          <w:b/>
          <w:szCs w:val="24"/>
        </w:rPr>
        <w:t>(C)</w:t>
      </w:r>
      <w:r>
        <w:rPr>
          <w:rFonts w:cs="Times New Roman"/>
          <w:szCs w:val="24"/>
        </w:rPr>
        <w:t xml:space="preserve"> DEGs only expressed in Group I. KEGG pathway enrichment analysis of the upregulated </w:t>
      </w:r>
      <w:r>
        <w:rPr>
          <w:rFonts w:cs="Times New Roman"/>
          <w:b/>
          <w:szCs w:val="24"/>
        </w:rPr>
        <w:t>(B)</w:t>
      </w:r>
      <w:r>
        <w:rPr>
          <w:rFonts w:cs="Times New Roman"/>
          <w:szCs w:val="24"/>
        </w:rPr>
        <w:t xml:space="preserve"> and downregulated </w:t>
      </w:r>
      <w:r>
        <w:rPr>
          <w:rFonts w:cs="Times New Roman"/>
          <w:b/>
          <w:szCs w:val="24"/>
        </w:rPr>
        <w:t>(D)</w:t>
      </w:r>
      <w:r>
        <w:rPr>
          <w:rFonts w:cs="Times New Roman"/>
          <w:szCs w:val="24"/>
        </w:rPr>
        <w:t xml:space="preserve"> DEGs only expressed in Group I. BP, biological process; CC, cellular component; MF, molecular function.</w:t>
      </w:r>
      <w:r>
        <w:rPr>
          <w:rFonts w:hint="eastAsia" w:cs="Times New Roman"/>
          <w:szCs w:val="24"/>
        </w:rPr>
        <w:t xml:space="preserve"> GO, </w:t>
      </w:r>
      <w:r>
        <w:rPr>
          <w:rFonts w:cs="Times New Roman"/>
          <w:szCs w:val="24"/>
        </w:rPr>
        <w:t>Gene ontology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KEGG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>Kyoto Encyclopedia of Genes and Genomes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DEGs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differentially </w:t>
      </w:r>
      <w:r>
        <w:rPr>
          <w:rFonts w:hint="eastAsia" w:cs="Times New Roman"/>
          <w:szCs w:val="24"/>
        </w:rPr>
        <w:t xml:space="preserve">expressed </w:t>
      </w:r>
      <w:r>
        <w:rPr>
          <w:rFonts w:cs="Times New Roman"/>
          <w:szCs w:val="24"/>
        </w:rPr>
        <w:t>genes</w:t>
      </w:r>
      <w:r>
        <w:rPr>
          <w:rFonts w:hint="eastAsia" w:cs="Times New Roman"/>
          <w:szCs w:val="24"/>
        </w:rPr>
        <w:t>.</w:t>
      </w:r>
    </w:p>
    <w:p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drawing>
          <wp:inline distT="0" distB="0" distL="0" distR="0">
            <wp:extent cx="6208395" cy="3053715"/>
            <wp:effectExtent l="0" t="0" r="1905" b="0"/>
            <wp:docPr id="4" name="图片 4" descr="E:\转录组文章写作\frontiers\投稿\图片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转录组文章写作\frontiers\投稿\图片\Figure 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</w:t>
      </w:r>
      <w:r>
        <w:rPr>
          <w:rFonts w:hint="eastAsia" w:cs="Times New Roman"/>
          <w:b/>
          <w:szCs w:val="24"/>
        </w:rPr>
        <w:t>IGURE S</w:t>
      </w:r>
      <w:r>
        <w:rPr>
          <w:rFonts w:hint="eastAsia" w:cs="Times New Roman"/>
          <w:b/>
          <w:szCs w:val="24"/>
          <w:lang w:val="en-US" w:eastAsia="zh-CN"/>
        </w:rPr>
        <w:t>6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(A)</w:t>
      </w:r>
      <w:r>
        <w:rPr>
          <w:rFonts w:cs="Times New Roman"/>
          <w:szCs w:val="24"/>
        </w:rPr>
        <w:t xml:space="preserve"> GO enrichment analysis of </w:t>
      </w:r>
      <w:r>
        <w:rPr>
          <w:rFonts w:hint="eastAsia"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DEGs only expressed in Group II. </w:t>
      </w:r>
      <w:r>
        <w:rPr>
          <w:rFonts w:cs="Times New Roman"/>
          <w:b/>
          <w:szCs w:val="24"/>
        </w:rPr>
        <w:t>(B)</w:t>
      </w:r>
      <w:r>
        <w:rPr>
          <w:rFonts w:cs="Times New Roman"/>
          <w:szCs w:val="24"/>
        </w:rPr>
        <w:t xml:space="preserve"> KEGG pathway enrichment analysis of DEGs only expressed in Group II. BP, biological process; CC, cellular component; MF, molecular function.</w:t>
      </w:r>
      <w:r>
        <w:rPr>
          <w:rFonts w:hint="eastAsia" w:cs="Times New Roman"/>
          <w:szCs w:val="24"/>
        </w:rPr>
        <w:t xml:space="preserve"> GO, </w:t>
      </w:r>
      <w:r>
        <w:rPr>
          <w:rFonts w:cs="Times New Roman"/>
          <w:szCs w:val="24"/>
        </w:rPr>
        <w:t>Gene ontology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KEGG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>Kyoto Encyclopedia of Genes and Genomes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DEGs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differentially </w:t>
      </w:r>
      <w:r>
        <w:rPr>
          <w:rFonts w:hint="eastAsia" w:cs="Times New Roman"/>
          <w:szCs w:val="24"/>
        </w:rPr>
        <w:t xml:space="preserve">expressed </w:t>
      </w:r>
      <w:r>
        <w:rPr>
          <w:rFonts w:cs="Times New Roman"/>
          <w:szCs w:val="24"/>
        </w:rPr>
        <w:t>genes</w:t>
      </w:r>
      <w:r>
        <w:rPr>
          <w:rFonts w:hint="eastAsia" w:cs="Times New Roman"/>
          <w:szCs w:val="24"/>
        </w:rPr>
        <w:t>.</w:t>
      </w:r>
    </w:p>
    <w:p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drawing>
          <wp:inline distT="0" distB="0" distL="0" distR="0">
            <wp:extent cx="6208395" cy="4657725"/>
            <wp:effectExtent l="0" t="0" r="1905" b="9525"/>
            <wp:docPr id="5" name="图片 5" descr="E:\转录组文章写作\frontiers\投稿\图片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转录组文章写作\frontiers\投稿\图片\Figure S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</w:t>
      </w:r>
      <w:r>
        <w:rPr>
          <w:rFonts w:hint="eastAsia" w:cs="Times New Roman"/>
          <w:b/>
          <w:szCs w:val="24"/>
        </w:rPr>
        <w:t xml:space="preserve">IGURE </w:t>
      </w:r>
      <w:r>
        <w:rPr>
          <w:rFonts w:hint="eastAsia" w:cs="Times New Roman"/>
          <w:b/>
          <w:szCs w:val="24"/>
          <w:lang w:eastAsia="zh-CN"/>
        </w:rPr>
        <w:t>S</w:t>
      </w:r>
      <w:r>
        <w:rPr>
          <w:rFonts w:hint="eastAsia" w:cs="Times New Roman"/>
          <w:b/>
          <w:szCs w:val="24"/>
          <w:lang w:val="en-US" w:eastAsia="zh-CN"/>
        </w:rPr>
        <w:t>7</w:t>
      </w:r>
      <w:r>
        <w:rPr>
          <w:rFonts w:cs="Times New Roman"/>
          <w:szCs w:val="24"/>
        </w:rPr>
        <w:t xml:space="preserve"> GO enrichment analysis of </w:t>
      </w:r>
      <w:r>
        <w:rPr>
          <w:rFonts w:hint="eastAsia"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DEGs of “MEmagenta” </w:t>
      </w:r>
      <w:r>
        <w:rPr>
          <w:rFonts w:cs="Times New Roman"/>
          <w:b/>
          <w:szCs w:val="24"/>
        </w:rPr>
        <w:t>(A)</w:t>
      </w:r>
      <w:r>
        <w:rPr>
          <w:rFonts w:cs="Times New Roman"/>
          <w:szCs w:val="24"/>
        </w:rPr>
        <w:t xml:space="preserve"> and “MEbrown” </w:t>
      </w:r>
      <w:r>
        <w:rPr>
          <w:rFonts w:cs="Times New Roman"/>
          <w:b/>
          <w:szCs w:val="24"/>
        </w:rPr>
        <w:t>(C)</w:t>
      </w:r>
      <w:r>
        <w:rPr>
          <w:rFonts w:cs="Times New Roman"/>
          <w:szCs w:val="24"/>
        </w:rPr>
        <w:t xml:space="preserve">. KEGG pathway enrichment analysis of the DEGs of “MEmagenta” </w:t>
      </w:r>
      <w:r>
        <w:rPr>
          <w:rFonts w:cs="Times New Roman"/>
          <w:b/>
          <w:szCs w:val="24"/>
        </w:rPr>
        <w:t>(B)</w:t>
      </w:r>
      <w:r>
        <w:rPr>
          <w:rFonts w:cs="Times New Roman"/>
          <w:szCs w:val="24"/>
        </w:rPr>
        <w:t xml:space="preserve"> and “MEbrown”</w:t>
      </w:r>
      <w:r>
        <w:rPr>
          <w:rFonts w:hint="eastAsia"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(D)</w:t>
      </w:r>
      <w:r>
        <w:rPr>
          <w:rFonts w:cs="Times New Roman"/>
          <w:szCs w:val="24"/>
        </w:rPr>
        <w:t>. BP, biological process; CC, cellular component; MF, molecular function.</w:t>
      </w:r>
      <w:r>
        <w:rPr>
          <w:rFonts w:hint="eastAsia" w:cs="Times New Roman"/>
          <w:szCs w:val="24"/>
        </w:rPr>
        <w:t xml:space="preserve"> GO, </w:t>
      </w:r>
      <w:r>
        <w:rPr>
          <w:rFonts w:cs="Times New Roman"/>
          <w:szCs w:val="24"/>
        </w:rPr>
        <w:t>Gene ontology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KEGG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>Kyoto Encyclopedia of Genes and Genomes</w:t>
      </w:r>
      <w:r>
        <w:rPr>
          <w:rFonts w:hint="eastAsia" w:cs="Times New Roman"/>
          <w:szCs w:val="24"/>
        </w:rPr>
        <w:t xml:space="preserve">; </w:t>
      </w:r>
      <w:r>
        <w:rPr>
          <w:rFonts w:cs="Times New Roman"/>
          <w:szCs w:val="24"/>
        </w:rPr>
        <w:t>DEGs</w:t>
      </w:r>
      <w:r>
        <w:rPr>
          <w:rFonts w:hint="eastAsia"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differentially </w:t>
      </w:r>
      <w:r>
        <w:rPr>
          <w:rFonts w:hint="eastAsia" w:cs="Times New Roman"/>
          <w:szCs w:val="24"/>
        </w:rPr>
        <w:t xml:space="preserve">expressed </w:t>
      </w:r>
      <w:r>
        <w:rPr>
          <w:rFonts w:cs="Times New Roman"/>
          <w:szCs w:val="24"/>
        </w:rPr>
        <w:t>genes</w:t>
      </w:r>
      <w:r>
        <w:rPr>
          <w:rFonts w:hint="eastAsia" w:cs="Times New Roman"/>
          <w:szCs w:val="24"/>
        </w:rPr>
        <w:t>.</w:t>
      </w:r>
    </w:p>
    <w:p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drawing>
          <wp:inline distT="0" distB="0" distL="0" distR="0">
            <wp:extent cx="5750560" cy="4069715"/>
            <wp:effectExtent l="0" t="0" r="2540" b="6985"/>
            <wp:docPr id="8" name="图片 8" descr="E:\转录组文章写作\frontiers\投稿\图片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转录组文章写作\frontiers\投稿\图片\Figure S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</w:t>
      </w:r>
      <w:r>
        <w:rPr>
          <w:rFonts w:hint="eastAsia" w:cs="Times New Roman"/>
          <w:b/>
          <w:szCs w:val="24"/>
        </w:rPr>
        <w:t>IGURE S</w:t>
      </w:r>
      <w:r>
        <w:rPr>
          <w:rFonts w:hint="eastAsia" w:cs="Times New Roman"/>
          <w:b/>
          <w:szCs w:val="24"/>
          <w:lang w:val="en-US" w:eastAsia="zh-CN"/>
        </w:rPr>
        <w:t>8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Co-expression network of genes</w:t>
      </w:r>
      <w:r>
        <w:rPr>
          <w:rFonts w:cs="Times New Roman"/>
          <w:szCs w:val="24"/>
        </w:rPr>
        <w:t>.</w:t>
      </w:r>
    </w:p>
    <w:p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drawing>
          <wp:inline distT="0" distB="0" distL="0" distR="0">
            <wp:extent cx="6208395" cy="5782310"/>
            <wp:effectExtent l="0" t="0" r="1905" b="8890"/>
            <wp:docPr id="9" name="图片 9" descr="E:\转录组文章写作\frontiers\投稿\图片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转录组文章写作\frontiers\投稿\图片\Figure S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</w:t>
      </w:r>
      <w:r>
        <w:rPr>
          <w:rFonts w:hint="eastAsia" w:cs="Times New Roman"/>
          <w:b/>
          <w:szCs w:val="24"/>
        </w:rPr>
        <w:t>IGURE S</w:t>
      </w:r>
      <w:r>
        <w:rPr>
          <w:rFonts w:hint="eastAsia" w:cs="Times New Roman"/>
          <w:b/>
          <w:szCs w:val="24"/>
          <w:lang w:val="en-US" w:eastAsia="zh-CN"/>
        </w:rPr>
        <w:t>9</w:t>
      </w:r>
      <w:r>
        <w:rPr>
          <w:rFonts w:cs="Times New Roman"/>
          <w:szCs w:val="24"/>
        </w:rPr>
        <w:t xml:space="preserve"> Validation of RNA-Seq results using qRT-PCR.</w:t>
      </w:r>
    </w:p>
    <w:p>
      <w:pPr>
        <w:pStyle w:val="4"/>
      </w:pPr>
      <w:r>
        <w:t xml:space="preserve">Supplementary </w:t>
      </w:r>
      <w:r>
        <w:rPr>
          <w:rFonts w:hint="eastAsia" w:eastAsiaTheme="minorEastAsia"/>
          <w:lang w:eastAsia="zh-CN"/>
        </w:rPr>
        <w:t>Table</w:t>
      </w:r>
      <w:r>
        <w:t>s</w:t>
      </w:r>
    </w:p>
    <w:p>
      <w:pPr>
        <w:rPr>
          <w:rFonts w:cs="Times New Roman"/>
        </w:rPr>
      </w:pPr>
      <w:r>
        <w:rPr>
          <w:rFonts w:cs="Times New Roman"/>
          <w:b/>
        </w:rPr>
        <w:t xml:space="preserve">Table </w:t>
      </w:r>
      <w:r>
        <w:rPr>
          <w:rFonts w:hint="eastAsia" w:cs="Times New Roman"/>
          <w:b/>
        </w:rPr>
        <w:t>S1</w:t>
      </w:r>
      <w:r>
        <w:rPr>
          <w:rFonts w:cs="Times New Roman"/>
        </w:rPr>
        <w:t xml:space="preserve"> Evaluation </w:t>
      </w:r>
      <w:r>
        <w:rPr>
          <w:rFonts w:hint="eastAsia" w:cs="Times New Roman"/>
        </w:rPr>
        <w:t>of</w:t>
      </w:r>
      <w:r>
        <w:rPr>
          <w:rFonts w:cs="Times New Roman"/>
        </w:rPr>
        <w:t xml:space="preserve"> the RNA-Seq data quality</w:t>
      </w:r>
    </w:p>
    <w:tbl>
      <w:tblPr>
        <w:tblStyle w:val="20"/>
        <w:tblW w:w="443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176"/>
        <w:gridCol w:w="1176"/>
        <w:gridCol w:w="1356"/>
        <w:gridCol w:w="1143"/>
        <w:gridCol w:w="756"/>
        <w:gridCol w:w="756"/>
        <w:gridCol w:w="13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Sample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name</w:t>
            </w:r>
          </w:p>
        </w:tc>
        <w:tc>
          <w:tcPr>
            <w:tcW w:w="6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Raw 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data (bp)</w:t>
            </w:r>
          </w:p>
        </w:tc>
        <w:tc>
          <w:tcPr>
            <w:tcW w:w="6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Clean 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data (bp)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Clean bases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(G)</w:t>
            </w:r>
          </w:p>
        </w:tc>
        <w:tc>
          <w:tcPr>
            <w:tcW w:w="64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Error rate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(%)</w:t>
            </w:r>
          </w:p>
        </w:tc>
        <w:tc>
          <w:tcPr>
            <w:tcW w:w="4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Q20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(%)</w:t>
            </w:r>
          </w:p>
        </w:tc>
        <w:tc>
          <w:tcPr>
            <w:tcW w:w="4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Q30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(%)</w:t>
            </w:r>
          </w:p>
        </w:tc>
        <w:tc>
          <w:tcPr>
            <w:tcW w:w="75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GC</w:t>
            </w:r>
          </w:p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percent 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LN20_1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46706614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45572522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6.84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95.45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LN20_2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41290668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39971960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6.00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95.32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LN20_3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45323010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43924652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95.35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LN40_1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45100328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43595360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95.44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LN40_2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41037224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39897244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5.98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95.16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LN40_3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47762152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46653490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7.00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95.43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LN60_1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43062818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42004942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6.30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98.33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94.51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LN60_2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45659974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44386664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6.66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95.23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LN60_3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46281344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45084664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94.97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LN80_1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44185546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43149450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6.47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LN80_2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43205308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42273388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6.34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95.17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LN80_3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45902754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44689044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95.21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LN100_1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47319056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46328970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6.95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95.16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LN100_2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47618084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46581038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6.99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98.71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95.54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LN100_3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45648036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44574892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6.69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95.07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42.89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NN20_1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46271852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44900940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95.39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NN20_2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48251918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47191724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7.08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94.99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NN20_3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52313574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51073062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7.66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98.48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94.93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NN40_1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48457748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47475326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7.12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NN40_2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44770788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43534756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6.53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98.59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95.23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NN40_3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46837206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45733226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6.86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98.56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NN60_1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46524038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45414530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6.81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95.14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NN60_2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43933332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42392662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6.36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95.39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NN60_3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44485534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43376834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95.25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NN80_1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46208268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45119702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95.04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NN80_2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46114580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44932544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95.25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NN80_3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45254198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44179084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6.63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95.49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NN100_1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46102494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44682658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6.70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95.42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NN100_2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46999922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45776970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6.87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98.62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95.32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NN100_3</w:t>
            </w:r>
          </w:p>
        </w:tc>
        <w:tc>
          <w:tcPr>
            <w:tcW w:w="66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47984112</w:t>
            </w:r>
          </w:p>
        </w:tc>
        <w:tc>
          <w:tcPr>
            <w:tcW w:w="66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46388266</w:t>
            </w:r>
          </w:p>
        </w:tc>
        <w:tc>
          <w:tcPr>
            <w:tcW w:w="76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6.96</w:t>
            </w:r>
          </w:p>
        </w:tc>
        <w:tc>
          <w:tcPr>
            <w:tcW w:w="64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4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98.73</w:t>
            </w:r>
          </w:p>
        </w:tc>
        <w:tc>
          <w:tcPr>
            <w:tcW w:w="4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95.6</w:t>
            </w:r>
          </w:p>
        </w:tc>
        <w:tc>
          <w:tcPr>
            <w:tcW w:w="7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43.24</w:t>
            </w:r>
          </w:p>
        </w:tc>
      </w:tr>
    </w:tbl>
    <w:p>
      <w:pPr>
        <w:rPr>
          <w:rFonts w:eastAsia="WarnockPro-Regular" w:cs="Times New Roman"/>
          <w:color w:val="000000"/>
          <w:sz w:val="22"/>
        </w:rPr>
      </w:pPr>
      <w:r>
        <w:rPr>
          <w:rFonts w:hint="eastAsia" w:eastAsia="WarnockPro-Regular" w:cs="Times New Roman"/>
          <w:b/>
          <w:color w:val="000000"/>
          <w:sz w:val="22"/>
        </w:rPr>
        <w:t>Table S</w:t>
      </w:r>
      <w:r>
        <w:rPr>
          <w:rFonts w:hint="eastAsia" w:eastAsia="WarnockPro-Regular" w:cs="Times New Roman"/>
          <w:b/>
          <w:color w:val="000000"/>
          <w:sz w:val="22"/>
          <w:lang w:eastAsia="zh-CN"/>
        </w:rPr>
        <w:t>2</w:t>
      </w:r>
      <w:r>
        <w:rPr>
          <w:rFonts w:hint="eastAsia" w:eastAsia="WarnockPro-Regular" w:cs="Times New Roman"/>
          <w:color w:val="000000"/>
          <w:sz w:val="22"/>
        </w:rPr>
        <w:t xml:space="preserve"> The statistics of the comparison between reads and the conference gen</w:t>
      </w:r>
      <w:r>
        <w:rPr>
          <w:rFonts w:hint="eastAsia" w:eastAsia="WarnockPro-Regular" w:cs="Times New Roman"/>
          <w:color w:val="000000"/>
          <w:sz w:val="22"/>
          <w:lang w:eastAsia="zh-CN"/>
        </w:rPr>
        <w:t>o</w:t>
      </w:r>
      <w:r>
        <w:rPr>
          <w:rFonts w:hint="eastAsia" w:eastAsia="WarnockPro-Regular" w:cs="Times New Roman"/>
          <w:color w:val="000000"/>
          <w:sz w:val="22"/>
        </w:rPr>
        <w:t>me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635"/>
        <w:gridCol w:w="1635"/>
        <w:gridCol w:w="1636"/>
        <w:gridCol w:w="1636"/>
        <w:gridCol w:w="18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S</w:t>
            </w:r>
            <w:r>
              <w:rPr>
                <w:rFonts w:eastAsia="宋体" w:cs="Times New Roman"/>
                <w:color w:val="000000"/>
                <w:szCs w:val="24"/>
              </w:rPr>
              <w:t>ample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T</w:t>
            </w:r>
            <w:r>
              <w:rPr>
                <w:rFonts w:eastAsia="宋体" w:cs="Times New Roman"/>
                <w:color w:val="000000"/>
                <w:szCs w:val="24"/>
              </w:rPr>
              <w:t>otal reads</w:t>
            </w:r>
          </w:p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(bp)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T</w:t>
            </w:r>
            <w:r>
              <w:rPr>
                <w:rFonts w:eastAsia="宋体" w:cs="Times New Roman"/>
                <w:color w:val="000000"/>
                <w:szCs w:val="24"/>
              </w:rPr>
              <w:t>otal map</w:t>
            </w:r>
          </w:p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(bp)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T</w:t>
            </w:r>
            <w:r>
              <w:rPr>
                <w:rFonts w:eastAsia="宋体" w:cs="Times New Roman"/>
                <w:color w:val="000000"/>
                <w:szCs w:val="24"/>
              </w:rPr>
              <w:t>otal map rate</w:t>
            </w:r>
          </w:p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(%)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U</w:t>
            </w:r>
            <w:r>
              <w:rPr>
                <w:rFonts w:eastAsia="宋体" w:cs="Times New Roman"/>
                <w:color w:val="000000"/>
                <w:szCs w:val="24"/>
              </w:rPr>
              <w:t>nique map</w:t>
            </w:r>
          </w:p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(bp)</w:t>
            </w:r>
          </w:p>
        </w:tc>
        <w:tc>
          <w:tcPr>
            <w:tcW w:w="8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hint="eastAsia" w:eastAsia="宋体" w:cs="Times New Roman"/>
                <w:color w:val="000000"/>
                <w:szCs w:val="24"/>
              </w:rPr>
              <w:t>U</w:t>
            </w:r>
            <w:r>
              <w:rPr>
                <w:rFonts w:eastAsia="宋体" w:cs="Times New Roman"/>
                <w:color w:val="000000"/>
                <w:szCs w:val="24"/>
              </w:rPr>
              <w:t>nique map rate</w:t>
            </w:r>
          </w:p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LN20_1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45572522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44046178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96.65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42350546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LN20_2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39971960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37757610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94.46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36174622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LN20_3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43924652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40771954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92.82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39015000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LN40_1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43595360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40519981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92.95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38740608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LN40_2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39897244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36708124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92.01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35269134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LN40_3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46653490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43819712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93.93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42148086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LN60_1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42004942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39731711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94.59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38142834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LN60_2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44386664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41518422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93.54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39789961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89.64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LN60_3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45084664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42624073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94.54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40914605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LN80_1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43149450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40654900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38966575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LN80_2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42273388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38837598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91.87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37273714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LN80_3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44689044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41994166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93.97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40311541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LN100_1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46328970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39749426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85.80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38238444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82.54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LN100_2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46581038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43161261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92.66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41479677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89.05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LN100_3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44574892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40473059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90.80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38834846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87.12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NN20_1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44900940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41309756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39656179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NN20_2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47191724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43055932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91.24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41534520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NN20_3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51073062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47175068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92.37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45352761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NN40_1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47475326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43866364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92.40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42293547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89.09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NN40_2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43534756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40148759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38481295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NN40_3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45733226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41951749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91.73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40377264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NN60_1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45414530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42606393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93.82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40999563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NN60_2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42392662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40222979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94.88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38465814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NN60_3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43376834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41453027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95.56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39820822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91.80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NN80_1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45119702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41569375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92.13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39857611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NN80_2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44932544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41918461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93.29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40196786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89.46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NN80_3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44179084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40722581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92.18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39063151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88.42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NN100_1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44682658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42620443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95.38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40842845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91.41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NN100_2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45776970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42658877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93.19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40921610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89.39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NN100_3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46388266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43806514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94.43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41921350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</w:rPr>
              <w:t>90.37</w:t>
            </w:r>
          </w:p>
        </w:tc>
      </w:tr>
    </w:tbl>
    <w:p>
      <w:pPr>
        <w:rPr>
          <w:rFonts w:eastAsia="WarnockPro-Regular" w:cs="Times New Roman"/>
          <w:color w:val="000000"/>
          <w:sz w:val="22"/>
        </w:rPr>
      </w:pPr>
      <w:r>
        <w:rPr>
          <w:rFonts w:hint="eastAsia" w:eastAsia="WarnockPro-Regular" w:cs="Times New Roman"/>
          <w:b/>
          <w:color w:val="000000"/>
          <w:sz w:val="22"/>
        </w:rPr>
        <w:t>Table S</w:t>
      </w:r>
      <w:r>
        <w:rPr>
          <w:rFonts w:hint="eastAsia" w:eastAsia="WarnockPro-Regular" w:cs="Times New Roman"/>
          <w:b/>
          <w:color w:val="000000"/>
          <w:sz w:val="22"/>
          <w:lang w:eastAsia="zh-CN"/>
        </w:rPr>
        <w:t>3</w:t>
      </w:r>
      <w:r>
        <w:rPr>
          <w:rFonts w:hint="eastAsia" w:eastAsia="WarnockPro-Regular" w:cs="Times New Roman"/>
          <w:color w:val="000000"/>
          <w:sz w:val="22"/>
        </w:rPr>
        <w:t xml:space="preserve"> The primers for each reference gene for qRT-PCR analysis</w:t>
      </w:r>
    </w:p>
    <w:tbl>
      <w:tblPr>
        <w:tblStyle w:val="2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7"/>
        <w:gridCol w:w="2756"/>
        <w:gridCol w:w="27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Gene name/Gene ID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Forward primer (5'-3')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Reverse primer (5'-3')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Actin-7-like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/LOC107911663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GAACTGGAATGGTGAAGGC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TGACCCATCCCAACCATAAC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NCED1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/Gh_A10G034400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GGTGATCGGTTCTTGCAT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ATTCAGCCTGATTTCGGAC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NCED6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/Gh_A10G034400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CAACCCTCACTTCACTTCTT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GCGGGATTGACGATAAACT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CYP707A2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/Gh_D03G138900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ACAAGAAGGTGTTCGACG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GTCTCTTGAATCACCCTGG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CYP707A4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/Gh_A06G007600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ACGAAGTGAAAGATACGGGA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sz w:val="18"/>
                <w:szCs w:val="16"/>
              </w:rPr>
            </w:pPr>
            <w:r>
              <w:rPr>
                <w:rFonts w:eastAsia="宋体" w:cs="Times New Roman"/>
                <w:sz w:val="18"/>
                <w:szCs w:val="16"/>
              </w:rPr>
              <w:t>GCTGATTCGGTGCTCTTTAC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PHT1-5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/Ghir_A02G002290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ACAACACAGGTTTCCTCATC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CACAATGAATGTGGTGGAGT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AMT1-1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/Ghir_A02G004530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CATTCGGGTAGATCGGTG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CCAACCGAACCAAAGCAT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NPF4.3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/Ghir_D06G015250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TGCAGCAATCCGCAATAG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CAAAGCAGCTTCCTTGTCT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HSF24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/Ghir_A02G017330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ACGAGAACGAGAAGCTGA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GACCAGTTCGTCGCATTG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PER55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/Ghir_A07G024640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CAAGTGCTTAACACCGATCC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ACCCTTCCAAGTTTCCTCA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RD21A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/Ghir_D01G011920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TTTCCAAGGCCAGTGACC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ATCTTTGACTTCAGCGACAG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CYP736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/Ghir_D09G005090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AAGAATGGTGGAGGAAACTG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AAGGTGCAATAGGATGAAGC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PHT1-5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/Ghir_D02G002520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ATGGGTTTCTTCACTGACG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TCCAGGCTTTGCAGAATG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PHT1-5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/Ghir_A02G002300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TGCACTTCCAGCTCTTCTCA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CTGTTTGGCATTTCGGGCTA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i/>
                <w:iCs/>
                <w:color w:val="000000"/>
                <w:sz w:val="18"/>
                <w:szCs w:val="16"/>
              </w:rPr>
              <w:t>LAP1</w:t>
            </w:r>
            <w:r>
              <w:rPr>
                <w:rFonts w:eastAsia="宋体" w:cs="Times New Roman"/>
                <w:color w:val="000000"/>
                <w:sz w:val="18"/>
                <w:szCs w:val="16"/>
              </w:rPr>
              <w:t>/Ghir_D13G020370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GTGCTATCAATGCAGCTCT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 w:val="18"/>
                <w:szCs w:val="16"/>
              </w:rPr>
            </w:pPr>
            <w:r>
              <w:rPr>
                <w:rFonts w:eastAsia="宋体" w:cs="Times New Roman"/>
                <w:color w:val="000000"/>
                <w:sz w:val="18"/>
                <w:szCs w:val="16"/>
              </w:rPr>
              <w:t>GCAACATGGTTTGACCGT</w:t>
            </w:r>
          </w:p>
        </w:tc>
      </w:tr>
    </w:tbl>
    <w:p>
      <w:pPr>
        <w:rPr>
          <w:rFonts w:cs="Times New Roman"/>
        </w:rPr>
      </w:pPr>
      <w:r>
        <w:rPr>
          <w:rFonts w:cs="Times New Roman"/>
          <w:b/>
        </w:rPr>
        <w:t xml:space="preserve">Table </w:t>
      </w:r>
      <w:r>
        <w:rPr>
          <w:rFonts w:hint="eastAsia" w:cs="Times New Roman"/>
          <w:b/>
        </w:rPr>
        <w:t>S3</w:t>
      </w:r>
      <w:r>
        <w:rPr>
          <w:rFonts w:cs="Times New Roman"/>
        </w:rPr>
        <w:t xml:space="preserve"> </w:t>
      </w:r>
      <w:r>
        <w:rPr>
          <w:rFonts w:hint="eastAsia" w:cs="Times New Roman"/>
        </w:rPr>
        <w:t>The key genes that be identified</w:t>
      </w:r>
    </w:p>
    <w:tbl>
      <w:tblPr>
        <w:tblStyle w:val="2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3"/>
        <w:gridCol w:w="60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/>
                <w:color w:val="000000"/>
                <w:szCs w:val="21"/>
              </w:rPr>
              <w:t>Gene 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/>
                <w:color w:val="000000"/>
                <w:szCs w:val="21"/>
              </w:rPr>
              <w:t xml:space="preserve">Gene </w:t>
            </w:r>
            <w:r>
              <w:rPr>
                <w:rFonts w:hint="eastAsia" w:eastAsia="宋体" w:cs="Times New Roman"/>
                <w:color w:val="000000"/>
                <w:szCs w:val="21"/>
              </w:rPr>
              <w:t>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/>
                <w:color w:val="000000"/>
                <w:szCs w:val="21"/>
              </w:rPr>
              <w:t>Phytohormone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Ghir_A12G010870/Ghir_D12G015490/Ghir_D05G014030/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Ghir_D06G008630/Ghir_D02G023940/Ghir_D05G003720/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Ghir_D05G015750/Ghir_D13G024280/Ghir_A12G027630/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Ghir_D06G009100/Ghir_D07G001260/Ghir_D11G027410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/>
                <w:color w:val="000000"/>
                <w:szCs w:val="21"/>
              </w:rPr>
              <w:t>ROS detoxification 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Ghir_D07G021980/Ghir_A02G002860/Ghir_A07G021890/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Ghir_D13G010870/Ghir_A09G017000/Ghir_D09G016460/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Ghir_D10G015610/Ghir_D11G014400/Ghir_D04G009280/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Ghir_D06G007460/Ghir_A06G007270/Ghir_A07G023600/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Ghir_D09G003210/Ghir_D12G007600/Ghir_A04G007750/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Ghir_A08G024060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/>
                <w:color w:val="000000"/>
                <w:szCs w:val="21"/>
              </w:rPr>
              <w:t>Cell cycle pathway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Ghir_A08G021980/Ghir_A01G016710/Ghir_A06G004940/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Ghir_A06G013530/Ghir_D06G013730/Ghir_A13G004540/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Ghir_A03G020490/Ghir_D05G024100/Ghir_D11G036790/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Ghir_D09G011240/Ghir_D02G021370/Ghir_D11G002890/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Ghir_A11G002880/Ghir_D08G005160/Ghir_A08G006980/</w:t>
            </w:r>
          </w:p>
          <w:p>
            <w:pPr>
              <w:rPr>
                <w:rFonts w:eastAsia="宋体" w:cs="Times New Roman"/>
                <w:i/>
                <w:iCs/>
                <w:color w:val="000000"/>
                <w:szCs w:val="21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1"/>
              </w:rPr>
              <w:t>Ghir_D06G020150</w:t>
            </w:r>
          </w:p>
        </w:tc>
      </w:tr>
    </w:tbl>
    <w:p>
      <w:pPr>
        <w:keepNext/>
        <w:rPr>
          <w:rFonts w:cs="Times New Roman"/>
          <w:b/>
          <w:szCs w:val="24"/>
          <w:lang w:eastAsia="zh-CN"/>
        </w:rPr>
      </w:pPr>
    </w:p>
    <w:p>
      <w:pPr>
        <w:spacing w:before="240"/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arnockPro-Regular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9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10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50A"/>
    <w:rsid w:val="00052A14"/>
    <w:rsid w:val="00077D53"/>
    <w:rsid w:val="00105FD9"/>
    <w:rsid w:val="00117666"/>
    <w:rsid w:val="001549D3"/>
    <w:rsid w:val="00160065"/>
    <w:rsid w:val="00177D84"/>
    <w:rsid w:val="001A7F76"/>
    <w:rsid w:val="00267D18"/>
    <w:rsid w:val="00274347"/>
    <w:rsid w:val="002868E2"/>
    <w:rsid w:val="002869C3"/>
    <w:rsid w:val="002936E4"/>
    <w:rsid w:val="002B4A57"/>
    <w:rsid w:val="002C74CA"/>
    <w:rsid w:val="003123F4"/>
    <w:rsid w:val="00343BDE"/>
    <w:rsid w:val="003544FB"/>
    <w:rsid w:val="003D2F2D"/>
    <w:rsid w:val="00401590"/>
    <w:rsid w:val="00447801"/>
    <w:rsid w:val="00452E9C"/>
    <w:rsid w:val="004735C8"/>
    <w:rsid w:val="004947A6"/>
    <w:rsid w:val="004961FF"/>
    <w:rsid w:val="004D311A"/>
    <w:rsid w:val="004F1C9B"/>
    <w:rsid w:val="00517A89"/>
    <w:rsid w:val="005250F2"/>
    <w:rsid w:val="00591DE1"/>
    <w:rsid w:val="00593EEA"/>
    <w:rsid w:val="005A5EEE"/>
    <w:rsid w:val="006375C7"/>
    <w:rsid w:val="00654E8F"/>
    <w:rsid w:val="00660D05"/>
    <w:rsid w:val="006820B1"/>
    <w:rsid w:val="006B7D14"/>
    <w:rsid w:val="006E5FC3"/>
    <w:rsid w:val="00701727"/>
    <w:rsid w:val="0070566C"/>
    <w:rsid w:val="007132C4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42D9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4CAB"/>
    <w:rsid w:val="00F46900"/>
    <w:rsid w:val="00F61D89"/>
    <w:rsid w:val="0E2C3269"/>
    <w:rsid w:val="6CA0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Char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Char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tiff"/><Relationship Id="rId15" Type="http://schemas.openxmlformats.org/officeDocument/2006/relationships/image" Target="media/image8.tiff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4C7C9B-D791-47A7-A531-A3B74C0B76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10</Pages>
  <Words>975</Words>
  <Characters>5562</Characters>
  <Lines>46</Lines>
  <Paragraphs>13</Paragraphs>
  <TotalTime>0</TotalTime>
  <ScaleCrop>false</ScaleCrop>
  <LinksUpToDate>false</LinksUpToDate>
  <CharactersWithSpaces>6524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小肥鱼游呀游</cp:lastModifiedBy>
  <cp:lastPrinted>2013-10-03T12:51:00Z</cp:lastPrinted>
  <dcterms:modified xsi:type="dcterms:W3CDTF">2021-09-20T09:48:27Z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