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jc w:val="both"/>
        <w:rPr>
          <w:b w:val="0"/>
        </w:rPr>
      </w:pPr>
      <w:r>
        <w:t>Supplementary Material</w:t>
      </w:r>
    </w:p>
    <w:p>
      <w:pPr>
        <w:pStyle w:val="2"/>
        <w:jc w:val="both"/>
      </w:pPr>
      <w:bookmarkStart w:id="0" w:name="_Hlk78314025"/>
      <w:r>
        <w:t>Supplementary Tables</w:t>
      </w:r>
    </w:p>
    <w:bookmarkEnd w:id="0"/>
    <w:p>
      <w:pPr>
        <w:keepNext/>
        <w:jc w:val="both"/>
        <w:rPr>
          <w:rFonts w:cs="Times New Roman"/>
          <w:szCs w:val="24"/>
        </w:rPr>
      </w:pPr>
      <w:r>
        <w:rPr>
          <w:rFonts w:cs="Times New Roman"/>
          <w:szCs w:val="24"/>
        </w:rPr>
        <w:t xml:space="preserve">Table S1. Sample size and cell number of single cells across six cancer types. </w:t>
      </w:r>
    </w:p>
    <w:p>
      <w:pPr>
        <w:keepNext/>
        <w:jc w:val="both"/>
        <w:rPr>
          <w:rFonts w:cs="Times New Roman"/>
          <w:szCs w:val="24"/>
        </w:rPr>
      </w:pPr>
      <w:r>
        <w:rPr>
          <w:rFonts w:cs="Times New Roman"/>
          <w:szCs w:val="24"/>
        </w:rPr>
        <w:t xml:space="preserve">Table S2. The definition of sub-cluster and the marker gene list for cluster and subcluster for each cell types. </w:t>
      </w:r>
    </w:p>
    <w:p>
      <w:pPr>
        <w:keepNext/>
        <w:jc w:val="both"/>
        <w:rPr>
          <w:rFonts w:cs="Times New Roman"/>
          <w:szCs w:val="24"/>
        </w:rPr>
      </w:pPr>
      <w:r>
        <w:rPr>
          <w:rFonts w:cs="Times New Roman"/>
          <w:szCs w:val="24"/>
        </w:rPr>
        <w:t xml:space="preserve">Table S3. Gene list of each gene signatures analyzed in this study. </w:t>
      </w:r>
    </w:p>
    <w:p>
      <w:pPr>
        <w:keepNext/>
        <w:jc w:val="both"/>
        <w:rPr>
          <w:rFonts w:cs="Times New Roman"/>
          <w:szCs w:val="24"/>
        </w:rPr>
      </w:pPr>
      <w:r>
        <w:rPr>
          <w:rFonts w:cs="Times New Roman"/>
          <w:szCs w:val="24"/>
        </w:rPr>
        <w:t xml:space="preserve">Table S4. Primer sequence used in this study. </w:t>
      </w:r>
    </w:p>
    <w:p>
      <w:pPr>
        <w:keepNext/>
        <w:jc w:val="both"/>
        <w:rPr>
          <w:rFonts w:cs="Times New Roman"/>
          <w:szCs w:val="24"/>
        </w:rPr>
      </w:pPr>
      <w:r>
        <w:rPr>
          <w:rFonts w:cs="Times New Roman"/>
          <w:szCs w:val="24"/>
        </w:rPr>
        <w:t>Table S5. The ligand receptor pairs among different cell types.</w:t>
      </w:r>
    </w:p>
    <w:p>
      <w:pPr>
        <w:keepNext/>
        <w:jc w:val="both"/>
        <w:rPr>
          <w:rFonts w:cs="Times New Roman"/>
          <w:szCs w:val="24"/>
        </w:rPr>
      </w:pPr>
      <w:r>
        <w:rPr>
          <w:rFonts w:cs="Times New Roman"/>
          <w:szCs w:val="24"/>
        </w:rPr>
        <w:t xml:space="preserve">Table S6. The proportion of each cell subcluster across patient in six cancer types.  </w:t>
      </w:r>
    </w:p>
    <w:p>
      <w:pPr>
        <w:keepNext/>
        <w:jc w:val="both"/>
        <w:rPr>
          <w:rFonts w:cs="Times New Roman"/>
          <w:szCs w:val="24"/>
        </w:rPr>
      </w:pPr>
      <w:r>
        <w:rPr>
          <w:rFonts w:cs="Times New Roman"/>
          <w:szCs w:val="24"/>
        </w:rPr>
        <w:t>Table S7. The correlation coefficient between receptors</w:t>
      </w:r>
      <w:r>
        <w:rPr>
          <w:rFonts w:hint="eastAsia" w:cs="Times New Roman"/>
          <w:szCs w:val="24"/>
          <w:lang w:val="en-US" w:eastAsia="zh-CN"/>
        </w:rPr>
        <w:t xml:space="preserve"> with</w:t>
      </w:r>
      <w:r>
        <w:rPr>
          <w:rFonts w:cs="Times New Roman"/>
          <w:szCs w:val="24"/>
        </w:rPr>
        <w:t xml:space="preserve"> specific genes and gene sets in cancer cells</w:t>
      </w:r>
      <w:r>
        <w:rPr>
          <w:rFonts w:hint="eastAsia" w:cs="Times New Roman"/>
          <w:szCs w:val="24"/>
          <w:lang w:val="en-US" w:eastAsia="zh-CN"/>
        </w:rPr>
        <w:t xml:space="preserve"> and the SPP1 expression in </w:t>
      </w:r>
      <w:r>
        <w:rPr>
          <w:rFonts w:ascii="Arial" w:hAnsi="Arial" w:eastAsia="宋体" w:cs="Arial"/>
          <w:b w:val="0"/>
          <w:bCs w:val="0"/>
          <w:i w:val="0"/>
          <w:iCs w:val="0"/>
          <w:caps w:val="0"/>
          <w:color w:val="666666"/>
          <w:spacing w:val="0"/>
          <w:sz w:val="10"/>
          <w:szCs w:val="10"/>
          <w:shd w:val="clear" w:fill="FFFFFF"/>
        </w:rPr>
        <w:t> </w:t>
      </w:r>
      <w:r>
        <w:rPr>
          <w:rFonts w:hint="default" w:cs="Times New Roman"/>
          <w:szCs w:val="24"/>
        </w:rPr>
        <w:t>single macrophage</w:t>
      </w:r>
      <w:r>
        <w:rPr>
          <w:rFonts w:hint="eastAsia" w:cs="Times New Roman"/>
          <w:szCs w:val="24"/>
          <w:lang w:val="en-US" w:eastAsia="zh-CN"/>
        </w:rPr>
        <w:t xml:space="preserve"> across 6 </w:t>
      </w:r>
      <w:bookmarkStart w:id="1" w:name="_GoBack"/>
      <w:bookmarkEnd w:id="1"/>
      <w:r>
        <w:rPr>
          <w:rFonts w:hint="eastAsia" w:cs="Times New Roman"/>
          <w:szCs w:val="24"/>
          <w:lang w:val="en-US" w:eastAsia="zh-CN"/>
        </w:rPr>
        <w:t>cancer types</w:t>
      </w:r>
      <w:r>
        <w:rPr>
          <w:rFonts w:cs="Times New Roman"/>
          <w:szCs w:val="24"/>
        </w:rPr>
        <w:t xml:space="preserve">. </w:t>
      </w:r>
    </w:p>
    <w:p>
      <w:pPr>
        <w:keepNext/>
        <w:jc w:val="both"/>
        <w:rPr>
          <w:rFonts w:cs="Times New Roman"/>
          <w:szCs w:val="24"/>
        </w:rPr>
      </w:pPr>
      <w:r>
        <w:rPr>
          <w:rFonts w:cs="Times New Roman"/>
          <w:szCs w:val="24"/>
        </w:rPr>
        <w:t xml:space="preserve">Table S8. The different expressed genes in hypoxia single cells and hypoxia TCGA cancer. </w:t>
      </w:r>
    </w:p>
    <w:p>
      <w:pPr>
        <w:pStyle w:val="2"/>
        <w:jc w:val="both"/>
      </w:pPr>
      <w:r>
        <w:t>Supplementary Figures</w:t>
      </w:r>
    </w:p>
    <w:p>
      <w:pPr>
        <w:keepNext/>
        <w:jc w:val="both"/>
        <w:rPr>
          <w:rFonts w:cs="Times New Roman"/>
          <w:szCs w:val="24"/>
        </w:rPr>
      </w:pPr>
      <w:r>
        <w:rPr>
          <w:rFonts w:cs="Times New Roman"/>
          <w:szCs w:val="24"/>
        </w:rPr>
        <w:t xml:space="preserve">Figure S1. Cell type identification in pan-cancer landscape. (A). The proportion of cells that contributed to tumor tissues (left) and all tissues (right), colored by cell type. (B). The proportion of cells that contributed to each cell type by each sample, colored by sample. </w:t>
      </w:r>
    </w:p>
    <w:p>
      <w:pPr>
        <w:keepNext/>
        <w:jc w:val="both"/>
        <w:rPr>
          <w:rFonts w:cs="Times New Roman"/>
          <w:szCs w:val="24"/>
        </w:rPr>
      </w:pPr>
      <w:r>
        <w:rPr>
          <w:rFonts w:cs="Times New Roman"/>
          <w:szCs w:val="24"/>
        </w:rPr>
        <w:t>Figure S2. Subtype classification and characteristics of stroma cells and myeloid cells across six cancer types. (A). Heatmap of Z-score normalized log2 (count+1) expression of canonical marker genes for fibroblasts. The color of square on the top map indicates the average hypoxia score for each fibroblast clusters (light green to green). The expression was centered to the average log2 (count+1) expression across all single cells with a scale from 2 to −2. (B). Hallmark gene set scores for ex</w:t>
      </w:r>
      <w:r>
        <w:rPr>
          <w:rFonts w:hint="eastAsia" w:cs="Times New Roman"/>
          <w:szCs w:val="24"/>
        </w:rPr>
        <w:t xml:space="preserve">tracellular matrix (ECM) remodeling for all stroma cell clusters in BC, CRC, LC, OV, and PDAC. FS1, FS2, FS3, FS4, and FS5 are the subcluster 0, 1, 2, 3, and 4 of stroma cells. ****p≤0.0001, two-sided Wilcoxon rank sum test. </w:t>
      </w:r>
      <w:r>
        <w:rPr>
          <w:rFonts w:cs="Times New Roman"/>
          <w:szCs w:val="24"/>
        </w:rPr>
        <w:t>(C)</w:t>
      </w:r>
      <w:r>
        <w:rPr>
          <w:rFonts w:hint="eastAsia" w:cs="Times New Roman"/>
          <w:szCs w:val="24"/>
        </w:rPr>
        <w:t xml:space="preserve">. Heatmap of marker genes for </w:t>
      </w:r>
      <w:r>
        <w:rPr>
          <w:rFonts w:cs="Times New Roman"/>
          <w:szCs w:val="24"/>
        </w:rPr>
        <w:t xml:space="preserve">myeloid cells (see A). </w:t>
      </w:r>
    </w:p>
    <w:p>
      <w:pPr>
        <w:keepNext/>
        <w:jc w:val="both"/>
        <w:rPr>
          <w:rFonts w:cs="Times New Roman"/>
          <w:szCs w:val="24"/>
        </w:rPr>
      </w:pPr>
      <w:r>
        <w:rPr>
          <w:rFonts w:cs="Times New Roman"/>
          <w:szCs w:val="24"/>
        </w:rPr>
        <w:t>Figure S3. Subtype classification and characteristics of myeloid cells, T and NK cells across cancer types. (A). Heatmap of specific gene set calculated by GSVA score for myeloid cells across six cancer types. (B). The branched trajectory of myeloid cells state transition in LC, OV and PDAC inferred by Monocle 2. Each dot corresponds to one single cell, colored according to its cluster label. Subclusters 0, 1, 2, 3, 4 of macrophages/monocytes were labeled M-S1/Mon-S1, M-S2/Mon-S2, M-S3/Mon-S3, M-S4/Mon-S4, M-S5/Mon-S5 in each cancer types, see Figure 2. (C). Heatmap of Z-score normalized log2 (count+1) expression of canonical marker genes for T and NK cells. The color of square on the top map indicates the average hypoxia score for each T and NK cell clusters (light green to green). The expression was centered to the average log2 (count+1) expression across all single cells with a scale from 2 to −2. (D). The cytotoxicity (top) and exhaustion (bottom) score for CD8 T cell clusters in BC, C</w:t>
      </w:r>
      <w:r>
        <w:rPr>
          <w:rFonts w:hint="eastAsia" w:cs="Times New Roman"/>
          <w:szCs w:val="24"/>
        </w:rPr>
        <w:t xml:space="preserve">RC, LC and SCC, respectively. *** p≤0.001, ****p≤0.0001, two-sided Wilcoxon rank sum test. </w:t>
      </w:r>
    </w:p>
    <w:p>
      <w:pPr>
        <w:keepNext/>
        <w:jc w:val="both"/>
        <w:rPr>
          <w:rFonts w:cs="Times New Roman"/>
          <w:szCs w:val="24"/>
        </w:rPr>
      </w:pPr>
      <w:r>
        <w:rPr>
          <w:rFonts w:hint="eastAsia" w:cs="Times New Roman"/>
          <w:szCs w:val="24"/>
        </w:rPr>
        <w:t xml:space="preserve">Figure S4. The significant ligand receptor pairs numbers and correlation matrix between different cell </w:t>
      </w:r>
      <w:r>
        <w:rPr>
          <w:rFonts w:cs="Times New Roman"/>
          <w:szCs w:val="24"/>
        </w:rPr>
        <w:t xml:space="preserve">types. (A). The number of significant ligand-receptor pairs between cell groups predicted by CellphoneDB. (B). Correlation matrix between proportion of cell subpopulations across all cell types. The proportion of each cell subcluster was estimated with respect to all cells of same cell type in each sample. Subclusters 0, 1, 2, 3, 4 of stroma cells were labeled FS1, FS2, FS3, FS4, FS5 in each cancer types. Subclusters 0, 1, 2, 3, 4 of cancer cells were labeled CS1, CS2, CS3, CS4, CS5 in each cancer types. Subclusters 0, 1, 2, 3, 4 of macrophages/monocytes/ dendritic cells were labeled M-S1/Mon-S1/DC-S1, M-S2/Mon-S2/DC-S2, M-S3/Mon-S3/DC-S3, M-S4/Mon-S4/DC-S4, M-S5/Mon-S5/DC-S5 in each cancer types. Endo was endothelial cells. </w:t>
      </w:r>
    </w:p>
    <w:p>
      <w:pPr>
        <w:keepNext/>
        <w:jc w:val="both"/>
        <w:rPr>
          <w:rFonts w:cs="Times New Roman"/>
          <w:szCs w:val="24"/>
        </w:rPr>
      </w:pPr>
      <w:r>
        <w:rPr>
          <w:rFonts w:cs="Times New Roman"/>
          <w:szCs w:val="24"/>
        </w:rPr>
        <w:t xml:space="preserve">Figure S5. Significant ligand-receptor pair genes accounting for specific inter-cellular interactions in CRC, OV and PDAC, respectively. P values indicated by circle size. The means of the average expression level of interacting molecule 1 in cluster 1 and interacting molecule 2 in cluster 2 are indicated by color, see Figure 4A. </w:t>
      </w:r>
    </w:p>
    <w:p>
      <w:pPr>
        <w:keepNext/>
        <w:jc w:val="both"/>
        <w:rPr>
          <w:rFonts w:cs="Times New Roman"/>
          <w:szCs w:val="24"/>
        </w:rPr>
      </w:pPr>
      <w:r>
        <w:rPr>
          <w:rFonts w:cs="Times New Roman"/>
          <w:szCs w:val="24"/>
        </w:rPr>
        <w:t>Figure S6. TAMs promote glycolysis, angiogenesis and EMT of cancer cells. (A). Violin plot shows the expression of SPP1 in all cell subclusters in BC, CRC, LC, OV, PDAC, and SCC, respectively. Subclusters 0, 1, 2, 3, 4 of stroma cells were labeled FS1, FS2, FS3, FS4, FS5 in each cancer types. Subclusters 0, 1, 2, 3, 4 of cancer cells were labeled CS1, CS2, CS3, CS4, CS5 in each cancer types. Subclusters 0, 1, 2, 3, 4 of macro-phages/monocytes/ dendritic cells were labeled M-S1/Mon-S1/DC-S1, M-S2/Mon-S2/DC-S2, M-S3/Mon-S3/DC-S3, M-S4/Mon-S4/DC-S4, M-S5/Mon-S5/DC-S5 in each cancer types. Endo was endothelial cells. (B). Invasion cells in transwell assays in per field were compared between recombinant protein SPP1 or TNFSF1</w:t>
      </w:r>
      <w:r>
        <w:rPr>
          <w:rFonts w:hint="eastAsia" w:cs="Times New Roman"/>
          <w:szCs w:val="24"/>
        </w:rPr>
        <w:t xml:space="preserve">2 added group and control group. </w:t>
      </w:r>
      <w:r>
        <w:rPr>
          <w:rFonts w:cs="Times New Roman"/>
          <w:szCs w:val="24"/>
        </w:rPr>
        <w:t>(C)</w:t>
      </w:r>
      <w:r>
        <w:rPr>
          <w:rFonts w:hint="eastAsia" w:cs="Times New Roman"/>
          <w:szCs w:val="24"/>
        </w:rPr>
        <w:t xml:space="preserve">. Cell migration area were compared between recombinant protein SPP1 or TNFSF12 added group and control group </w:t>
      </w:r>
      <w:r>
        <w:rPr>
          <w:rFonts w:cs="Times New Roman"/>
          <w:szCs w:val="24"/>
        </w:rPr>
        <w:t>(D)</w:t>
      </w:r>
      <w:r>
        <w:rPr>
          <w:rFonts w:hint="eastAsia" w:cs="Times New Roman"/>
          <w:szCs w:val="24"/>
        </w:rPr>
        <w:t xml:space="preserve">. Cell viability in A549 cancer cells exposed to TNFSF12 or SPP1 in day 1, 2, 3, 4, 5 and 6, respectively. *p≤0.05, **p≤0.01, two-sided unpaired t test. </w:t>
      </w:r>
      <w:r>
        <w:rPr>
          <w:rFonts w:cs="Times New Roman"/>
          <w:szCs w:val="24"/>
        </w:rPr>
        <w:t>(E)</w:t>
      </w:r>
      <w:r>
        <w:rPr>
          <w:rFonts w:hint="eastAsia" w:cs="Times New Roman"/>
          <w:szCs w:val="24"/>
        </w:rPr>
        <w:t xml:space="preserve">. Correlation scatter plot between TNFSF12 or SPP1 expression and specific genes or signatures in TCGA LUAD. </w:t>
      </w:r>
    </w:p>
    <w:p>
      <w:pPr>
        <w:keepNext/>
        <w:jc w:val="both"/>
        <w:rPr>
          <w:rFonts w:cs="Times New Roman"/>
          <w:szCs w:val="24"/>
        </w:rPr>
      </w:pPr>
      <w:r>
        <w:rPr>
          <w:rFonts w:hint="eastAsia" w:cs="Times New Roman"/>
          <w:szCs w:val="24"/>
        </w:rPr>
        <w:t xml:space="preserve">Figure S7. Characteristics of SPP1+TAMs in various cancer types. </w:t>
      </w:r>
      <w:r>
        <w:rPr>
          <w:rFonts w:cs="Times New Roman"/>
          <w:szCs w:val="24"/>
        </w:rPr>
        <w:t>(A)</w:t>
      </w:r>
      <w:r>
        <w:rPr>
          <w:rFonts w:hint="eastAsia" w:cs="Times New Roman"/>
          <w:szCs w:val="24"/>
        </w:rPr>
        <w:t xml:space="preserve">. Boxplot showing the com-parison of SPP1 expression in cancer and normal samples. ****p≤0.0001, two-sided Wilcoxon rank sum test. </w:t>
      </w:r>
      <w:r>
        <w:rPr>
          <w:rFonts w:cs="Times New Roman"/>
          <w:szCs w:val="24"/>
        </w:rPr>
        <w:t>(B)</w:t>
      </w:r>
      <w:r>
        <w:rPr>
          <w:rFonts w:hint="eastAsia" w:cs="Times New Roman"/>
          <w:szCs w:val="24"/>
        </w:rPr>
        <w:t xml:space="preserve">. The proportion of SPP1+TAMs across all myeloid cell sub-populations. </w:t>
      </w:r>
      <w:r>
        <w:rPr>
          <w:rFonts w:cs="Times New Roman"/>
          <w:szCs w:val="24"/>
        </w:rPr>
        <w:t>(C)</w:t>
      </w:r>
      <w:r>
        <w:rPr>
          <w:rFonts w:hint="eastAsia" w:cs="Times New Roman"/>
          <w:szCs w:val="24"/>
        </w:rPr>
        <w:t xml:space="preserve">. The Kaplan-Meier overall survival curves of TCGA patients grouped by the gene expression of SPP1 combined with macrophage abundance. </w:t>
      </w:r>
      <w:r>
        <w:rPr>
          <w:rFonts w:cs="Times New Roman"/>
          <w:szCs w:val="24"/>
        </w:rPr>
        <w:t>(D)</w:t>
      </w:r>
      <w:r>
        <w:rPr>
          <w:rFonts w:hint="eastAsia" w:cs="Times New Roman"/>
          <w:szCs w:val="24"/>
        </w:rPr>
        <w:t>. Violin plot shows the ECM remodeling score is higher in SPP1+TAMs subclusters across five cancer types. *p≤0.05, ****p≤0.0001, two-sided Wilcoxon rank sum test. Subclusters 0, 1, 2, 3, 4 of macrophages/monocy</w:t>
      </w:r>
      <w:r>
        <w:rPr>
          <w:rFonts w:cs="Times New Roman"/>
          <w:szCs w:val="24"/>
        </w:rPr>
        <w:t>tes/ dendritic cells were labeled M-S1/Mon-S1/DC-S1, M-S2/Mon-S2/DC-S2, M-S3/Mon-S3/DC-S3, M-S4/Mon-S4/DC-S4, M-S5/Mon-S5/DC-S5 in each cancer types. (E). Violin plot shows the hypoxia score is higher in SPP1+TAMs subclusters in across six cancer types. ****</w:t>
      </w:r>
      <w:r>
        <w:rPr>
          <w:rFonts w:hint="eastAsia" w:cs="Times New Roman"/>
          <w:szCs w:val="24"/>
        </w:rPr>
        <w:t xml:space="preserve">p≤0.0001, two-sided Wilcoxon rank sum test. </w:t>
      </w:r>
      <w:r>
        <w:rPr>
          <w:rFonts w:cs="Times New Roman"/>
          <w:szCs w:val="24"/>
        </w:rPr>
        <w:t>(F)</w:t>
      </w:r>
      <w:r>
        <w:rPr>
          <w:rFonts w:hint="eastAsia" w:cs="Times New Roman"/>
          <w:szCs w:val="24"/>
        </w:rPr>
        <w:t xml:space="preserve">. Macrophages is differentiated from THP-1 monocyte. </w:t>
      </w:r>
      <w:r>
        <w:rPr>
          <w:rFonts w:cs="Times New Roman"/>
          <w:szCs w:val="24"/>
        </w:rPr>
        <w:t>(G)</w:t>
      </w:r>
      <w:r>
        <w:rPr>
          <w:rFonts w:hint="eastAsia" w:cs="Times New Roman"/>
          <w:szCs w:val="24"/>
        </w:rPr>
        <w:t xml:space="preserve">. The expression of macrophages marker CD68 is up-regulated in THP-1- derived macrophages compared with THP-1 cells. **p≤0.01, two-sided unpaired t test. </w:t>
      </w:r>
    </w:p>
    <w:p>
      <w:pPr>
        <w:keepNext/>
        <w:jc w:val="both"/>
        <w:rPr>
          <w:rFonts w:cs="Times New Roman"/>
          <w:szCs w:val="24"/>
        </w:rPr>
      </w:pPr>
      <w:r>
        <w:rPr>
          <w:rFonts w:hint="eastAsia" w:cs="Times New Roman"/>
          <w:szCs w:val="24"/>
        </w:rPr>
        <w:t xml:space="preserve">Figure S8. Boxplot showing the comparison of SPP1 expression in hypoxia-high and -low samples across pan-cancer. **p≤0.01, ***p≤0.001, ****p≤0.0001, two-sided Wilcoxon rank sum test. </w:t>
      </w:r>
    </w:p>
    <w:p>
      <w:pPr>
        <w:keepNext/>
        <w:jc w:val="both"/>
        <w:rPr>
          <w:rFonts w:cs="Times New Roman"/>
          <w:szCs w:val="24"/>
        </w:rPr>
      </w:pPr>
      <w:r>
        <w:rPr>
          <w:rFonts w:hint="eastAsia" w:cs="Times New Roman"/>
          <w:szCs w:val="24"/>
        </w:rPr>
        <w:t>Figure S</w:t>
      </w:r>
      <w:r>
        <w:rPr>
          <w:rFonts w:cs="Times New Roman"/>
          <w:szCs w:val="24"/>
        </w:rPr>
        <w:t>9</w:t>
      </w:r>
      <w:r>
        <w:rPr>
          <w:rFonts w:hint="eastAsia" w:cs="Times New Roman"/>
          <w:szCs w:val="24"/>
        </w:rPr>
        <w:t>. Molecular characteristics of different cell ty</w:t>
      </w:r>
      <w:r>
        <w:rPr>
          <w:rFonts w:cs="Times New Roman"/>
          <w:szCs w:val="24"/>
        </w:rPr>
        <w:t>pes under the hypoxia TME. (A). Heatmap depicts the DEGs between myeloid cells with high and low hypoxia score. (B). Enriched pathways in hypoxia-high cancer cells.</w:t>
      </w:r>
    </w:p>
    <w:p>
      <w:pPr>
        <w:spacing w:before="240"/>
        <w:jc w:val="both"/>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63C854"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030AA852-650B-4512-84C9-B79BE43DCCC7}"/>
    <w:docVar w:name="KY_MEDREF_VERSION" w:val="3"/>
  </w:docVars>
  <w:rsids>
    <w:rsidRoot w:val="00ED20B5"/>
    <w:rsid w:val="0001436A"/>
    <w:rsid w:val="00034304"/>
    <w:rsid w:val="00035434"/>
    <w:rsid w:val="00052A14"/>
    <w:rsid w:val="00077D53"/>
    <w:rsid w:val="00105FD9"/>
    <w:rsid w:val="00117666"/>
    <w:rsid w:val="001549D3"/>
    <w:rsid w:val="00160065"/>
    <w:rsid w:val="00177D84"/>
    <w:rsid w:val="001C6717"/>
    <w:rsid w:val="00267D18"/>
    <w:rsid w:val="00274347"/>
    <w:rsid w:val="002868E2"/>
    <w:rsid w:val="002869C3"/>
    <w:rsid w:val="002936E4"/>
    <w:rsid w:val="002B4A57"/>
    <w:rsid w:val="002C74CA"/>
    <w:rsid w:val="002E1052"/>
    <w:rsid w:val="003123F4"/>
    <w:rsid w:val="003544FB"/>
    <w:rsid w:val="00381F09"/>
    <w:rsid w:val="003D2F2D"/>
    <w:rsid w:val="00401590"/>
    <w:rsid w:val="00447801"/>
    <w:rsid w:val="00452E9C"/>
    <w:rsid w:val="004735C8"/>
    <w:rsid w:val="004947A6"/>
    <w:rsid w:val="004961FF"/>
    <w:rsid w:val="004F262C"/>
    <w:rsid w:val="00517A89"/>
    <w:rsid w:val="005250F2"/>
    <w:rsid w:val="00593EEA"/>
    <w:rsid w:val="005A5EEE"/>
    <w:rsid w:val="006375C7"/>
    <w:rsid w:val="00654E8F"/>
    <w:rsid w:val="00660D05"/>
    <w:rsid w:val="006820B1"/>
    <w:rsid w:val="0068364C"/>
    <w:rsid w:val="006B11F8"/>
    <w:rsid w:val="006B7D14"/>
    <w:rsid w:val="00701727"/>
    <w:rsid w:val="0070566C"/>
    <w:rsid w:val="00714C50"/>
    <w:rsid w:val="00725A7D"/>
    <w:rsid w:val="007501BE"/>
    <w:rsid w:val="00754DE5"/>
    <w:rsid w:val="00781F93"/>
    <w:rsid w:val="00790BB3"/>
    <w:rsid w:val="007C206C"/>
    <w:rsid w:val="00817DD6"/>
    <w:rsid w:val="0083759F"/>
    <w:rsid w:val="00885156"/>
    <w:rsid w:val="009151AA"/>
    <w:rsid w:val="0093429D"/>
    <w:rsid w:val="00943573"/>
    <w:rsid w:val="00964134"/>
    <w:rsid w:val="00970F7D"/>
    <w:rsid w:val="00994A3D"/>
    <w:rsid w:val="009C2B12"/>
    <w:rsid w:val="00A174D9"/>
    <w:rsid w:val="00A952DF"/>
    <w:rsid w:val="00AA4D24"/>
    <w:rsid w:val="00AB2EB7"/>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C1E58"/>
    <w:rsid w:val="00ED20B5"/>
    <w:rsid w:val="00ED50F5"/>
    <w:rsid w:val="00EE6D6E"/>
    <w:rsid w:val="00F46900"/>
    <w:rsid w:val="00F61D89"/>
    <w:rsid w:val="6A48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EastAsia"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EastAsia" w:cstheme="minorBidi"/>
      <w:sz w:val="24"/>
      <w:szCs w:val="22"/>
      <w:lang w:val="en-US" w:eastAsia="en-US" w:bidi="ar-SA"/>
    </w:rPr>
  </w:style>
  <w:style w:type="paragraph" w:styleId="10">
    <w:name w:val="annotation text"/>
    <w:basedOn w:val="1"/>
    <w:link w:val="37"/>
    <w:semiHidden/>
    <w:unhideWhenUsed/>
    <w:uiPriority w:val="99"/>
    <w:rPr>
      <w:sz w:val="20"/>
      <w:szCs w:val="20"/>
    </w:rPr>
  </w:style>
  <w:style w:type="paragraph" w:styleId="11">
    <w:name w:val="endnote text"/>
    <w:basedOn w:val="1"/>
    <w:link w:val="39"/>
    <w:semiHidden/>
    <w:unhideWhenUsed/>
    <w:uiPriority w:val="99"/>
    <w:pPr>
      <w:spacing w:after="0"/>
    </w:pPr>
    <w:rPr>
      <w:sz w:val="20"/>
      <w:szCs w:val="20"/>
    </w:rPr>
  </w:style>
  <w:style w:type="paragraph" w:styleId="12">
    <w:name w:val="Balloon Text"/>
    <w:basedOn w:val="1"/>
    <w:link w:val="35"/>
    <w:semiHidden/>
    <w:unhideWhenUsed/>
    <w:uiPriority w:val="99"/>
    <w:pPr>
      <w:spacing w:after="0"/>
    </w:pPr>
    <w:rPr>
      <w:rFonts w:ascii="Tahoma" w:hAnsi="Tahoma" w:cs="Tahoma"/>
      <w:sz w:val="16"/>
      <w:szCs w:val="16"/>
    </w:rPr>
  </w:style>
  <w:style w:type="paragraph" w:styleId="13">
    <w:name w:val="footer"/>
    <w:basedOn w:val="1"/>
    <w:link w:val="40"/>
    <w:unhideWhenUsed/>
    <w:uiPriority w:val="99"/>
    <w:pPr>
      <w:tabs>
        <w:tab w:val="center" w:pos="4844"/>
        <w:tab w:val="right" w:pos="9689"/>
      </w:tabs>
      <w:spacing w:after="0"/>
    </w:pPr>
  </w:style>
  <w:style w:type="paragraph" w:styleId="14">
    <w:name w:val="header"/>
    <w:basedOn w:val="1"/>
    <w:link w:val="42"/>
    <w:unhideWhenUsed/>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uiPriority w:val="99"/>
    <w:pPr>
      <w:spacing w:after="0"/>
    </w:pPr>
    <w:rPr>
      <w:sz w:val="20"/>
      <w:szCs w:val="20"/>
    </w:rPr>
  </w:style>
  <w:style w:type="paragraph" w:styleId="17">
    <w:name w:val="Normal (Web)"/>
    <w:basedOn w:val="1"/>
    <w:unhideWhenUsed/>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uiPriority w:val="99"/>
    <w:rPr>
      <w:sz w:val="16"/>
      <w:szCs w:val="16"/>
    </w:rPr>
  </w:style>
  <w:style w:type="character" w:styleId="30">
    <w:name w:val="footnote reference"/>
    <w:basedOn w:val="22"/>
    <w:semiHidden/>
    <w:unhideWhenUsed/>
    <w:uiPriority w:val="99"/>
    <w:rPr>
      <w:vertAlign w:val="superscript"/>
    </w:rPr>
  </w:style>
  <w:style w:type="character" w:customStyle="1" w:styleId="31">
    <w:name w:val="标题 1 字符"/>
    <w:basedOn w:val="22"/>
    <w:link w:val="2"/>
    <w:uiPriority w:val="2"/>
    <w:rPr>
      <w:rFonts w:ascii="Times New Roman" w:hAnsi="Times New Roman" w:eastAsia="Cambria" w:cs="Times New Roman"/>
      <w:b/>
      <w:sz w:val="24"/>
      <w:szCs w:val="24"/>
    </w:rPr>
  </w:style>
  <w:style w:type="character" w:customStyle="1" w:styleId="32">
    <w:name w:val="标题 2 字符"/>
    <w:basedOn w:val="22"/>
    <w:link w:val="4"/>
    <w:uiPriority w:val="2"/>
    <w:rPr>
      <w:rFonts w:ascii="Times New Roman" w:hAnsi="Times New Roman" w:eastAsia="Cambria" w:cs="Times New Roman"/>
      <w:b/>
      <w:sz w:val="24"/>
      <w:szCs w:val="24"/>
    </w:rPr>
  </w:style>
  <w:style w:type="character" w:customStyle="1" w:styleId="33">
    <w:name w:val="副标题 字符"/>
    <w:basedOn w:val="22"/>
    <w:link w:val="15"/>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批注框文本 字符"/>
    <w:basedOn w:val="22"/>
    <w:link w:val="12"/>
    <w:semiHidden/>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批注文字 字符"/>
    <w:basedOn w:val="22"/>
    <w:link w:val="10"/>
    <w:semiHidden/>
    <w:uiPriority w:val="99"/>
    <w:rPr>
      <w:rFonts w:ascii="Times New Roman" w:hAnsi="Times New Roman"/>
      <w:sz w:val="20"/>
      <w:szCs w:val="20"/>
    </w:rPr>
  </w:style>
  <w:style w:type="character" w:customStyle="1" w:styleId="38">
    <w:name w:val="批注主题 字符"/>
    <w:basedOn w:val="37"/>
    <w:link w:val="19"/>
    <w:semiHidden/>
    <w:uiPriority w:val="99"/>
    <w:rPr>
      <w:rFonts w:ascii="Times New Roman" w:hAnsi="Times New Roman"/>
      <w:b/>
      <w:bCs/>
      <w:sz w:val="20"/>
      <w:szCs w:val="20"/>
    </w:rPr>
  </w:style>
  <w:style w:type="character" w:customStyle="1" w:styleId="39">
    <w:name w:val="尾注文本 字符"/>
    <w:basedOn w:val="22"/>
    <w:link w:val="11"/>
    <w:semiHidden/>
    <w:uiPriority w:val="99"/>
    <w:rPr>
      <w:rFonts w:ascii="Times New Roman" w:hAnsi="Times New Roman"/>
      <w:sz w:val="20"/>
      <w:szCs w:val="20"/>
    </w:rPr>
  </w:style>
  <w:style w:type="character" w:customStyle="1" w:styleId="40">
    <w:name w:val="页脚 字符"/>
    <w:basedOn w:val="22"/>
    <w:link w:val="13"/>
    <w:qFormat/>
    <w:uiPriority w:val="99"/>
    <w:rPr>
      <w:rFonts w:ascii="Times New Roman" w:hAnsi="Times New Roman"/>
      <w:sz w:val="24"/>
    </w:rPr>
  </w:style>
  <w:style w:type="character" w:customStyle="1" w:styleId="41">
    <w:name w:val="脚注文本 字符"/>
    <w:basedOn w:val="22"/>
    <w:link w:val="16"/>
    <w:semiHidden/>
    <w:uiPriority w:val="99"/>
    <w:rPr>
      <w:rFonts w:ascii="Times New Roman" w:hAnsi="Times New Roman"/>
      <w:sz w:val="20"/>
      <w:szCs w:val="20"/>
    </w:rPr>
  </w:style>
  <w:style w:type="character" w:customStyle="1" w:styleId="42">
    <w:name w:val="页眉 字符"/>
    <w:basedOn w:val="22"/>
    <w:link w:val="14"/>
    <w:uiPriority w:val="99"/>
    <w:rPr>
      <w:rFonts w:ascii="Times New Roman" w:hAnsi="Times New Roman"/>
      <w:b/>
      <w:sz w:val="24"/>
    </w:rPr>
  </w:style>
  <w:style w:type="character" w:customStyle="1" w:styleId="43">
    <w:name w:val="Intense Emphasis"/>
    <w:basedOn w:val="22"/>
    <w:unhideWhenUsed/>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标题 3 字符"/>
    <w:basedOn w:val="22"/>
    <w:link w:val="5"/>
    <w:uiPriority w:val="2"/>
    <w:rPr>
      <w:rFonts w:ascii="Times New Roman" w:hAnsi="Times New Roman" w:eastAsiaTheme="majorEastAsia" w:cstheme="majorBidi"/>
      <w:b/>
      <w:sz w:val="24"/>
      <w:szCs w:val="24"/>
    </w:rPr>
  </w:style>
  <w:style w:type="character" w:customStyle="1" w:styleId="46">
    <w:name w:val="标题 4 字符"/>
    <w:basedOn w:val="22"/>
    <w:link w:val="6"/>
    <w:uiPriority w:val="2"/>
    <w:rPr>
      <w:rFonts w:ascii="Times New Roman" w:hAnsi="Times New Roman" w:eastAsiaTheme="majorEastAsia" w:cstheme="majorBidi"/>
      <w:b/>
      <w:iCs/>
      <w:sz w:val="24"/>
      <w:szCs w:val="24"/>
    </w:rPr>
  </w:style>
  <w:style w:type="character" w:customStyle="1" w:styleId="47">
    <w:name w:val="标题 5 字符"/>
    <w:basedOn w:val="22"/>
    <w:link w:val="7"/>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引用 字符"/>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标题 字符"/>
    <w:basedOn w:val="22"/>
    <w:link w:val="18"/>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3</Pages>
  <Words>1006</Words>
  <Characters>5735</Characters>
  <Lines>47</Lines>
  <Paragraphs>13</Paragraphs>
  <TotalTime>138</TotalTime>
  <ScaleCrop>false</ScaleCrop>
  <LinksUpToDate>false</LinksUpToDate>
  <CharactersWithSpaces>6728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Anna</cp:lastModifiedBy>
  <cp:lastPrinted>2013-10-03T12:51:00Z</cp:lastPrinted>
  <dcterms:modified xsi:type="dcterms:W3CDTF">2021-09-03T04:17:43Z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F97A3F3569724A56BD7A6C5391D9D9EA</vt:lpwstr>
  </property>
</Properties>
</file>