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01E3" w14:textId="5238475D" w:rsidR="000B67FF" w:rsidRDefault="000B67FF" w:rsidP="000B67FF">
      <w:pPr>
        <w:jc w:val="both"/>
        <w:rPr>
          <w:rFonts w:asciiTheme="minorHAnsi" w:hAnsiTheme="minorHAnsi" w:cstheme="minorHAnsi"/>
          <w:b/>
          <w:bCs/>
          <w:sz w:val="36"/>
          <w:szCs w:val="36"/>
        </w:rPr>
      </w:pPr>
      <w:bookmarkStart w:id="0" w:name="_Hlk65081401"/>
      <w:bookmarkStart w:id="1" w:name="_Hlk69985627"/>
      <w:r>
        <w:rPr>
          <w:rFonts w:asciiTheme="minorHAnsi" w:hAnsiTheme="minorHAnsi" w:cstheme="minorHAnsi"/>
          <w:b/>
          <w:bCs/>
          <w:sz w:val="36"/>
          <w:szCs w:val="36"/>
        </w:rPr>
        <w:t>Supplementa</w:t>
      </w:r>
      <w:r w:rsidR="00F54A43">
        <w:rPr>
          <w:rFonts w:asciiTheme="minorHAnsi" w:hAnsiTheme="minorHAnsi" w:cstheme="minorHAnsi"/>
          <w:b/>
          <w:bCs/>
          <w:sz w:val="36"/>
          <w:szCs w:val="36"/>
        </w:rPr>
        <w:t>ry</w:t>
      </w:r>
      <w:r>
        <w:rPr>
          <w:rFonts w:asciiTheme="minorHAnsi" w:hAnsiTheme="minorHAnsi" w:cstheme="minorHAnsi"/>
          <w:b/>
          <w:bCs/>
          <w:sz w:val="36"/>
          <w:szCs w:val="36"/>
        </w:rPr>
        <w:t xml:space="preserve"> Material</w:t>
      </w:r>
    </w:p>
    <w:p w14:paraId="192D11C3" w14:textId="0582D390" w:rsidR="000B67FF" w:rsidRDefault="000B67FF" w:rsidP="000B67FF">
      <w:pPr>
        <w:jc w:val="both"/>
        <w:rPr>
          <w:rFonts w:asciiTheme="minorHAnsi" w:hAnsiTheme="minorHAnsi" w:cstheme="minorHAnsi"/>
        </w:rPr>
      </w:pPr>
    </w:p>
    <w:p w14:paraId="06FAFBD4" w14:textId="488C7AE8" w:rsidR="000B67FF" w:rsidRDefault="000B67FF" w:rsidP="000B67FF">
      <w:pPr>
        <w:jc w:val="both"/>
        <w:rPr>
          <w:rFonts w:asciiTheme="minorHAnsi" w:hAnsiTheme="minorHAnsi" w:cstheme="minorHAnsi"/>
        </w:rPr>
      </w:pPr>
    </w:p>
    <w:p w14:paraId="5053E495" w14:textId="1E3ECA1F" w:rsidR="000B67FF" w:rsidRDefault="000B67FF" w:rsidP="000B67FF">
      <w:pPr>
        <w:jc w:val="both"/>
        <w:rPr>
          <w:rFonts w:asciiTheme="minorHAnsi" w:hAnsiTheme="minorHAnsi" w:cstheme="minorHAnsi"/>
        </w:rPr>
      </w:pPr>
    </w:p>
    <w:p w14:paraId="69DCCD8B" w14:textId="12057CF9" w:rsidR="000B67FF" w:rsidRDefault="000B67FF">
      <w:pPr>
        <w:spacing w:after="160" w:line="259" w:lineRule="auto"/>
        <w:rPr>
          <w:rFonts w:asciiTheme="minorHAnsi" w:hAnsiTheme="minorHAnsi" w:cstheme="minorHAnsi"/>
        </w:rPr>
      </w:pPr>
      <w:r>
        <w:rPr>
          <w:rFonts w:asciiTheme="minorHAnsi" w:hAnsiTheme="minorHAnsi" w:cstheme="minorHAnsi"/>
        </w:rPr>
        <w:br w:type="page"/>
      </w:r>
    </w:p>
    <w:p w14:paraId="6C5A2561" w14:textId="5416AC3A" w:rsidR="0094494F" w:rsidRDefault="00F54A43" w:rsidP="0094494F">
      <w:pPr>
        <w:jc w:val="both"/>
        <w:rPr>
          <w:rFonts w:asciiTheme="minorHAnsi" w:hAnsiTheme="minorHAnsi" w:cstheme="minorHAnsi"/>
          <w:b/>
          <w:bCs/>
          <w:sz w:val="36"/>
          <w:szCs w:val="36"/>
        </w:rPr>
      </w:pPr>
      <w:r>
        <w:rPr>
          <w:rFonts w:asciiTheme="minorHAnsi" w:hAnsiTheme="minorHAnsi" w:cstheme="minorHAnsi"/>
          <w:b/>
          <w:bCs/>
          <w:sz w:val="36"/>
          <w:szCs w:val="36"/>
        </w:rPr>
        <w:lastRenderedPageBreak/>
        <w:t>Supplementary</w:t>
      </w:r>
      <w:r w:rsidR="000B67FF" w:rsidRPr="000B67FF">
        <w:rPr>
          <w:rFonts w:asciiTheme="minorHAnsi" w:hAnsiTheme="minorHAnsi" w:cstheme="minorHAnsi"/>
          <w:b/>
          <w:bCs/>
          <w:sz w:val="36"/>
          <w:szCs w:val="36"/>
        </w:rPr>
        <w:t xml:space="preserve"> Figures</w:t>
      </w:r>
    </w:p>
    <w:p w14:paraId="17E6666F" w14:textId="77777777" w:rsidR="00B0273E" w:rsidRDefault="00B0273E" w:rsidP="0094494F">
      <w:pPr>
        <w:jc w:val="both"/>
        <w:rPr>
          <w:rFonts w:asciiTheme="minorHAnsi" w:hAnsiTheme="minorHAnsi" w:cstheme="minorHAnsi"/>
          <w:b/>
          <w:bCs/>
          <w:sz w:val="36"/>
          <w:szCs w:val="36"/>
        </w:rPr>
      </w:pPr>
    </w:p>
    <w:p w14:paraId="241F7CC1" w14:textId="41180DD0" w:rsidR="00C867BD" w:rsidRDefault="003436E1" w:rsidP="00136BE8">
      <w:pPr>
        <w:rPr>
          <w:rFonts w:asciiTheme="minorHAnsi" w:hAnsiTheme="minorHAnsi" w:cstheme="minorHAnsi"/>
          <w:b/>
          <w:bCs/>
          <w:sz w:val="36"/>
          <w:szCs w:val="36"/>
        </w:rPr>
      </w:pPr>
      <w:r>
        <w:rPr>
          <w:rFonts w:asciiTheme="minorHAnsi" w:hAnsiTheme="minorHAnsi" w:cstheme="minorHAnsi"/>
          <w:b/>
          <w:bCs/>
          <w:noProof/>
          <w:sz w:val="36"/>
          <w:szCs w:val="36"/>
        </w:rPr>
        <w:drawing>
          <wp:inline distT="0" distB="0" distL="0" distR="0" wp14:anchorId="52D6C19F" wp14:editId="6DA55EA8">
            <wp:extent cx="5943600" cy="6511290"/>
            <wp:effectExtent l="0" t="0" r="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6511290"/>
                    </a:xfrm>
                    <a:prstGeom prst="rect">
                      <a:avLst/>
                    </a:prstGeom>
                  </pic:spPr>
                </pic:pic>
              </a:graphicData>
            </a:graphic>
          </wp:inline>
        </w:drawing>
      </w:r>
    </w:p>
    <w:p w14:paraId="248C8572" w14:textId="77777777" w:rsidR="0094494F" w:rsidRDefault="0094494F" w:rsidP="00D85F11">
      <w:pPr>
        <w:spacing w:line="360" w:lineRule="auto"/>
        <w:jc w:val="both"/>
        <w:rPr>
          <w:rFonts w:asciiTheme="minorHAnsi" w:hAnsiTheme="minorHAnsi" w:cstheme="minorHAnsi"/>
          <w:b/>
          <w:bCs/>
        </w:rPr>
      </w:pPr>
    </w:p>
    <w:p w14:paraId="13DEFCDA" w14:textId="05FD60AA" w:rsidR="003114EC" w:rsidRDefault="00F54A43" w:rsidP="00D85F11">
      <w:pPr>
        <w:spacing w:line="360" w:lineRule="auto"/>
        <w:jc w:val="both"/>
        <w:rPr>
          <w:rFonts w:asciiTheme="minorHAnsi" w:hAnsiTheme="minorHAnsi" w:cstheme="minorHAnsi"/>
        </w:rPr>
      </w:pPr>
      <w:r>
        <w:rPr>
          <w:rFonts w:asciiTheme="minorHAnsi" w:hAnsiTheme="minorHAnsi" w:cstheme="minorHAnsi"/>
          <w:b/>
          <w:bCs/>
        </w:rPr>
        <w:t>Supplementary</w:t>
      </w:r>
      <w:r w:rsidR="00C867BD">
        <w:rPr>
          <w:rFonts w:asciiTheme="minorHAnsi" w:hAnsiTheme="minorHAnsi" w:cstheme="minorHAnsi"/>
          <w:b/>
          <w:bCs/>
        </w:rPr>
        <w:t xml:space="preserve"> </w:t>
      </w:r>
      <w:r w:rsidR="00C867BD" w:rsidRPr="008735C6">
        <w:rPr>
          <w:rFonts w:asciiTheme="minorHAnsi" w:hAnsiTheme="minorHAnsi" w:cstheme="minorHAnsi"/>
          <w:b/>
          <w:bCs/>
        </w:rPr>
        <w:t>Figure</w:t>
      </w:r>
      <w:r w:rsidR="00C867BD">
        <w:rPr>
          <w:rFonts w:asciiTheme="minorHAnsi" w:hAnsiTheme="minorHAnsi" w:cstheme="minorHAnsi"/>
          <w:b/>
          <w:bCs/>
        </w:rPr>
        <w:t xml:space="preserve"> 1</w:t>
      </w:r>
      <w:r w:rsidR="00C867BD" w:rsidRPr="008735C6">
        <w:rPr>
          <w:rFonts w:asciiTheme="minorHAnsi" w:hAnsiTheme="minorHAnsi" w:cstheme="minorHAnsi"/>
          <w:b/>
          <w:bCs/>
        </w:rPr>
        <w:t xml:space="preserve">: </w:t>
      </w:r>
      <w:r w:rsidR="00C867BD">
        <w:rPr>
          <w:rFonts w:asciiTheme="minorHAnsi" w:hAnsiTheme="minorHAnsi" w:cstheme="minorHAnsi"/>
          <w:b/>
          <w:bCs/>
        </w:rPr>
        <w:t xml:space="preserve">Flowchart of data pipeline. </w:t>
      </w:r>
      <w:r w:rsidR="00136BE8">
        <w:rPr>
          <w:rFonts w:asciiTheme="minorHAnsi" w:hAnsiTheme="minorHAnsi" w:cstheme="minorHAnsi"/>
        </w:rPr>
        <w:t>Note that Glasgow Outcome Scale extended (GOSe) scores from patients with excluded data marked by a</w:t>
      </w:r>
      <w:r w:rsidR="008B212F">
        <w:rPr>
          <w:rFonts w:asciiTheme="minorHAnsi" w:hAnsiTheme="minorHAnsi" w:cstheme="minorHAnsi"/>
        </w:rPr>
        <w:t xml:space="preserve">n </w:t>
      </w:r>
      <w:r w:rsidR="00136BE8">
        <w:rPr>
          <w:rFonts w:asciiTheme="minorHAnsi" w:hAnsiTheme="minorHAnsi" w:cstheme="minorHAnsi"/>
        </w:rPr>
        <w:t xml:space="preserve">asterisk </w:t>
      </w:r>
      <w:r w:rsidR="00D02951">
        <w:rPr>
          <w:rFonts w:asciiTheme="minorHAnsi" w:hAnsiTheme="minorHAnsi" w:cstheme="minorHAnsi"/>
        </w:rPr>
        <w:t xml:space="preserve">(*) </w:t>
      </w:r>
      <w:r w:rsidR="00136BE8">
        <w:rPr>
          <w:rFonts w:asciiTheme="minorHAnsi" w:hAnsiTheme="minorHAnsi" w:cstheme="minorHAnsi"/>
        </w:rPr>
        <w:t xml:space="preserve">were compared with GOSe scores from patients included in D (acute outcome) and E (chronic </w:t>
      </w:r>
      <w:r w:rsidR="00136BE8">
        <w:rPr>
          <w:rFonts w:asciiTheme="minorHAnsi" w:hAnsiTheme="minorHAnsi" w:cstheme="minorHAnsi"/>
        </w:rPr>
        <w:lastRenderedPageBreak/>
        <w:t xml:space="preserve">outcome) to determine if exclusion of these patients biased our sample. </w:t>
      </w:r>
      <w:r w:rsidR="00C867BD" w:rsidRPr="00136BE8">
        <w:rPr>
          <w:rFonts w:asciiTheme="minorHAnsi" w:hAnsiTheme="minorHAnsi" w:cstheme="minorHAnsi"/>
          <w:b/>
          <w:bCs/>
        </w:rPr>
        <w:t>(A)</w:t>
      </w:r>
      <w:r w:rsidR="00AC0A87">
        <w:rPr>
          <w:rFonts w:asciiTheme="minorHAnsi" w:hAnsiTheme="minorHAnsi" w:cstheme="minorHAnsi"/>
        </w:rPr>
        <w:t xml:space="preserve">. </w:t>
      </w:r>
      <w:r w:rsidR="003114EC">
        <w:rPr>
          <w:rFonts w:asciiTheme="minorHAnsi" w:hAnsiTheme="minorHAnsi" w:cstheme="minorHAnsi"/>
        </w:rPr>
        <w:t xml:space="preserve">Prior to preprocessing, we excluded </w:t>
      </w:r>
      <w:r w:rsidR="00D02951">
        <w:rPr>
          <w:rFonts w:asciiTheme="minorHAnsi" w:hAnsiTheme="minorHAnsi" w:cstheme="minorHAnsi"/>
        </w:rPr>
        <w:t>n = 1</w:t>
      </w:r>
      <w:r w:rsidR="003114EC">
        <w:rPr>
          <w:rFonts w:asciiTheme="minorHAnsi" w:hAnsiTheme="minorHAnsi" w:cstheme="minorHAnsi"/>
        </w:rPr>
        <w:t xml:space="preserve"> patient with corrupt data. </w:t>
      </w:r>
      <w:r w:rsidR="00AC0A87" w:rsidRPr="00136BE8">
        <w:rPr>
          <w:rFonts w:asciiTheme="minorHAnsi" w:hAnsiTheme="minorHAnsi" w:cstheme="minorHAnsi"/>
          <w:b/>
          <w:bCs/>
        </w:rPr>
        <w:t xml:space="preserve">(B) </w:t>
      </w:r>
      <w:r w:rsidR="003114EC">
        <w:rPr>
          <w:rFonts w:asciiTheme="minorHAnsi" w:hAnsiTheme="minorHAnsi" w:cstheme="minorHAnsi"/>
        </w:rPr>
        <w:t xml:space="preserve">Following preprocessing, we excluded </w:t>
      </w:r>
      <w:r w:rsidR="00D02951">
        <w:rPr>
          <w:rFonts w:asciiTheme="minorHAnsi" w:hAnsiTheme="minorHAnsi" w:cstheme="minorHAnsi"/>
        </w:rPr>
        <w:t xml:space="preserve">n = </w:t>
      </w:r>
      <w:r w:rsidR="003114EC">
        <w:rPr>
          <w:rFonts w:asciiTheme="minorHAnsi" w:hAnsiTheme="minorHAnsi" w:cstheme="minorHAnsi"/>
        </w:rPr>
        <w:t>6 patients due to poor data quality (e.g., persistent artifacts, disconnected recording equipment, etc</w:t>
      </w:r>
      <w:r w:rsidR="00F26A02">
        <w:rPr>
          <w:rFonts w:asciiTheme="minorHAnsi" w:hAnsiTheme="minorHAnsi" w:cstheme="minorHAnsi"/>
        </w:rPr>
        <w:t>.)</w:t>
      </w:r>
      <w:r w:rsidR="003114EC">
        <w:rPr>
          <w:rFonts w:asciiTheme="minorHAnsi" w:hAnsiTheme="minorHAnsi" w:cstheme="minorHAnsi"/>
        </w:rPr>
        <w:t>.</w:t>
      </w:r>
      <w:r w:rsidR="003114EC" w:rsidRPr="00136BE8">
        <w:rPr>
          <w:rFonts w:asciiTheme="minorHAnsi" w:hAnsiTheme="minorHAnsi" w:cstheme="minorHAnsi"/>
          <w:b/>
          <w:bCs/>
        </w:rPr>
        <w:t xml:space="preserve"> (C) </w:t>
      </w:r>
      <w:r w:rsidR="00F26A02">
        <w:rPr>
          <w:rFonts w:asciiTheme="minorHAnsi" w:hAnsiTheme="minorHAnsi" w:cstheme="minorHAnsi"/>
        </w:rPr>
        <w:t>After performing a sensitivity analysis and b</w:t>
      </w:r>
      <w:r w:rsidR="003114EC">
        <w:rPr>
          <w:rFonts w:asciiTheme="minorHAnsi" w:hAnsiTheme="minorHAnsi" w:cstheme="minorHAnsi"/>
        </w:rPr>
        <w:t xml:space="preserve">efore proceeding to prediction of patient outcomes, we next excluded </w:t>
      </w:r>
      <w:r w:rsidR="00D02951">
        <w:rPr>
          <w:rFonts w:asciiTheme="minorHAnsi" w:hAnsiTheme="minorHAnsi" w:cstheme="minorHAnsi"/>
        </w:rPr>
        <w:t>n = 1</w:t>
      </w:r>
      <w:r w:rsidR="003114EC">
        <w:rPr>
          <w:rFonts w:asciiTheme="minorHAnsi" w:hAnsiTheme="minorHAnsi" w:cstheme="minorHAnsi"/>
        </w:rPr>
        <w:t xml:space="preserve"> patient missing medi</w:t>
      </w:r>
      <w:r w:rsidR="00D02951">
        <w:rPr>
          <w:rFonts w:asciiTheme="minorHAnsi" w:hAnsiTheme="minorHAnsi" w:cstheme="minorHAnsi"/>
        </w:rPr>
        <w:t>ca</w:t>
      </w:r>
      <w:r w:rsidR="003114EC">
        <w:rPr>
          <w:rFonts w:asciiTheme="minorHAnsi" w:hAnsiTheme="minorHAnsi" w:cstheme="minorHAnsi"/>
        </w:rPr>
        <w:t xml:space="preserve">tion data and </w:t>
      </w:r>
      <w:r w:rsidR="00D02951">
        <w:rPr>
          <w:rFonts w:asciiTheme="minorHAnsi" w:hAnsiTheme="minorHAnsi" w:cstheme="minorHAnsi"/>
        </w:rPr>
        <w:t>n = 1</w:t>
      </w:r>
      <w:r w:rsidR="003114EC">
        <w:rPr>
          <w:rFonts w:asciiTheme="minorHAnsi" w:hAnsiTheme="minorHAnsi" w:cstheme="minorHAnsi"/>
        </w:rPr>
        <w:t xml:space="preserve"> patient missing discharge GOSe data. </w:t>
      </w:r>
      <w:r w:rsidR="003114EC" w:rsidRPr="00136BE8">
        <w:rPr>
          <w:rFonts w:asciiTheme="minorHAnsi" w:hAnsiTheme="minorHAnsi" w:cstheme="minorHAnsi"/>
          <w:b/>
          <w:bCs/>
        </w:rPr>
        <w:t>(D)</w:t>
      </w:r>
      <w:r w:rsidR="003114EC">
        <w:rPr>
          <w:rFonts w:asciiTheme="minorHAnsi" w:hAnsiTheme="minorHAnsi" w:cstheme="minorHAnsi"/>
        </w:rPr>
        <w:t xml:space="preserve"> </w:t>
      </w:r>
      <w:r w:rsidR="00F26A02">
        <w:rPr>
          <w:rFonts w:asciiTheme="minorHAnsi" w:hAnsiTheme="minorHAnsi" w:cstheme="minorHAnsi"/>
        </w:rPr>
        <w:t>After prediction of discharge outcomes and b</w:t>
      </w:r>
      <w:r w:rsidR="003114EC">
        <w:rPr>
          <w:rFonts w:asciiTheme="minorHAnsi" w:hAnsiTheme="minorHAnsi" w:cstheme="minorHAnsi"/>
        </w:rPr>
        <w:t xml:space="preserve">efore proceeding to </w:t>
      </w:r>
      <w:r w:rsidR="00D85F11">
        <w:rPr>
          <w:rFonts w:asciiTheme="minorHAnsi" w:hAnsiTheme="minorHAnsi" w:cstheme="minorHAnsi"/>
        </w:rPr>
        <w:t>prediction of chronic outcomes</w:t>
      </w:r>
      <w:r w:rsidR="003114EC">
        <w:rPr>
          <w:rFonts w:asciiTheme="minorHAnsi" w:hAnsiTheme="minorHAnsi" w:cstheme="minorHAnsi"/>
        </w:rPr>
        <w:t xml:space="preserve">, we excluded </w:t>
      </w:r>
      <w:r w:rsidR="00D02951">
        <w:rPr>
          <w:rFonts w:asciiTheme="minorHAnsi" w:hAnsiTheme="minorHAnsi" w:cstheme="minorHAnsi"/>
        </w:rPr>
        <w:t xml:space="preserve">n = </w:t>
      </w:r>
      <w:r w:rsidR="008B212F">
        <w:rPr>
          <w:rFonts w:asciiTheme="minorHAnsi" w:hAnsiTheme="minorHAnsi" w:cstheme="minorHAnsi"/>
        </w:rPr>
        <w:t xml:space="preserve">2 </w:t>
      </w:r>
      <w:r w:rsidR="003114EC">
        <w:rPr>
          <w:rFonts w:asciiTheme="minorHAnsi" w:hAnsiTheme="minorHAnsi" w:cstheme="minorHAnsi"/>
        </w:rPr>
        <w:t xml:space="preserve">patients missing </w:t>
      </w:r>
      <w:r w:rsidR="00D85F11">
        <w:rPr>
          <w:rFonts w:asciiTheme="minorHAnsi" w:hAnsiTheme="minorHAnsi" w:cstheme="minorHAnsi"/>
        </w:rPr>
        <w:t xml:space="preserve">6-month GOSe scores. </w:t>
      </w:r>
      <w:r w:rsidR="00D85F11" w:rsidRPr="00136BE8">
        <w:rPr>
          <w:rFonts w:asciiTheme="minorHAnsi" w:hAnsiTheme="minorHAnsi" w:cstheme="minorHAnsi"/>
          <w:b/>
          <w:bCs/>
        </w:rPr>
        <w:t>(E)</w:t>
      </w:r>
      <w:r w:rsidR="00D85F11">
        <w:rPr>
          <w:rFonts w:asciiTheme="minorHAnsi" w:hAnsiTheme="minorHAnsi" w:cstheme="minorHAnsi"/>
        </w:rPr>
        <w:t xml:space="preserve"> </w:t>
      </w:r>
      <w:r w:rsidR="00F26A02">
        <w:rPr>
          <w:rFonts w:asciiTheme="minorHAnsi" w:hAnsiTheme="minorHAnsi" w:cstheme="minorHAnsi"/>
        </w:rPr>
        <w:t>The remaining sample of</w:t>
      </w:r>
      <w:r w:rsidR="00D02951">
        <w:rPr>
          <w:rFonts w:asciiTheme="minorHAnsi" w:hAnsiTheme="minorHAnsi" w:cstheme="minorHAnsi"/>
        </w:rPr>
        <w:t xml:space="preserve"> n =</w:t>
      </w:r>
      <w:r w:rsidR="00F26A02">
        <w:rPr>
          <w:rFonts w:asciiTheme="minorHAnsi" w:hAnsiTheme="minorHAnsi" w:cstheme="minorHAnsi"/>
        </w:rPr>
        <w:t xml:space="preserve"> 30 patients was used to p</w:t>
      </w:r>
      <w:r w:rsidR="00D85F11">
        <w:rPr>
          <w:rFonts w:asciiTheme="minorHAnsi" w:hAnsiTheme="minorHAnsi" w:cstheme="minorHAnsi"/>
        </w:rPr>
        <w:t xml:space="preserve">redict chronic outcomes </w:t>
      </w:r>
      <w:r w:rsidR="00F26A02">
        <w:rPr>
          <w:rFonts w:asciiTheme="minorHAnsi" w:hAnsiTheme="minorHAnsi" w:cstheme="minorHAnsi"/>
        </w:rPr>
        <w:t xml:space="preserve">and entered into a mediation analysis. </w:t>
      </w:r>
    </w:p>
    <w:p w14:paraId="47F387DB" w14:textId="468947F3" w:rsidR="003114EC" w:rsidRDefault="003114EC">
      <w:pPr>
        <w:spacing w:after="160" w:line="259" w:lineRule="auto"/>
        <w:rPr>
          <w:rFonts w:asciiTheme="minorHAnsi" w:hAnsiTheme="minorHAnsi" w:cstheme="minorHAnsi"/>
        </w:rPr>
      </w:pPr>
      <w:r>
        <w:rPr>
          <w:rFonts w:asciiTheme="minorHAnsi" w:hAnsiTheme="minorHAnsi" w:cstheme="minorHAnsi"/>
        </w:rPr>
        <w:br w:type="page"/>
      </w:r>
    </w:p>
    <w:p w14:paraId="1B9A17F6" w14:textId="77777777" w:rsidR="003114EC" w:rsidRPr="00C867BD" w:rsidRDefault="003114EC" w:rsidP="000B67FF">
      <w:pPr>
        <w:jc w:val="both"/>
        <w:rPr>
          <w:rFonts w:asciiTheme="minorHAnsi" w:hAnsiTheme="minorHAnsi" w:cstheme="minorHAnsi"/>
          <w:sz w:val="36"/>
          <w:szCs w:val="36"/>
        </w:rPr>
      </w:pPr>
    </w:p>
    <w:bookmarkEnd w:id="0"/>
    <w:bookmarkEnd w:id="1"/>
    <w:p w14:paraId="660C210D" w14:textId="77777777" w:rsidR="000B67FF" w:rsidRPr="00AF6BD8" w:rsidRDefault="000B67FF" w:rsidP="000B67FF">
      <w:pPr>
        <w:spacing w:after="160" w:line="480" w:lineRule="auto"/>
        <w:jc w:val="both"/>
        <w:rPr>
          <w:rFonts w:asciiTheme="minorHAnsi" w:hAnsiTheme="minorHAnsi" w:cstheme="minorHAnsi"/>
        </w:rPr>
      </w:pPr>
      <w:r>
        <w:rPr>
          <w:rFonts w:asciiTheme="minorHAnsi" w:hAnsiTheme="minorHAnsi" w:cstheme="minorHAnsi"/>
          <w:b/>
          <w:bCs/>
          <w:noProof/>
          <w:sz w:val="36"/>
          <w:szCs w:val="36"/>
        </w:rPr>
        <w:drawing>
          <wp:inline distT="0" distB="0" distL="0" distR="0" wp14:anchorId="711AB64C" wp14:editId="60B77256">
            <wp:extent cx="5943600" cy="3942080"/>
            <wp:effectExtent l="0" t="0" r="0" b="127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42080"/>
                    </a:xfrm>
                    <a:prstGeom prst="rect">
                      <a:avLst/>
                    </a:prstGeom>
                  </pic:spPr>
                </pic:pic>
              </a:graphicData>
            </a:graphic>
          </wp:inline>
        </w:drawing>
      </w:r>
    </w:p>
    <w:p w14:paraId="7A5CD46C" w14:textId="77777777" w:rsidR="000B67FF" w:rsidRPr="00AF6BD8" w:rsidRDefault="000B67FF" w:rsidP="000B67FF">
      <w:pPr>
        <w:spacing w:after="160" w:line="480" w:lineRule="auto"/>
        <w:jc w:val="both"/>
        <w:rPr>
          <w:rFonts w:asciiTheme="minorHAnsi" w:hAnsiTheme="minorHAnsi" w:cstheme="minorHAnsi"/>
        </w:rPr>
      </w:pPr>
      <w:r w:rsidRPr="00AF6BD8">
        <w:rPr>
          <w:rFonts w:asciiTheme="minorHAnsi" w:hAnsiTheme="minorHAnsi" w:cstheme="minorHAnsi"/>
        </w:rPr>
        <w:t xml:space="preserve"> </w:t>
      </w:r>
    </w:p>
    <w:p w14:paraId="564E383B" w14:textId="2428A566" w:rsidR="000B67FF" w:rsidRPr="00AF6BD8" w:rsidRDefault="00F54A43" w:rsidP="00C867BD">
      <w:pPr>
        <w:spacing w:after="160" w:line="360" w:lineRule="auto"/>
        <w:jc w:val="both"/>
        <w:rPr>
          <w:rFonts w:asciiTheme="minorHAnsi" w:hAnsiTheme="minorHAnsi" w:cstheme="minorHAnsi"/>
        </w:rPr>
      </w:pPr>
      <w:r>
        <w:rPr>
          <w:rFonts w:asciiTheme="minorHAnsi" w:hAnsiTheme="minorHAnsi" w:cstheme="minorHAnsi"/>
          <w:b/>
          <w:bCs/>
        </w:rPr>
        <w:t>Supplementary</w:t>
      </w:r>
      <w:r w:rsidR="000B67FF">
        <w:rPr>
          <w:rFonts w:asciiTheme="minorHAnsi" w:hAnsiTheme="minorHAnsi" w:cstheme="minorHAnsi"/>
          <w:b/>
          <w:bCs/>
        </w:rPr>
        <w:t xml:space="preserve"> </w:t>
      </w:r>
      <w:r w:rsidR="000B67FF" w:rsidRPr="008735C6">
        <w:rPr>
          <w:rFonts w:asciiTheme="minorHAnsi" w:hAnsiTheme="minorHAnsi" w:cstheme="minorHAnsi"/>
          <w:b/>
          <w:bCs/>
        </w:rPr>
        <w:t xml:space="preserve">Figure </w:t>
      </w:r>
      <w:r w:rsidR="00E707A1">
        <w:rPr>
          <w:rFonts w:asciiTheme="minorHAnsi" w:hAnsiTheme="minorHAnsi" w:cstheme="minorHAnsi"/>
          <w:b/>
          <w:bCs/>
        </w:rPr>
        <w:t>2</w:t>
      </w:r>
      <w:r w:rsidR="000B67FF" w:rsidRPr="008735C6">
        <w:rPr>
          <w:rFonts w:asciiTheme="minorHAnsi" w:hAnsiTheme="minorHAnsi" w:cstheme="minorHAnsi"/>
          <w:b/>
          <w:bCs/>
        </w:rPr>
        <w:t>: Example of EEG section selection.</w:t>
      </w:r>
      <w:r w:rsidR="000B67FF" w:rsidRPr="00AF6BD8">
        <w:rPr>
          <w:rFonts w:asciiTheme="minorHAnsi" w:hAnsiTheme="minorHAnsi" w:cstheme="minorHAnsi"/>
        </w:rPr>
        <w:t xml:space="preserve"> 10-minute sections of multiday EEG recordings (purple highlights) were selected for analysis by extracting sections corresponding to each patient’s lowest level of responsiveness (as measured with the Glasgow Coma Scale or GCS) with a 24-hour buffer between extracted sections. GCS scores from patients, taken several times per day (black trace), were sorted low to high. Starting with the lowest and earliest GCS score, EEG sections (red circles) were extracted so long as they were spaced at least 24 hours from all other extracted EEG sections.</w:t>
      </w:r>
    </w:p>
    <w:p w14:paraId="11D01929" w14:textId="77777777" w:rsidR="000B67FF" w:rsidRPr="00AF6BD8" w:rsidRDefault="000B67FF" w:rsidP="00C867BD">
      <w:pPr>
        <w:spacing w:after="160" w:line="360" w:lineRule="auto"/>
        <w:jc w:val="both"/>
        <w:rPr>
          <w:rFonts w:asciiTheme="minorHAnsi" w:hAnsiTheme="minorHAnsi" w:cstheme="minorHAnsi"/>
        </w:rPr>
      </w:pPr>
      <w:r w:rsidRPr="00AF6BD8">
        <w:rPr>
          <w:rFonts w:asciiTheme="minorHAnsi" w:hAnsiTheme="minorHAnsi" w:cstheme="minorHAnsi"/>
        </w:rPr>
        <w:t> </w:t>
      </w:r>
    </w:p>
    <w:p w14:paraId="7761F8AE" w14:textId="77777777" w:rsidR="000B67FF" w:rsidRPr="00AF6BD8" w:rsidRDefault="000B67FF" w:rsidP="00C867BD">
      <w:pPr>
        <w:spacing w:after="160" w:line="360" w:lineRule="auto"/>
        <w:jc w:val="both"/>
        <w:rPr>
          <w:rFonts w:asciiTheme="minorHAnsi" w:hAnsiTheme="minorHAnsi" w:cstheme="minorHAnsi"/>
        </w:rPr>
      </w:pPr>
    </w:p>
    <w:p w14:paraId="048E33A9" w14:textId="465DFD6A" w:rsidR="000B67FF" w:rsidRPr="00AF6BD8" w:rsidRDefault="000B67FF" w:rsidP="00C867BD">
      <w:pPr>
        <w:spacing w:after="160" w:line="360" w:lineRule="auto"/>
        <w:jc w:val="both"/>
        <w:rPr>
          <w:rFonts w:asciiTheme="minorHAnsi" w:hAnsiTheme="minorHAnsi" w:cstheme="minorHAnsi"/>
        </w:rPr>
      </w:pPr>
      <w:r w:rsidRPr="00AF6BD8">
        <w:rPr>
          <w:rFonts w:asciiTheme="minorHAnsi" w:hAnsiTheme="minorHAnsi" w:cstheme="minorHAnsi"/>
        </w:rPr>
        <w:lastRenderedPageBreak/>
        <w:t xml:space="preserve"> </w:t>
      </w:r>
      <w:r w:rsidR="00D02951">
        <w:rPr>
          <w:rFonts w:asciiTheme="minorHAnsi" w:hAnsiTheme="minorHAnsi" w:cstheme="minorHAnsi"/>
          <w:noProof/>
        </w:rPr>
        <w:drawing>
          <wp:inline distT="0" distB="0" distL="0" distR="0" wp14:anchorId="2958CDDF" wp14:editId="2D9D8638">
            <wp:extent cx="5943600" cy="3391535"/>
            <wp:effectExtent l="0" t="0" r="0" b="0"/>
            <wp:docPr id="3" name="Picture 3"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endar&#10;&#10;Description automatically generated with low confidence"/>
                    <pic:cNvPicPr/>
                  </pic:nvPicPr>
                  <pic:blipFill>
                    <a:blip r:embed="rId8"/>
                    <a:stretch>
                      <a:fillRect/>
                    </a:stretch>
                  </pic:blipFill>
                  <pic:spPr>
                    <a:xfrm>
                      <a:off x="0" y="0"/>
                      <a:ext cx="5943600" cy="3391535"/>
                    </a:xfrm>
                    <a:prstGeom prst="rect">
                      <a:avLst/>
                    </a:prstGeom>
                  </pic:spPr>
                </pic:pic>
              </a:graphicData>
            </a:graphic>
          </wp:inline>
        </w:drawing>
      </w:r>
    </w:p>
    <w:p w14:paraId="5E608507" w14:textId="77777777" w:rsidR="000B67FF" w:rsidRPr="00AF6BD8" w:rsidRDefault="000B67FF" w:rsidP="00C867BD">
      <w:pPr>
        <w:spacing w:after="160" w:line="360" w:lineRule="auto"/>
        <w:jc w:val="both"/>
        <w:rPr>
          <w:rFonts w:asciiTheme="minorHAnsi" w:hAnsiTheme="minorHAnsi" w:cstheme="minorHAnsi"/>
        </w:rPr>
      </w:pPr>
    </w:p>
    <w:p w14:paraId="37DC44F2" w14:textId="0D39862A" w:rsidR="000B67FF" w:rsidRPr="00AF6BD8" w:rsidRDefault="00F54A43" w:rsidP="00C867BD">
      <w:pPr>
        <w:spacing w:after="160" w:line="360" w:lineRule="auto"/>
        <w:jc w:val="both"/>
        <w:rPr>
          <w:rFonts w:asciiTheme="minorHAnsi" w:hAnsiTheme="minorHAnsi" w:cstheme="minorHAnsi"/>
        </w:rPr>
      </w:pPr>
      <w:r>
        <w:rPr>
          <w:rFonts w:asciiTheme="minorHAnsi" w:hAnsiTheme="minorHAnsi" w:cstheme="minorHAnsi"/>
          <w:b/>
          <w:bCs/>
        </w:rPr>
        <w:t>Supplementary</w:t>
      </w:r>
      <w:r w:rsidR="000B67FF">
        <w:rPr>
          <w:rFonts w:asciiTheme="minorHAnsi" w:hAnsiTheme="minorHAnsi" w:cstheme="minorHAnsi"/>
          <w:b/>
          <w:bCs/>
        </w:rPr>
        <w:t xml:space="preserve"> </w:t>
      </w:r>
      <w:r w:rsidR="000B67FF" w:rsidRPr="008735C6">
        <w:rPr>
          <w:rFonts w:asciiTheme="minorHAnsi" w:hAnsiTheme="minorHAnsi" w:cstheme="minorHAnsi"/>
          <w:b/>
          <w:bCs/>
        </w:rPr>
        <w:t xml:space="preserve">Figure </w:t>
      </w:r>
      <w:r w:rsidR="00E707A1">
        <w:rPr>
          <w:rFonts w:asciiTheme="minorHAnsi" w:hAnsiTheme="minorHAnsi" w:cstheme="minorHAnsi"/>
          <w:b/>
          <w:bCs/>
        </w:rPr>
        <w:t>3</w:t>
      </w:r>
      <w:r w:rsidR="000B67FF" w:rsidRPr="008735C6">
        <w:rPr>
          <w:rFonts w:asciiTheme="minorHAnsi" w:hAnsiTheme="minorHAnsi" w:cstheme="minorHAnsi"/>
          <w:b/>
          <w:bCs/>
        </w:rPr>
        <w:t xml:space="preserve">: Sensitivity analysis for burst suppression ratio (BSR) threshold. </w:t>
      </w:r>
      <w:r w:rsidR="000B67FF" w:rsidRPr="00AF6BD8">
        <w:rPr>
          <w:rFonts w:asciiTheme="minorHAnsi" w:hAnsiTheme="minorHAnsi" w:cstheme="minorHAnsi"/>
        </w:rPr>
        <w:t xml:space="preserve">Three threshold values were tested to compute the BSR on 154 EEG sections: 1 </w:t>
      </w:r>
      <w:proofErr w:type="spellStart"/>
      <w:r w:rsidR="000B67FF" w:rsidRPr="00AF6BD8">
        <w:rPr>
          <w:rFonts w:asciiTheme="minorHAnsi" w:hAnsiTheme="minorHAnsi" w:cstheme="minorHAnsi"/>
        </w:rPr>
        <w:t>μV</w:t>
      </w:r>
      <w:proofErr w:type="spellEnd"/>
      <w:r w:rsidR="000B67FF" w:rsidRPr="00AF6BD8">
        <w:rPr>
          <w:rFonts w:asciiTheme="minorHAnsi" w:hAnsiTheme="minorHAnsi" w:cstheme="minorHAnsi"/>
        </w:rPr>
        <w:t xml:space="preserve">. (first column), 5 </w:t>
      </w:r>
      <w:proofErr w:type="spellStart"/>
      <w:r w:rsidR="000B67FF" w:rsidRPr="00AF6BD8">
        <w:rPr>
          <w:rFonts w:asciiTheme="minorHAnsi" w:hAnsiTheme="minorHAnsi" w:cstheme="minorHAnsi"/>
        </w:rPr>
        <w:t>μV</w:t>
      </w:r>
      <w:proofErr w:type="spellEnd"/>
      <w:r w:rsidR="000B67FF" w:rsidRPr="00AF6BD8">
        <w:rPr>
          <w:rFonts w:asciiTheme="minorHAnsi" w:hAnsiTheme="minorHAnsi" w:cstheme="minorHAnsi"/>
        </w:rPr>
        <w:t xml:space="preserve"> (second column), and 10 </w:t>
      </w:r>
      <w:proofErr w:type="spellStart"/>
      <w:r w:rsidR="000B67FF" w:rsidRPr="00AF6BD8">
        <w:rPr>
          <w:rFonts w:asciiTheme="minorHAnsi" w:hAnsiTheme="minorHAnsi" w:cstheme="minorHAnsi"/>
        </w:rPr>
        <w:t>μV</w:t>
      </w:r>
      <w:proofErr w:type="spellEnd"/>
      <w:r w:rsidR="000B67FF" w:rsidRPr="00AF6BD8">
        <w:rPr>
          <w:rFonts w:asciiTheme="minorHAnsi" w:hAnsiTheme="minorHAnsi" w:cstheme="minorHAnsi"/>
        </w:rPr>
        <w:t xml:space="preserve"> (third column). To determine the best possible threshold, BSR values were compared to patient responsiveness using the Glasgow Coma Scale (GCS, top row) and the log-scaled kurtosis of EEG amplitudes (</w:t>
      </w:r>
      <w:r w:rsidR="00083222">
        <w:rPr>
          <w:rFonts w:asciiTheme="minorHAnsi" w:hAnsiTheme="minorHAnsi" w:cstheme="minorHAnsi"/>
        </w:rPr>
        <w:t xml:space="preserve">bottom row; this quantity </w:t>
      </w:r>
      <w:r w:rsidR="000B67FF" w:rsidRPr="00AF6BD8">
        <w:rPr>
          <w:rFonts w:asciiTheme="minorHAnsi" w:hAnsiTheme="minorHAnsi" w:cstheme="minorHAnsi"/>
        </w:rPr>
        <w:t xml:space="preserve">is increased by burst events that create a leptokurtic distribution). Because burst suppression corresponds to a very deep state of coma/anesthesia, it should only be observable when patients are minimally responsive. Based on the above results, a threshold of 1 </w:t>
      </w:r>
      <w:proofErr w:type="spellStart"/>
      <w:r w:rsidR="000B67FF" w:rsidRPr="00AF6BD8">
        <w:rPr>
          <w:rFonts w:asciiTheme="minorHAnsi" w:hAnsiTheme="minorHAnsi" w:cstheme="minorHAnsi"/>
        </w:rPr>
        <w:t>μV</w:t>
      </w:r>
      <w:proofErr w:type="spellEnd"/>
      <w:r w:rsidR="000B67FF" w:rsidRPr="00AF6BD8">
        <w:rPr>
          <w:rFonts w:asciiTheme="minorHAnsi" w:hAnsiTheme="minorHAnsi" w:cstheme="minorHAnsi"/>
        </w:rPr>
        <w:t xml:space="preserve"> was chosen. </w:t>
      </w:r>
      <w:r w:rsidR="000B67FF" w:rsidRPr="00136BE8">
        <w:rPr>
          <w:rFonts w:asciiTheme="minorHAnsi" w:hAnsiTheme="minorHAnsi" w:cstheme="minorHAnsi"/>
          <w:b/>
          <w:bCs/>
        </w:rPr>
        <w:t xml:space="preserve">(A) </w:t>
      </w:r>
      <w:r w:rsidR="000B67FF" w:rsidRPr="00AF6BD8">
        <w:rPr>
          <w:rFonts w:asciiTheme="minorHAnsi" w:hAnsiTheme="minorHAnsi" w:cstheme="minorHAnsi"/>
        </w:rPr>
        <w:t xml:space="preserve">Using a 1 </w:t>
      </w:r>
      <w:proofErr w:type="spellStart"/>
      <w:r w:rsidR="000B67FF" w:rsidRPr="00AF6BD8">
        <w:rPr>
          <w:rFonts w:asciiTheme="minorHAnsi" w:hAnsiTheme="minorHAnsi" w:cstheme="minorHAnsi"/>
        </w:rPr>
        <w:t>μV</w:t>
      </w:r>
      <w:proofErr w:type="spellEnd"/>
      <w:r w:rsidR="000B67FF" w:rsidRPr="00AF6BD8">
        <w:rPr>
          <w:rFonts w:asciiTheme="minorHAnsi" w:hAnsiTheme="minorHAnsi" w:cstheme="minorHAnsi"/>
        </w:rPr>
        <w:t xml:space="preserve"> threshold, only EEG sections corresponding to a GCS of 3 (lowest possible score) displayed strong evidence of burst suppression (BSR &gt; 0.5). </w:t>
      </w:r>
      <w:r w:rsidR="000B67FF" w:rsidRPr="00136BE8">
        <w:rPr>
          <w:rFonts w:asciiTheme="minorHAnsi" w:hAnsiTheme="minorHAnsi" w:cstheme="minorHAnsi"/>
          <w:b/>
          <w:bCs/>
        </w:rPr>
        <w:t xml:space="preserve">(B) </w:t>
      </w:r>
      <w:r w:rsidR="000B67FF" w:rsidRPr="00AF6BD8">
        <w:rPr>
          <w:rFonts w:asciiTheme="minorHAnsi" w:hAnsiTheme="minorHAnsi" w:cstheme="minorHAnsi"/>
        </w:rPr>
        <w:t xml:space="preserve">Using a 5 </w:t>
      </w:r>
      <w:proofErr w:type="spellStart"/>
      <w:r w:rsidR="000B67FF" w:rsidRPr="00AF6BD8">
        <w:rPr>
          <w:rFonts w:asciiTheme="minorHAnsi" w:hAnsiTheme="minorHAnsi" w:cstheme="minorHAnsi"/>
        </w:rPr>
        <w:t>μV</w:t>
      </w:r>
      <w:proofErr w:type="spellEnd"/>
      <w:r w:rsidR="000B67FF" w:rsidRPr="00AF6BD8">
        <w:rPr>
          <w:rFonts w:asciiTheme="minorHAnsi" w:hAnsiTheme="minorHAnsi" w:cstheme="minorHAnsi"/>
        </w:rPr>
        <w:t xml:space="preserve"> threshold, BSR &gt; 0.5 is no longer specific to periods of low responsiveness but is instead observed for GCS scores as high as 14. </w:t>
      </w:r>
      <w:r w:rsidR="000B67FF" w:rsidRPr="00136BE8">
        <w:rPr>
          <w:rFonts w:asciiTheme="minorHAnsi" w:hAnsiTheme="minorHAnsi" w:cstheme="minorHAnsi"/>
          <w:b/>
          <w:bCs/>
        </w:rPr>
        <w:t>(C)</w:t>
      </w:r>
      <w:r w:rsidR="000B67FF" w:rsidRPr="00AF6BD8">
        <w:rPr>
          <w:rFonts w:asciiTheme="minorHAnsi" w:hAnsiTheme="minorHAnsi" w:cstheme="minorHAnsi"/>
        </w:rPr>
        <w:t xml:space="preserve"> Using a 10 </w:t>
      </w:r>
      <w:proofErr w:type="spellStart"/>
      <w:r w:rsidR="000B67FF" w:rsidRPr="00AF6BD8">
        <w:rPr>
          <w:rFonts w:asciiTheme="minorHAnsi" w:hAnsiTheme="minorHAnsi" w:cstheme="minorHAnsi"/>
        </w:rPr>
        <w:t>μV</w:t>
      </w:r>
      <w:proofErr w:type="spellEnd"/>
      <w:r w:rsidR="000B67FF" w:rsidRPr="00AF6BD8">
        <w:rPr>
          <w:rFonts w:asciiTheme="minorHAnsi" w:hAnsiTheme="minorHAnsi" w:cstheme="minorHAnsi"/>
        </w:rPr>
        <w:t xml:space="preserve"> threshold, all specificity is lost; the vast majority of EEG sections show BSR &gt; 0.5. </w:t>
      </w:r>
      <w:r w:rsidR="000B67FF" w:rsidRPr="00136BE8">
        <w:rPr>
          <w:rFonts w:asciiTheme="minorHAnsi" w:hAnsiTheme="minorHAnsi" w:cstheme="minorHAnsi"/>
          <w:b/>
          <w:bCs/>
        </w:rPr>
        <w:t>(D)</w:t>
      </w:r>
      <w:r w:rsidR="000B67FF" w:rsidRPr="00AF6BD8">
        <w:rPr>
          <w:rFonts w:asciiTheme="minorHAnsi" w:hAnsiTheme="minorHAnsi" w:cstheme="minorHAnsi"/>
        </w:rPr>
        <w:t xml:space="preserve"> Using a 1 </w:t>
      </w:r>
      <w:proofErr w:type="spellStart"/>
      <w:r w:rsidR="000B67FF" w:rsidRPr="00AF6BD8">
        <w:rPr>
          <w:rFonts w:asciiTheme="minorHAnsi" w:hAnsiTheme="minorHAnsi" w:cstheme="minorHAnsi"/>
        </w:rPr>
        <w:t>μV</w:t>
      </w:r>
      <w:proofErr w:type="spellEnd"/>
      <w:r w:rsidR="000B67FF" w:rsidRPr="00AF6BD8">
        <w:rPr>
          <w:rFonts w:asciiTheme="minorHAnsi" w:hAnsiTheme="minorHAnsi" w:cstheme="minorHAnsi"/>
        </w:rPr>
        <w:t xml:space="preserve"> threshold, the log</w:t>
      </w:r>
      <w:r w:rsidR="000B67FF" w:rsidRPr="00DB1706">
        <w:rPr>
          <w:rFonts w:asciiTheme="minorHAnsi" w:hAnsiTheme="minorHAnsi" w:cstheme="minorHAnsi"/>
          <w:vertAlign w:val="subscript"/>
        </w:rPr>
        <w:t>10</w:t>
      </w:r>
      <w:r w:rsidR="000B67FF" w:rsidRPr="00AF6BD8">
        <w:rPr>
          <w:rFonts w:asciiTheme="minorHAnsi" w:hAnsiTheme="minorHAnsi" w:cstheme="minorHAnsi"/>
        </w:rPr>
        <w:t xml:space="preserve"> transformed kurtosis of EEG amplitudes shows a strong linear relationship with BSR (r = 0.88). Note three EEG sections with BSR ~ 1.0 at the top left corner that do not </w:t>
      </w:r>
      <w:r w:rsidR="000B67FF" w:rsidRPr="00AF6BD8">
        <w:rPr>
          <w:rFonts w:asciiTheme="minorHAnsi" w:hAnsiTheme="minorHAnsi" w:cstheme="minorHAnsi"/>
        </w:rPr>
        <w:lastRenderedPageBreak/>
        <w:t xml:space="preserve">follow this relationship, as isoelectric EEG without bursts shows low kurtosis. </w:t>
      </w:r>
      <w:r w:rsidR="000B67FF" w:rsidRPr="00136BE8">
        <w:rPr>
          <w:rFonts w:asciiTheme="minorHAnsi" w:hAnsiTheme="minorHAnsi" w:cstheme="minorHAnsi"/>
          <w:b/>
          <w:bCs/>
        </w:rPr>
        <w:t>(E)</w:t>
      </w:r>
      <w:r w:rsidR="000B67FF" w:rsidRPr="00AF6BD8">
        <w:rPr>
          <w:rFonts w:asciiTheme="minorHAnsi" w:hAnsiTheme="minorHAnsi" w:cstheme="minorHAnsi"/>
        </w:rPr>
        <w:t xml:space="preserve"> Using a 5 </w:t>
      </w:r>
      <w:proofErr w:type="spellStart"/>
      <w:r w:rsidR="000B67FF" w:rsidRPr="00AF6BD8">
        <w:rPr>
          <w:rFonts w:asciiTheme="minorHAnsi" w:hAnsiTheme="minorHAnsi" w:cstheme="minorHAnsi"/>
        </w:rPr>
        <w:t>μV</w:t>
      </w:r>
      <w:proofErr w:type="spellEnd"/>
      <w:r w:rsidR="000B67FF" w:rsidRPr="00AF6BD8">
        <w:rPr>
          <w:rFonts w:asciiTheme="minorHAnsi" w:hAnsiTheme="minorHAnsi" w:cstheme="minorHAnsi"/>
        </w:rPr>
        <w:t xml:space="preserve"> threshold, the linear relationship between log</w:t>
      </w:r>
      <w:r w:rsidR="000B67FF" w:rsidRPr="00DB1706">
        <w:rPr>
          <w:rFonts w:asciiTheme="minorHAnsi" w:hAnsiTheme="minorHAnsi" w:cstheme="minorHAnsi"/>
          <w:vertAlign w:val="subscript"/>
        </w:rPr>
        <w:t>10</w:t>
      </w:r>
      <w:r w:rsidR="000B67FF" w:rsidRPr="00AF6BD8">
        <w:rPr>
          <w:rFonts w:asciiTheme="minorHAnsi" w:hAnsiTheme="minorHAnsi" w:cstheme="minorHAnsi"/>
        </w:rPr>
        <w:t xml:space="preserve"> transformed kurtosis and BSR is considerably weaker (r = 0.54) compared with a 1 </w:t>
      </w:r>
      <w:proofErr w:type="spellStart"/>
      <w:r w:rsidR="000B67FF" w:rsidRPr="00AF6BD8">
        <w:rPr>
          <w:rFonts w:asciiTheme="minorHAnsi" w:hAnsiTheme="minorHAnsi" w:cstheme="minorHAnsi"/>
        </w:rPr>
        <w:t>μV</w:t>
      </w:r>
      <w:proofErr w:type="spellEnd"/>
      <w:r w:rsidR="000B67FF" w:rsidRPr="00AF6BD8">
        <w:rPr>
          <w:rFonts w:asciiTheme="minorHAnsi" w:hAnsiTheme="minorHAnsi" w:cstheme="minorHAnsi"/>
        </w:rPr>
        <w:t xml:space="preserve"> threshold. Many EEG sections display high BSR but low log</w:t>
      </w:r>
      <w:r w:rsidR="000B67FF" w:rsidRPr="00DB1706">
        <w:rPr>
          <w:rFonts w:asciiTheme="minorHAnsi" w:hAnsiTheme="minorHAnsi" w:cstheme="minorHAnsi"/>
          <w:vertAlign w:val="subscript"/>
        </w:rPr>
        <w:t>10</w:t>
      </w:r>
      <w:r w:rsidR="000B67FF" w:rsidRPr="00AF6BD8">
        <w:rPr>
          <w:rFonts w:asciiTheme="minorHAnsi" w:hAnsiTheme="minorHAnsi" w:cstheme="minorHAnsi"/>
        </w:rPr>
        <w:t xml:space="preserve">(kurtosis), suggesting many false positives. </w:t>
      </w:r>
      <w:r w:rsidR="000B67FF" w:rsidRPr="00136BE8">
        <w:rPr>
          <w:rFonts w:asciiTheme="minorHAnsi" w:hAnsiTheme="minorHAnsi" w:cstheme="minorHAnsi"/>
          <w:b/>
          <w:bCs/>
        </w:rPr>
        <w:t>(F)</w:t>
      </w:r>
      <w:r w:rsidR="000B67FF" w:rsidRPr="00AF6BD8">
        <w:rPr>
          <w:rFonts w:asciiTheme="minorHAnsi" w:hAnsiTheme="minorHAnsi" w:cstheme="minorHAnsi"/>
        </w:rPr>
        <w:t xml:space="preserve"> Using a 10 </w:t>
      </w:r>
      <w:proofErr w:type="spellStart"/>
      <w:r w:rsidR="000B67FF" w:rsidRPr="00AF6BD8">
        <w:rPr>
          <w:rFonts w:asciiTheme="minorHAnsi" w:hAnsiTheme="minorHAnsi" w:cstheme="minorHAnsi"/>
        </w:rPr>
        <w:t>μV</w:t>
      </w:r>
      <w:proofErr w:type="spellEnd"/>
      <w:r w:rsidR="000B67FF" w:rsidRPr="00AF6BD8">
        <w:rPr>
          <w:rFonts w:asciiTheme="minorHAnsi" w:hAnsiTheme="minorHAnsi" w:cstheme="minorHAnsi"/>
        </w:rPr>
        <w:t xml:space="preserve"> threshold the linear relationship between log</w:t>
      </w:r>
      <w:r w:rsidR="000B67FF" w:rsidRPr="00DB1706">
        <w:rPr>
          <w:rFonts w:asciiTheme="minorHAnsi" w:hAnsiTheme="minorHAnsi" w:cstheme="minorHAnsi"/>
          <w:vertAlign w:val="subscript"/>
        </w:rPr>
        <w:t>10</w:t>
      </w:r>
      <w:r w:rsidR="000B67FF" w:rsidRPr="00AF6BD8">
        <w:rPr>
          <w:rFonts w:asciiTheme="minorHAnsi" w:hAnsiTheme="minorHAnsi" w:cstheme="minorHAnsi"/>
        </w:rPr>
        <w:t xml:space="preserve"> transformed kurtosis and BSR is nearly lost</w:t>
      </w:r>
      <w:r w:rsidR="00083222">
        <w:rPr>
          <w:rFonts w:asciiTheme="minorHAnsi" w:hAnsiTheme="minorHAnsi" w:cstheme="minorHAnsi"/>
        </w:rPr>
        <w:t xml:space="preserve"> all together</w:t>
      </w:r>
      <w:r w:rsidR="000B67FF" w:rsidRPr="00AF6BD8">
        <w:rPr>
          <w:rFonts w:asciiTheme="minorHAnsi" w:hAnsiTheme="minorHAnsi" w:cstheme="minorHAnsi"/>
        </w:rPr>
        <w:t xml:space="preserve"> (r = 0.34) due to false positives.</w:t>
      </w:r>
    </w:p>
    <w:p w14:paraId="184DC4DE" w14:textId="77777777" w:rsidR="000B67FF" w:rsidRDefault="000B67FF" w:rsidP="00C867BD">
      <w:pPr>
        <w:spacing w:after="160" w:line="360" w:lineRule="auto"/>
        <w:jc w:val="both"/>
        <w:rPr>
          <w:rFonts w:asciiTheme="minorHAnsi" w:hAnsiTheme="minorHAnsi" w:cstheme="minorHAnsi"/>
        </w:rPr>
      </w:pPr>
      <w:r w:rsidRPr="00AF6BD8">
        <w:rPr>
          <w:rFonts w:asciiTheme="minorHAnsi" w:hAnsiTheme="minorHAnsi" w:cstheme="minorHAnsi"/>
        </w:rPr>
        <w:t xml:space="preserve">  </w:t>
      </w:r>
    </w:p>
    <w:p w14:paraId="7A864107" w14:textId="77777777" w:rsidR="000B67FF" w:rsidRDefault="000B67FF" w:rsidP="00C867BD">
      <w:pPr>
        <w:spacing w:after="160" w:line="360" w:lineRule="auto"/>
        <w:rPr>
          <w:rFonts w:asciiTheme="minorHAnsi" w:hAnsiTheme="minorHAnsi" w:cstheme="minorHAnsi"/>
        </w:rPr>
      </w:pPr>
      <w:r>
        <w:rPr>
          <w:rFonts w:asciiTheme="minorHAnsi" w:hAnsiTheme="minorHAnsi" w:cstheme="minorHAnsi"/>
        </w:rPr>
        <w:br w:type="page"/>
      </w:r>
    </w:p>
    <w:p w14:paraId="0B799538" w14:textId="77777777" w:rsidR="000B67FF" w:rsidRDefault="000B67FF" w:rsidP="00C867BD">
      <w:pPr>
        <w:spacing w:after="160" w:line="360" w:lineRule="auto"/>
        <w:jc w:val="both"/>
        <w:rPr>
          <w:rFonts w:asciiTheme="minorHAnsi" w:hAnsiTheme="minorHAnsi" w:cstheme="minorHAnsi"/>
        </w:rPr>
        <w:sectPr w:rsidR="000B67FF" w:rsidSect="00EA3F29">
          <w:headerReference w:type="default" r:id="rId9"/>
          <w:footerReference w:type="default" r:id="rId10"/>
          <w:pgSz w:w="12240" w:h="15840"/>
          <w:pgMar w:top="1440" w:right="1440" w:bottom="1440" w:left="1440" w:header="720" w:footer="720" w:gutter="0"/>
          <w:cols w:space="720"/>
          <w:titlePg/>
          <w:docGrid w:linePitch="360"/>
        </w:sectPr>
      </w:pPr>
    </w:p>
    <w:p w14:paraId="525E3991" w14:textId="5BDF0E2F" w:rsidR="000B67FF" w:rsidRPr="00AF6BD8" w:rsidRDefault="00566444" w:rsidP="00D85F11">
      <w:pPr>
        <w:spacing w:after="160" w:line="360" w:lineRule="auto"/>
        <w:jc w:val="center"/>
        <w:rPr>
          <w:rFonts w:asciiTheme="minorHAnsi" w:hAnsiTheme="minorHAnsi" w:cstheme="minorHAnsi"/>
        </w:rPr>
      </w:pPr>
      <w:r>
        <w:rPr>
          <w:rFonts w:asciiTheme="minorHAnsi" w:hAnsiTheme="minorHAnsi" w:cstheme="minorHAnsi"/>
          <w:noProof/>
        </w:rPr>
        <w:lastRenderedPageBreak/>
        <w:drawing>
          <wp:inline distT="0" distB="0" distL="0" distR="0" wp14:anchorId="20D9007C" wp14:editId="3A363855">
            <wp:extent cx="8229600" cy="4187825"/>
            <wp:effectExtent l="0" t="0" r="0" b="3175"/>
            <wp:docPr id="7" name="Picture 7"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endar&#10;&#10;Description automatically generated"/>
                    <pic:cNvPicPr/>
                  </pic:nvPicPr>
                  <pic:blipFill>
                    <a:blip r:embed="rId11"/>
                    <a:stretch>
                      <a:fillRect/>
                    </a:stretch>
                  </pic:blipFill>
                  <pic:spPr>
                    <a:xfrm>
                      <a:off x="0" y="0"/>
                      <a:ext cx="8229600" cy="4187825"/>
                    </a:xfrm>
                    <a:prstGeom prst="rect">
                      <a:avLst/>
                    </a:prstGeom>
                  </pic:spPr>
                </pic:pic>
              </a:graphicData>
            </a:graphic>
          </wp:inline>
        </w:drawing>
      </w:r>
    </w:p>
    <w:p w14:paraId="03D360AC" w14:textId="34557D11" w:rsidR="000B67FF" w:rsidRDefault="00F54A43" w:rsidP="00C867BD">
      <w:pPr>
        <w:spacing w:after="160" w:line="360" w:lineRule="auto"/>
        <w:jc w:val="both"/>
        <w:rPr>
          <w:rFonts w:asciiTheme="minorHAnsi" w:hAnsiTheme="minorHAnsi" w:cstheme="minorHAnsi"/>
        </w:rPr>
      </w:pPr>
      <w:r>
        <w:rPr>
          <w:rFonts w:asciiTheme="minorHAnsi" w:hAnsiTheme="minorHAnsi" w:cstheme="minorHAnsi"/>
          <w:b/>
          <w:bCs/>
        </w:rPr>
        <w:t>Supplementary</w:t>
      </w:r>
      <w:r w:rsidR="000B67FF">
        <w:rPr>
          <w:rFonts w:asciiTheme="minorHAnsi" w:hAnsiTheme="minorHAnsi" w:cstheme="minorHAnsi"/>
          <w:b/>
          <w:bCs/>
        </w:rPr>
        <w:t xml:space="preserve"> </w:t>
      </w:r>
      <w:r w:rsidR="000B67FF" w:rsidRPr="008735C6">
        <w:rPr>
          <w:rFonts w:asciiTheme="minorHAnsi" w:hAnsiTheme="minorHAnsi" w:cstheme="minorHAnsi"/>
          <w:b/>
          <w:bCs/>
        </w:rPr>
        <w:t xml:space="preserve">Figure </w:t>
      </w:r>
      <w:r w:rsidR="00E707A1">
        <w:rPr>
          <w:rFonts w:asciiTheme="minorHAnsi" w:hAnsiTheme="minorHAnsi" w:cstheme="minorHAnsi"/>
          <w:b/>
          <w:bCs/>
        </w:rPr>
        <w:t>4</w:t>
      </w:r>
      <w:r w:rsidR="000B67FF" w:rsidRPr="008735C6">
        <w:rPr>
          <w:rFonts w:asciiTheme="minorHAnsi" w:hAnsiTheme="minorHAnsi" w:cstheme="minorHAnsi"/>
          <w:b/>
          <w:bCs/>
        </w:rPr>
        <w:t xml:space="preserve">: Representative EEG patterns occurring at time of maximum BSR for all patients. </w:t>
      </w:r>
      <w:r w:rsidR="000B67FF" w:rsidRPr="00AF6BD8">
        <w:rPr>
          <w:rFonts w:asciiTheme="minorHAnsi" w:hAnsiTheme="minorHAnsi" w:cstheme="minorHAnsi"/>
        </w:rPr>
        <w:t xml:space="preserve">EEGs are labeled according to the patient numbers in Table 1 of the main manuscript. As the burst suppression ratio (BSR) decreases, EEG evolves from isoelectric (patients 1 - 3) to burst suppression (patients 4 – 10) before finally showing continuous patterns (patients 11 – 32). All patients with BSR &gt; 0.5 were sedated with barbiturates (see Fig. </w:t>
      </w:r>
      <w:r w:rsidR="000C58D7">
        <w:rPr>
          <w:rFonts w:asciiTheme="minorHAnsi" w:hAnsiTheme="minorHAnsi" w:cstheme="minorHAnsi"/>
        </w:rPr>
        <w:t>S</w:t>
      </w:r>
      <w:r w:rsidR="000B67FF">
        <w:rPr>
          <w:rFonts w:asciiTheme="minorHAnsi" w:hAnsiTheme="minorHAnsi" w:cstheme="minorHAnsi"/>
        </w:rPr>
        <w:t>5</w:t>
      </w:r>
      <w:r w:rsidR="000B67FF" w:rsidRPr="00AF6BD8">
        <w:rPr>
          <w:rFonts w:asciiTheme="minorHAnsi" w:hAnsiTheme="minorHAnsi" w:cstheme="minorHAnsi"/>
        </w:rPr>
        <w:t xml:space="preserve">). Patient 9 (BSR = 0.467) was also sedated with barbiturates, and Patient 10 (BSR </w:t>
      </w:r>
      <w:r w:rsidR="000B67FF" w:rsidRPr="00AF6BD8">
        <w:rPr>
          <w:rFonts w:asciiTheme="minorHAnsi" w:hAnsiTheme="minorHAnsi" w:cstheme="minorHAnsi"/>
        </w:rPr>
        <w:lastRenderedPageBreak/>
        <w:t xml:space="preserve">= 0.422) was sedated with propofol. Our analysis did not create categorical distinctions between burst suppression and non-burst suppression, but instead treated BSR as a continuous variable. </w:t>
      </w:r>
    </w:p>
    <w:p w14:paraId="5F3056A9" w14:textId="77777777" w:rsidR="000B67FF" w:rsidRDefault="000B67FF" w:rsidP="00C867BD">
      <w:pPr>
        <w:spacing w:after="160" w:line="360" w:lineRule="auto"/>
        <w:jc w:val="both"/>
        <w:rPr>
          <w:rFonts w:asciiTheme="minorHAnsi" w:hAnsiTheme="minorHAnsi" w:cstheme="minorHAnsi"/>
        </w:rPr>
        <w:sectPr w:rsidR="000B67FF" w:rsidSect="00FA183D">
          <w:pgSz w:w="15840" w:h="12240" w:orient="landscape"/>
          <w:pgMar w:top="1440" w:right="1440" w:bottom="1440" w:left="1440" w:header="720" w:footer="720" w:gutter="0"/>
          <w:cols w:space="720"/>
          <w:titlePg/>
          <w:docGrid w:linePitch="360"/>
        </w:sectPr>
      </w:pPr>
    </w:p>
    <w:p w14:paraId="5C7989BA" w14:textId="72E7D9C2" w:rsidR="000B67FF" w:rsidRDefault="00E550C8" w:rsidP="00C867BD">
      <w:pPr>
        <w:spacing w:after="160" w:line="360" w:lineRule="auto"/>
        <w:rPr>
          <w:rFonts w:asciiTheme="minorHAnsi" w:hAnsiTheme="minorHAnsi" w:cstheme="minorHAnsi"/>
        </w:rPr>
      </w:pPr>
      <w:r>
        <w:rPr>
          <w:rFonts w:asciiTheme="minorHAnsi" w:hAnsiTheme="minorHAnsi" w:cstheme="minorHAnsi"/>
          <w:noProof/>
        </w:rPr>
        <w:lastRenderedPageBreak/>
        <w:drawing>
          <wp:inline distT="0" distB="0" distL="0" distR="0" wp14:anchorId="4399C9DC" wp14:editId="2517C1E7">
            <wp:extent cx="5943600" cy="3942715"/>
            <wp:effectExtent l="0" t="0" r="0" b="635"/>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12"/>
                    <a:stretch>
                      <a:fillRect/>
                    </a:stretch>
                  </pic:blipFill>
                  <pic:spPr>
                    <a:xfrm>
                      <a:off x="0" y="0"/>
                      <a:ext cx="5943600" cy="3942715"/>
                    </a:xfrm>
                    <a:prstGeom prst="rect">
                      <a:avLst/>
                    </a:prstGeom>
                  </pic:spPr>
                </pic:pic>
              </a:graphicData>
            </a:graphic>
          </wp:inline>
        </w:drawing>
      </w:r>
    </w:p>
    <w:p w14:paraId="3DA599D5" w14:textId="3346A95B" w:rsidR="000B67FF" w:rsidRPr="00AF6BD8" w:rsidRDefault="000B67FF" w:rsidP="00C867BD">
      <w:pPr>
        <w:spacing w:after="160" w:line="360" w:lineRule="auto"/>
        <w:jc w:val="both"/>
        <w:rPr>
          <w:rFonts w:asciiTheme="minorHAnsi" w:hAnsiTheme="minorHAnsi" w:cstheme="minorHAnsi"/>
        </w:rPr>
      </w:pPr>
    </w:p>
    <w:p w14:paraId="150B647C" w14:textId="197B5E0B" w:rsidR="000B67FF" w:rsidRPr="008735C6" w:rsidRDefault="00F54A43" w:rsidP="00C867BD">
      <w:pPr>
        <w:spacing w:after="160" w:line="360" w:lineRule="auto"/>
        <w:jc w:val="both"/>
        <w:rPr>
          <w:rFonts w:asciiTheme="minorHAnsi" w:hAnsiTheme="minorHAnsi" w:cstheme="minorHAnsi"/>
        </w:rPr>
      </w:pPr>
      <w:r>
        <w:rPr>
          <w:rFonts w:asciiTheme="minorHAnsi" w:hAnsiTheme="minorHAnsi" w:cstheme="minorHAnsi"/>
          <w:b/>
          <w:bCs/>
        </w:rPr>
        <w:t>Supplementary</w:t>
      </w:r>
      <w:r w:rsidR="000B67FF">
        <w:rPr>
          <w:rFonts w:asciiTheme="minorHAnsi" w:hAnsiTheme="minorHAnsi" w:cstheme="minorHAnsi"/>
          <w:b/>
          <w:bCs/>
        </w:rPr>
        <w:t xml:space="preserve"> </w:t>
      </w:r>
      <w:r w:rsidR="000B67FF" w:rsidRPr="008735C6">
        <w:rPr>
          <w:rFonts w:asciiTheme="minorHAnsi" w:hAnsiTheme="minorHAnsi" w:cstheme="minorHAnsi"/>
          <w:b/>
          <w:bCs/>
        </w:rPr>
        <w:t xml:space="preserve">Figure </w:t>
      </w:r>
      <w:r w:rsidR="00E707A1">
        <w:rPr>
          <w:rFonts w:asciiTheme="minorHAnsi" w:hAnsiTheme="minorHAnsi" w:cstheme="minorHAnsi"/>
          <w:b/>
          <w:bCs/>
        </w:rPr>
        <w:t>5</w:t>
      </w:r>
      <w:r w:rsidR="000B67FF" w:rsidRPr="008735C6">
        <w:rPr>
          <w:rFonts w:asciiTheme="minorHAnsi" w:hAnsiTheme="minorHAnsi" w:cstheme="minorHAnsi"/>
          <w:b/>
          <w:bCs/>
        </w:rPr>
        <w:t>: Percent of patients sedated with barbiturates or propofol as a function of bursts suppression ratio (BSR)</w:t>
      </w:r>
      <w:r w:rsidR="00E550C8">
        <w:rPr>
          <w:rFonts w:asciiTheme="minorHAnsi" w:hAnsiTheme="minorHAnsi" w:cstheme="minorHAnsi"/>
          <w:b/>
          <w:bCs/>
        </w:rPr>
        <w:t xml:space="preserve"> threshold</w:t>
      </w:r>
      <w:r w:rsidR="000B67FF" w:rsidRPr="008735C6">
        <w:rPr>
          <w:rFonts w:asciiTheme="minorHAnsi" w:hAnsiTheme="minorHAnsi" w:cstheme="minorHAnsi"/>
          <w:b/>
          <w:bCs/>
        </w:rPr>
        <w:t>.</w:t>
      </w:r>
      <w:r w:rsidR="00E550C8">
        <w:rPr>
          <w:rFonts w:asciiTheme="minorHAnsi" w:hAnsiTheme="minorHAnsi" w:cstheme="minorHAnsi"/>
          <w:b/>
          <w:bCs/>
        </w:rPr>
        <w:t xml:space="preserve"> </w:t>
      </w:r>
      <w:r w:rsidR="00E550C8">
        <w:rPr>
          <w:rFonts w:asciiTheme="minorHAnsi" w:hAnsiTheme="minorHAnsi" w:cstheme="minorHAnsi"/>
        </w:rPr>
        <w:t>A threshold was applied to patients such that the proportion given barbiturates or propofol was computed for all patients with BSR &gt; threshold.</w:t>
      </w:r>
      <w:r w:rsidR="000B67FF" w:rsidRPr="00AF6BD8">
        <w:rPr>
          <w:rFonts w:asciiTheme="minorHAnsi" w:hAnsiTheme="minorHAnsi" w:cstheme="minorHAnsi"/>
        </w:rPr>
        <w:t xml:space="preserve"> The proportion of patients sedated with barbiturates increases with the BSR</w:t>
      </w:r>
      <w:r w:rsidR="00E550C8">
        <w:rPr>
          <w:rFonts w:asciiTheme="minorHAnsi" w:hAnsiTheme="minorHAnsi" w:cstheme="minorHAnsi"/>
        </w:rPr>
        <w:t xml:space="preserve"> threshold</w:t>
      </w:r>
      <w:r w:rsidR="000B67FF" w:rsidRPr="00AF6BD8">
        <w:rPr>
          <w:rFonts w:asciiTheme="minorHAnsi" w:hAnsiTheme="minorHAnsi" w:cstheme="minorHAnsi"/>
        </w:rPr>
        <w:t>. All patients with BSR &gt; 0.45 were given barbiturates on the day of maximum BSR. Burst suppression appeared to be largely induced by barbiturates rather than propofol. While slightly more than half (53%) of all patients were sedated with propofol on the day of maximum BSR, this proportion was smaller for those with higher BSRs.</w:t>
      </w:r>
    </w:p>
    <w:p w14:paraId="215169E0" w14:textId="77777777" w:rsidR="00400A09" w:rsidRDefault="00542D63" w:rsidP="00C867BD">
      <w:pPr>
        <w:spacing w:line="360" w:lineRule="auto"/>
      </w:pPr>
    </w:p>
    <w:sectPr w:rsidR="00400A09" w:rsidSect="005D0C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25DA" w14:textId="77777777" w:rsidR="00542D63" w:rsidRDefault="00542D63">
      <w:r>
        <w:separator/>
      </w:r>
    </w:p>
  </w:endnote>
  <w:endnote w:type="continuationSeparator" w:id="0">
    <w:p w14:paraId="4EEEF4B6" w14:textId="77777777" w:rsidR="00542D63" w:rsidRDefault="0054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70738"/>
      <w:docPartObj>
        <w:docPartGallery w:val="Page Numbers (Bottom of Page)"/>
        <w:docPartUnique/>
      </w:docPartObj>
    </w:sdtPr>
    <w:sdtEndPr>
      <w:rPr>
        <w:noProof/>
      </w:rPr>
    </w:sdtEndPr>
    <w:sdtContent>
      <w:p w14:paraId="1A6CF561" w14:textId="77777777" w:rsidR="007A3991" w:rsidRDefault="000B67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0E4CB3" w14:textId="77777777" w:rsidR="007A3991" w:rsidRDefault="00542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7EA5" w14:textId="77777777" w:rsidR="00542D63" w:rsidRDefault="00542D63">
      <w:r>
        <w:separator/>
      </w:r>
    </w:p>
  </w:footnote>
  <w:footnote w:type="continuationSeparator" w:id="0">
    <w:p w14:paraId="2924F7F5" w14:textId="77777777" w:rsidR="00542D63" w:rsidRDefault="00542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8F75" w14:textId="77777777" w:rsidR="007A3991" w:rsidRPr="001E4A61" w:rsidRDefault="000B67FF" w:rsidP="001E4A61">
    <w:pPr>
      <w:pStyle w:val="Header"/>
      <w:jc w:val="right"/>
      <w:rPr>
        <w:rFonts w:asciiTheme="minorHAnsi" w:hAnsiTheme="minorHAnsi" w:cstheme="minorHAnsi"/>
      </w:rPr>
    </w:pPr>
    <w:r w:rsidRPr="001E4A61">
      <w:rPr>
        <w:rFonts w:asciiTheme="minorHAnsi" w:hAnsiTheme="minorHAnsi" w:cstheme="minorHAnsi"/>
      </w:rPr>
      <w:t>Frohlich et al.                                                       Burst suppression predicts brain injury outcomes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FF"/>
    <w:rsid w:val="00083222"/>
    <w:rsid w:val="000B67FF"/>
    <w:rsid w:val="000C58D7"/>
    <w:rsid w:val="00136BE8"/>
    <w:rsid w:val="00140BFA"/>
    <w:rsid w:val="002952D6"/>
    <w:rsid w:val="003114EC"/>
    <w:rsid w:val="003436E1"/>
    <w:rsid w:val="003525FA"/>
    <w:rsid w:val="00480366"/>
    <w:rsid w:val="005071E9"/>
    <w:rsid w:val="00542D63"/>
    <w:rsid w:val="00566444"/>
    <w:rsid w:val="005D0C53"/>
    <w:rsid w:val="007C79FF"/>
    <w:rsid w:val="008302C8"/>
    <w:rsid w:val="008B212F"/>
    <w:rsid w:val="0094494F"/>
    <w:rsid w:val="00AC0A87"/>
    <w:rsid w:val="00B0273E"/>
    <w:rsid w:val="00BE7519"/>
    <w:rsid w:val="00C07A0B"/>
    <w:rsid w:val="00C3147D"/>
    <w:rsid w:val="00C867BD"/>
    <w:rsid w:val="00CE115F"/>
    <w:rsid w:val="00D02951"/>
    <w:rsid w:val="00D85F11"/>
    <w:rsid w:val="00DB1706"/>
    <w:rsid w:val="00E550C8"/>
    <w:rsid w:val="00E707A1"/>
    <w:rsid w:val="00EA3F29"/>
    <w:rsid w:val="00F26A02"/>
    <w:rsid w:val="00F54A43"/>
    <w:rsid w:val="00FA183D"/>
    <w:rsid w:val="00FA7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D47034"/>
  <w15:chartTrackingRefBased/>
  <w15:docId w15:val="{FC2D8526-E0F4-4BC8-8651-5AE255AE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7FF"/>
    <w:pPr>
      <w:tabs>
        <w:tab w:val="center" w:pos="4680"/>
        <w:tab w:val="right" w:pos="9360"/>
      </w:tabs>
    </w:pPr>
  </w:style>
  <w:style w:type="character" w:customStyle="1" w:styleId="HeaderChar">
    <w:name w:val="Header Char"/>
    <w:basedOn w:val="DefaultParagraphFont"/>
    <w:link w:val="Header"/>
    <w:uiPriority w:val="99"/>
    <w:rsid w:val="000B67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67FF"/>
    <w:pPr>
      <w:tabs>
        <w:tab w:val="center" w:pos="4680"/>
        <w:tab w:val="right" w:pos="9360"/>
      </w:tabs>
    </w:pPr>
  </w:style>
  <w:style w:type="character" w:customStyle="1" w:styleId="FooterChar">
    <w:name w:val="Footer Char"/>
    <w:basedOn w:val="DefaultParagraphFont"/>
    <w:link w:val="Footer"/>
    <w:uiPriority w:val="99"/>
    <w:rsid w:val="000B67FF"/>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0B67FF"/>
  </w:style>
  <w:style w:type="character" w:styleId="Hyperlink">
    <w:name w:val="Hyperlink"/>
    <w:basedOn w:val="DefaultParagraphFont"/>
    <w:uiPriority w:val="99"/>
    <w:unhideWhenUsed/>
    <w:rsid w:val="000B67FF"/>
    <w:rPr>
      <w:color w:val="0000FF"/>
      <w:u w:val="single"/>
    </w:rPr>
  </w:style>
  <w:style w:type="paragraph" w:styleId="Revision">
    <w:name w:val="Revision"/>
    <w:hidden/>
    <w:uiPriority w:val="99"/>
    <w:semiHidden/>
    <w:rsid w:val="00F26A0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Frohlich</dc:creator>
  <cp:keywords/>
  <dc:description/>
  <cp:lastModifiedBy>John Magri</cp:lastModifiedBy>
  <cp:revision>7</cp:revision>
  <dcterms:created xsi:type="dcterms:W3CDTF">2021-12-03T14:41:00Z</dcterms:created>
  <dcterms:modified xsi:type="dcterms:W3CDTF">2021-12-17T08:01:00Z</dcterms:modified>
</cp:coreProperties>
</file>