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B77BF" w14:textId="77777777" w:rsidR="00267307" w:rsidRPr="00F54363" w:rsidRDefault="00267307" w:rsidP="00267307">
      <w:pPr>
        <w:pStyle w:val="SupplementaryMaterial"/>
      </w:pPr>
      <w:r w:rsidRPr="00F54363">
        <w:t>Supplementary Material</w:t>
      </w:r>
    </w:p>
    <w:p w14:paraId="72DDD81D" w14:textId="77777777" w:rsidR="00267307" w:rsidRPr="00F54363" w:rsidRDefault="00267307" w:rsidP="00267307">
      <w:pPr>
        <w:spacing w:line="360" w:lineRule="auto"/>
        <w:jc w:val="center"/>
        <w:rPr>
          <w:rFonts w:cs="Times New Roman"/>
          <w:b/>
          <w:bCs/>
          <w:sz w:val="36"/>
          <w:szCs w:val="32"/>
        </w:rPr>
      </w:pPr>
    </w:p>
    <w:p w14:paraId="43B8C8CC" w14:textId="1EC7391D" w:rsidR="00267307" w:rsidRPr="00F54363" w:rsidRDefault="00267307" w:rsidP="00267307">
      <w:pPr>
        <w:spacing w:line="360" w:lineRule="auto"/>
        <w:jc w:val="center"/>
        <w:rPr>
          <w:rFonts w:cs="Times New Roman"/>
          <w:b/>
          <w:bCs/>
          <w:sz w:val="32"/>
          <w:szCs w:val="28"/>
        </w:rPr>
      </w:pPr>
      <w:r w:rsidRPr="00267307">
        <w:rPr>
          <w:rFonts w:cs="Times New Roman"/>
          <w:b/>
          <w:bCs/>
          <w:sz w:val="32"/>
          <w:szCs w:val="28"/>
        </w:rPr>
        <w:t>Monitoring Visual Cortical Activities during Progressive Retinal Degeneration using Functional Bioluminescence imaging</w:t>
      </w:r>
    </w:p>
    <w:p w14:paraId="22FC021E" w14:textId="77777777" w:rsidR="00267307" w:rsidRPr="00F54363" w:rsidRDefault="00267307" w:rsidP="00267307">
      <w:pPr>
        <w:spacing w:line="360" w:lineRule="auto"/>
        <w:jc w:val="center"/>
        <w:rPr>
          <w:rFonts w:cs="Times New Roman"/>
          <w:b/>
          <w:bCs/>
        </w:rPr>
      </w:pPr>
    </w:p>
    <w:p w14:paraId="18BF9BFD" w14:textId="77777777" w:rsidR="00267307" w:rsidRPr="00376CC5" w:rsidRDefault="00267307" w:rsidP="00267307">
      <w:pPr>
        <w:pStyle w:val="AuthorList"/>
        <w:jc w:val="center"/>
      </w:pPr>
      <w:bookmarkStart w:id="0" w:name="_Hlk78565031"/>
      <w:r w:rsidRPr="0032280C">
        <w:t>Darryl Narcisse</w:t>
      </w:r>
      <w:r w:rsidRPr="00376CC5">
        <w:rPr>
          <w:vertAlign w:val="superscript"/>
        </w:rPr>
        <w:t>1</w:t>
      </w:r>
      <w:r w:rsidRPr="008D77FE">
        <w:rPr>
          <w:vertAlign w:val="superscript"/>
        </w:rPr>
        <w:t>†</w:t>
      </w:r>
      <w:r w:rsidRPr="0032280C">
        <w:t xml:space="preserve">, </w:t>
      </w:r>
      <w:proofErr w:type="spellStart"/>
      <w:r w:rsidRPr="0032280C">
        <w:t>Sourajit</w:t>
      </w:r>
      <w:proofErr w:type="spellEnd"/>
      <w:r w:rsidRPr="0032280C">
        <w:t xml:space="preserve"> Mustafi</w:t>
      </w:r>
      <w:r w:rsidRPr="00376CC5">
        <w:rPr>
          <w:vertAlign w:val="superscript"/>
        </w:rPr>
        <w:t>1</w:t>
      </w:r>
      <w:r w:rsidRPr="008D77FE">
        <w:rPr>
          <w:vertAlign w:val="superscript"/>
        </w:rPr>
        <w:t>†</w:t>
      </w:r>
      <w:r w:rsidRPr="0032280C">
        <w:t>, Michael Carlson</w:t>
      </w:r>
      <w:r w:rsidRPr="00376CC5">
        <w:rPr>
          <w:vertAlign w:val="superscript"/>
        </w:rPr>
        <w:t>1</w:t>
      </w:r>
      <w:r w:rsidRPr="0032280C">
        <w:t xml:space="preserve">, Sang </w:t>
      </w:r>
      <w:proofErr w:type="spellStart"/>
      <w:r w:rsidRPr="0032280C">
        <w:t>Hoon</w:t>
      </w:r>
      <w:proofErr w:type="spellEnd"/>
      <w:r w:rsidRPr="0032280C">
        <w:t xml:space="preserve"> Kim</w:t>
      </w:r>
      <w:r w:rsidRPr="00376CC5">
        <w:rPr>
          <w:vertAlign w:val="superscript"/>
        </w:rPr>
        <w:t>1</w:t>
      </w:r>
      <w:r w:rsidRPr="0032280C">
        <w:t>, Subrata Batabyal</w:t>
      </w:r>
      <w:r w:rsidRPr="00376CC5">
        <w:rPr>
          <w:vertAlign w:val="superscript"/>
        </w:rPr>
        <w:t>1</w:t>
      </w:r>
      <w:r w:rsidRPr="0032280C">
        <w:t>, Weldon Wright</w:t>
      </w:r>
      <w:r w:rsidRPr="00376CC5">
        <w:rPr>
          <w:vertAlign w:val="superscript"/>
        </w:rPr>
        <w:t>1</w:t>
      </w:r>
      <w:r w:rsidRPr="0032280C">
        <w:t>, Samarendra Mohanty</w:t>
      </w:r>
      <w:r w:rsidRPr="00376CC5">
        <w:rPr>
          <w:vertAlign w:val="superscript"/>
        </w:rPr>
        <w:t>1</w:t>
      </w:r>
      <w:r w:rsidRPr="008D77FE">
        <w:rPr>
          <w:vertAlign w:val="superscript"/>
        </w:rPr>
        <w:t>†</w:t>
      </w:r>
      <w:r w:rsidRPr="008D77FE">
        <w:t>*</w:t>
      </w:r>
    </w:p>
    <w:bookmarkEnd w:id="0"/>
    <w:p w14:paraId="38EA01BB" w14:textId="6952637D" w:rsidR="00267307" w:rsidRPr="00F54363" w:rsidRDefault="00267307" w:rsidP="00267307">
      <w:pPr>
        <w:spacing w:line="360" w:lineRule="auto"/>
        <w:jc w:val="center"/>
        <w:rPr>
          <w:rFonts w:cs="Times New Roman"/>
          <w:b/>
          <w:bCs/>
          <w:vertAlign w:val="superscript"/>
        </w:rPr>
      </w:pPr>
    </w:p>
    <w:p w14:paraId="04512BB1" w14:textId="77777777" w:rsidR="00267307" w:rsidRPr="00F54363" w:rsidRDefault="00267307" w:rsidP="00267307">
      <w:pPr>
        <w:spacing w:line="360" w:lineRule="auto"/>
        <w:jc w:val="center"/>
        <w:rPr>
          <w:rFonts w:cs="Times New Roman"/>
          <w:b/>
          <w:bCs/>
          <w:vertAlign w:val="superscript"/>
        </w:rPr>
      </w:pPr>
    </w:p>
    <w:p w14:paraId="327F2344" w14:textId="313D5791" w:rsidR="00267307" w:rsidRPr="00F54363" w:rsidRDefault="00267307" w:rsidP="002F0B94">
      <w:pPr>
        <w:spacing w:line="360" w:lineRule="auto"/>
        <w:jc w:val="center"/>
        <w:rPr>
          <w:rFonts w:cs="Times New Roman"/>
          <w:bCs/>
          <w:i/>
        </w:rPr>
      </w:pPr>
      <w:r w:rsidRPr="00F54363">
        <w:rPr>
          <w:rFonts w:cs="Times New Roman"/>
          <w:bCs/>
          <w:i/>
        </w:rPr>
        <w:t>Nanoscope Technologies LLC,</w:t>
      </w:r>
      <w:r w:rsidR="002F0B94">
        <w:rPr>
          <w:rFonts w:cs="Times New Roman"/>
          <w:bCs/>
          <w:i/>
        </w:rPr>
        <w:t xml:space="preserve"> </w:t>
      </w:r>
      <w:r w:rsidRPr="00F54363">
        <w:rPr>
          <w:rFonts w:cs="Times New Roman"/>
          <w:bCs/>
          <w:i/>
        </w:rPr>
        <w:t>Bedford, TX 76022, USA.</w:t>
      </w:r>
    </w:p>
    <w:p w14:paraId="5278AD3C" w14:textId="77777777" w:rsidR="00267307" w:rsidRPr="00F54363" w:rsidRDefault="00267307" w:rsidP="00267307">
      <w:pPr>
        <w:spacing w:line="360" w:lineRule="auto"/>
        <w:rPr>
          <w:rFonts w:cs="Times New Roman"/>
          <w:b/>
          <w:bCs/>
        </w:rPr>
      </w:pPr>
    </w:p>
    <w:p w14:paraId="7A9AC636" w14:textId="77777777" w:rsidR="00267307" w:rsidRPr="00F54363" w:rsidRDefault="00267307" w:rsidP="00267307">
      <w:pPr>
        <w:spacing w:line="360" w:lineRule="auto"/>
        <w:rPr>
          <w:rFonts w:cs="Times New Roman"/>
          <w:bCs/>
        </w:rPr>
      </w:pPr>
    </w:p>
    <w:p w14:paraId="1EB309A5" w14:textId="77777777" w:rsidR="00267307" w:rsidRPr="00F54363" w:rsidRDefault="00267307" w:rsidP="00267307">
      <w:pPr>
        <w:spacing w:line="360" w:lineRule="auto"/>
        <w:rPr>
          <w:rFonts w:cs="Times New Roman"/>
          <w:bCs/>
        </w:rPr>
      </w:pPr>
    </w:p>
    <w:p w14:paraId="5585B484" w14:textId="77777777" w:rsidR="00267307" w:rsidRPr="00F54363" w:rsidRDefault="00267307" w:rsidP="00267307">
      <w:pPr>
        <w:spacing w:line="360" w:lineRule="auto"/>
        <w:rPr>
          <w:rFonts w:cs="Times New Roman"/>
          <w:bCs/>
        </w:rPr>
      </w:pPr>
    </w:p>
    <w:p w14:paraId="056B00ED" w14:textId="77777777" w:rsidR="00267307" w:rsidRPr="00F54363" w:rsidRDefault="00267307" w:rsidP="00267307">
      <w:pPr>
        <w:spacing w:line="360" w:lineRule="auto"/>
        <w:rPr>
          <w:rFonts w:cs="Times New Roman"/>
          <w:bCs/>
        </w:rPr>
      </w:pPr>
    </w:p>
    <w:p w14:paraId="750F36D2" w14:textId="77777777" w:rsidR="00267307" w:rsidRPr="00F54363" w:rsidRDefault="00267307" w:rsidP="00267307">
      <w:pPr>
        <w:spacing w:line="360" w:lineRule="auto"/>
        <w:rPr>
          <w:rFonts w:cs="Times New Roman"/>
          <w:bCs/>
        </w:rPr>
      </w:pPr>
    </w:p>
    <w:p w14:paraId="63B7155E" w14:textId="77777777" w:rsidR="00267307" w:rsidRPr="00F54363" w:rsidRDefault="00267307" w:rsidP="00267307">
      <w:pPr>
        <w:spacing w:line="360" w:lineRule="auto"/>
        <w:rPr>
          <w:rFonts w:cs="Times New Roman"/>
          <w:bCs/>
        </w:rPr>
      </w:pPr>
    </w:p>
    <w:p w14:paraId="01BB9364" w14:textId="77777777" w:rsidR="00267307" w:rsidRPr="00F54363" w:rsidRDefault="00267307" w:rsidP="00267307">
      <w:pPr>
        <w:spacing w:line="360" w:lineRule="auto"/>
        <w:rPr>
          <w:rFonts w:cs="Times New Roman"/>
          <w:bCs/>
        </w:rPr>
      </w:pPr>
    </w:p>
    <w:p w14:paraId="14120772" w14:textId="77777777" w:rsidR="00267307" w:rsidRPr="00F54363" w:rsidRDefault="00267307" w:rsidP="00267307">
      <w:pPr>
        <w:spacing w:line="360" w:lineRule="auto"/>
        <w:rPr>
          <w:rFonts w:cs="Times New Roman"/>
          <w:bCs/>
        </w:rPr>
      </w:pPr>
      <w:r w:rsidRPr="00F54363">
        <w:rPr>
          <w:rFonts w:cs="Times New Roman"/>
          <w:bCs/>
        </w:rPr>
        <w:t>* Correspondence should be addressed to S.M (</w:t>
      </w:r>
      <w:r w:rsidRPr="00F54363">
        <w:rPr>
          <w:rFonts w:cs="Times New Roman"/>
          <w:bCs/>
          <w:iCs/>
          <w:u w:val="single"/>
        </w:rPr>
        <w:t>smohanty@nanoscopetech.com</w:t>
      </w:r>
      <w:r w:rsidRPr="00F54363">
        <w:rPr>
          <w:rFonts w:cs="Times New Roman"/>
          <w:bCs/>
        </w:rPr>
        <w:t xml:space="preserve">)  </w:t>
      </w:r>
    </w:p>
    <w:p w14:paraId="12B46906" w14:textId="77777777" w:rsidR="00267307" w:rsidRPr="00F54363" w:rsidRDefault="00267307" w:rsidP="00267307">
      <w:pPr>
        <w:spacing w:line="360" w:lineRule="auto"/>
        <w:jc w:val="both"/>
        <w:rPr>
          <w:rFonts w:cs="Times New Roman"/>
          <w:b/>
          <w:bCs/>
        </w:rPr>
      </w:pPr>
    </w:p>
    <w:p w14:paraId="753A0D88" w14:textId="77777777" w:rsidR="00267307" w:rsidRPr="00F067F0" w:rsidRDefault="00267307" w:rsidP="00267307">
      <w:pPr>
        <w:spacing w:after="0"/>
        <w:rPr>
          <w:rFonts w:ascii="Georgia" w:eastAsia="+mn-ea" w:hAnsi="Georgia" w:cs="Arial"/>
          <w:b/>
          <w:kern w:val="24"/>
          <w:sz w:val="36"/>
          <w:szCs w:val="36"/>
        </w:rPr>
      </w:pPr>
    </w:p>
    <w:p w14:paraId="4F26125E" w14:textId="77777777" w:rsidR="00267307" w:rsidRPr="006F01D4" w:rsidRDefault="00267307" w:rsidP="00267307">
      <w:pPr>
        <w:keepNext/>
        <w:spacing w:line="36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AFE7CCD" wp14:editId="0006849E">
            <wp:extent cx="5731510" cy="4536440"/>
            <wp:effectExtent l="0" t="0" r="254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72A6" w14:textId="332B3294" w:rsidR="00267307" w:rsidRDefault="00267307" w:rsidP="00267307">
      <w:pPr>
        <w:pStyle w:val="Caption"/>
        <w:jc w:val="center"/>
        <w:rPr>
          <w:rFonts w:ascii="Georgia" w:eastAsia="+mn-ea" w:hAnsi="Georgia"/>
          <w:b w:val="0"/>
          <w:bCs w:val="0"/>
          <w:sz w:val="22"/>
          <w:szCs w:val="22"/>
        </w:rPr>
      </w:pPr>
      <w:bookmarkStart w:id="1" w:name="_Ref61687933"/>
      <w:r w:rsidRPr="00A3113B">
        <w:rPr>
          <w:rFonts w:ascii="Georgia" w:hAnsi="Georgia"/>
          <w:sz w:val="22"/>
          <w:szCs w:val="22"/>
        </w:rPr>
        <w:t xml:space="preserve">Fig </w:t>
      </w:r>
      <w:r w:rsidRPr="00F067F0">
        <w:rPr>
          <w:rFonts w:ascii="Georgia" w:hAnsi="Georgia"/>
          <w:sz w:val="22"/>
          <w:szCs w:val="22"/>
        </w:rPr>
        <w:t>S</w: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begin"/>
      </w:r>
      <w:r w:rsidRPr="00F067F0">
        <w:rPr>
          <w:rFonts w:ascii="Georgia" w:hAnsi="Georgia"/>
          <w:sz w:val="22"/>
          <w:szCs w:val="22"/>
        </w:rPr>
        <w:instrText xml:space="preserve"> SEQ Supplementary_Figure \* ARABIC </w:instrTex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separate"/>
      </w:r>
      <w:r>
        <w:rPr>
          <w:rFonts w:ascii="Georgia" w:hAnsi="Georgia"/>
          <w:noProof/>
          <w:sz w:val="22"/>
          <w:szCs w:val="22"/>
        </w:rPr>
        <w:t>1</w:t>
      </w:r>
      <w:r w:rsidRPr="00F067F0">
        <w:rPr>
          <w:rFonts w:ascii="Georgia" w:hAnsi="Georgia"/>
          <w:b w:val="0"/>
          <w:bCs w:val="0"/>
          <w:i/>
          <w:iCs/>
          <w:noProof/>
          <w:sz w:val="22"/>
          <w:szCs w:val="22"/>
        </w:rPr>
        <w:fldChar w:fldCharType="end"/>
      </w:r>
      <w:bookmarkEnd w:id="1"/>
      <w:r w:rsidRPr="00F067F0">
        <w:rPr>
          <w:rFonts w:ascii="Georgia" w:hAnsi="Georgia"/>
          <w:sz w:val="22"/>
          <w:szCs w:val="22"/>
        </w:rPr>
        <w:t xml:space="preserve">. </w:t>
      </w:r>
      <w:proofErr w:type="gramStart"/>
      <w:r>
        <w:rPr>
          <w:rFonts w:ascii="Georgia" w:hAnsi="Georgia"/>
          <w:sz w:val="22"/>
          <w:szCs w:val="22"/>
        </w:rPr>
        <w:t>Visually-evoked</w:t>
      </w:r>
      <w:proofErr w:type="gramEnd"/>
      <w:r w:rsidRPr="00F067F0">
        <w:rPr>
          <w:rFonts w:ascii="Georgia" w:hAnsi="Georgia"/>
          <w:sz w:val="22"/>
          <w:szCs w:val="22"/>
        </w:rPr>
        <w:t xml:space="preserve"> Ca</w:t>
      </w:r>
      <w:r w:rsidRPr="00F067F0">
        <w:rPr>
          <w:rFonts w:ascii="Georgia" w:hAnsi="Georgia"/>
          <w:sz w:val="22"/>
          <w:szCs w:val="22"/>
          <w:vertAlign w:val="superscript"/>
        </w:rPr>
        <w:t>2+</w:t>
      </w:r>
      <w:r w:rsidRPr="00F067F0">
        <w:rPr>
          <w:rFonts w:ascii="Georgia" w:hAnsi="Georgia"/>
          <w:sz w:val="22"/>
          <w:szCs w:val="22"/>
        </w:rPr>
        <w:t xml:space="preserve">-bioluminescence response in primary visual cortex of Wild type mice. </w:t>
      </w:r>
      <w:r w:rsidRPr="00267307">
        <w:rPr>
          <w:rFonts w:ascii="Georgia" w:eastAsia="+mn-ea" w:hAnsi="Georgia"/>
          <w:b w:val="0"/>
          <w:bCs w:val="0"/>
          <w:sz w:val="22"/>
          <w:szCs w:val="22"/>
        </w:rPr>
        <w:t>Top 2 rows: 6 weeks old; bottom two rows: 7 weeks old. The time-series images show response in V1 after visual stimulation of one eye. Arrows and numbers indicate specific neurons activated during visual stimulation which were tracked during the experimental session.</w:t>
      </w:r>
    </w:p>
    <w:p w14:paraId="1B402971" w14:textId="77777777" w:rsidR="00267307" w:rsidRDefault="00267307">
      <w:pPr>
        <w:spacing w:before="0" w:after="200" w:line="276" w:lineRule="auto"/>
        <w:rPr>
          <w:rFonts w:ascii="Georgia" w:eastAsia="+mn-ea" w:hAnsi="Georgia" w:cs="Times New Roman"/>
          <w:sz w:val="22"/>
        </w:rPr>
      </w:pPr>
      <w:r>
        <w:rPr>
          <w:rFonts w:ascii="Georgia" w:eastAsia="+mn-ea" w:hAnsi="Georgia"/>
          <w:b/>
          <w:bCs/>
          <w:sz w:val="22"/>
        </w:rPr>
        <w:br w:type="page"/>
      </w:r>
    </w:p>
    <w:p w14:paraId="2089FD42" w14:textId="77777777" w:rsidR="00267307" w:rsidRDefault="00267307" w:rsidP="00267307">
      <w:pPr>
        <w:spacing w:after="0"/>
        <w:jc w:val="center"/>
        <w:rPr>
          <w:rFonts w:ascii="Georgia" w:hAnsi="Georgia"/>
          <w:b/>
          <w:bCs/>
          <w:sz w:val="20"/>
          <w:szCs w:val="20"/>
        </w:rPr>
      </w:pPr>
    </w:p>
    <w:p w14:paraId="68C5943C" w14:textId="77777777" w:rsidR="00267307" w:rsidRDefault="00267307" w:rsidP="00267307">
      <w:pPr>
        <w:spacing w:after="0"/>
        <w:jc w:val="center"/>
        <w:rPr>
          <w:rFonts w:ascii="Georgia" w:hAnsi="Georgi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51A4119" wp14:editId="2B400931">
            <wp:extent cx="5731510" cy="4398645"/>
            <wp:effectExtent l="0" t="0" r="2540" b="1905"/>
            <wp:docPr id="8" name="Picture 8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treemap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A8AB" w14:textId="77777777" w:rsidR="00267307" w:rsidRPr="00337C32" w:rsidRDefault="00267307" w:rsidP="00267307">
      <w:pPr>
        <w:spacing w:after="0"/>
        <w:jc w:val="center"/>
        <w:rPr>
          <w:rFonts w:ascii="Georgia" w:hAnsi="Georgia"/>
          <w:b/>
          <w:bCs/>
          <w:sz w:val="20"/>
          <w:szCs w:val="20"/>
        </w:rPr>
      </w:pPr>
    </w:p>
    <w:p w14:paraId="3F57B762" w14:textId="5E172C3B" w:rsidR="00267307" w:rsidRDefault="00267307" w:rsidP="00267307">
      <w:pPr>
        <w:pStyle w:val="Caption"/>
        <w:jc w:val="center"/>
        <w:rPr>
          <w:rFonts w:ascii="Georgia" w:hAnsi="Georgia"/>
          <w:b w:val="0"/>
          <w:bCs w:val="0"/>
          <w:sz w:val="22"/>
          <w:szCs w:val="22"/>
        </w:rPr>
      </w:pPr>
      <w:bookmarkStart w:id="2" w:name="_Ref61688207"/>
      <w:r w:rsidRPr="00A3113B">
        <w:rPr>
          <w:rFonts w:ascii="Georgia" w:hAnsi="Georgia"/>
          <w:sz w:val="22"/>
          <w:szCs w:val="22"/>
        </w:rPr>
        <w:t xml:space="preserve">Fig </w:t>
      </w:r>
      <w:r w:rsidRPr="00F067F0">
        <w:rPr>
          <w:rFonts w:ascii="Georgia" w:hAnsi="Georgia"/>
          <w:sz w:val="22"/>
          <w:szCs w:val="22"/>
        </w:rPr>
        <w:t>S</w: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begin"/>
      </w:r>
      <w:r w:rsidRPr="00F067F0">
        <w:rPr>
          <w:rFonts w:ascii="Georgia" w:hAnsi="Georgia"/>
          <w:sz w:val="22"/>
          <w:szCs w:val="22"/>
        </w:rPr>
        <w:instrText xml:space="preserve"> SEQ Supplementary_Figure \* ARABIC </w:instrTex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separate"/>
      </w:r>
      <w:r>
        <w:rPr>
          <w:rFonts w:ascii="Georgia" w:hAnsi="Georgia"/>
          <w:noProof/>
          <w:sz w:val="22"/>
          <w:szCs w:val="22"/>
        </w:rPr>
        <w:t>2</w:t>
      </w:r>
      <w:r w:rsidRPr="00F067F0">
        <w:rPr>
          <w:rFonts w:ascii="Georgia" w:hAnsi="Georgia"/>
          <w:b w:val="0"/>
          <w:bCs w:val="0"/>
          <w:i/>
          <w:iCs/>
          <w:noProof/>
          <w:sz w:val="22"/>
          <w:szCs w:val="22"/>
        </w:rPr>
        <w:fldChar w:fldCharType="end"/>
      </w:r>
      <w:bookmarkEnd w:id="2"/>
      <w:r w:rsidRPr="00F067F0">
        <w:rPr>
          <w:rFonts w:ascii="Georgia" w:hAnsi="Georgia"/>
          <w:sz w:val="22"/>
          <w:szCs w:val="22"/>
        </w:rPr>
        <w:t>. Representative baseline (with no light stimulation) Ca</w:t>
      </w:r>
      <w:r w:rsidRPr="00F067F0">
        <w:rPr>
          <w:rFonts w:ascii="Georgia" w:hAnsi="Georgia"/>
          <w:sz w:val="22"/>
          <w:szCs w:val="22"/>
          <w:vertAlign w:val="superscript"/>
        </w:rPr>
        <w:t>2+</w:t>
      </w:r>
      <w:r w:rsidRPr="00F067F0">
        <w:rPr>
          <w:rFonts w:ascii="Georgia" w:hAnsi="Georgia"/>
          <w:sz w:val="22"/>
          <w:szCs w:val="22"/>
        </w:rPr>
        <w:t xml:space="preserve"> -bioluminescence response in visual cortex of RD10 mouse</w:t>
      </w:r>
      <w:r w:rsidRPr="00267307">
        <w:rPr>
          <w:rFonts w:ascii="Georgia" w:hAnsi="Georgia"/>
          <w:sz w:val="22"/>
          <w:szCs w:val="22"/>
        </w:rPr>
        <w:t>.</w:t>
      </w:r>
      <w:r w:rsidRPr="00267307">
        <w:rPr>
          <w:rFonts w:ascii="Georgia" w:hAnsi="Georgia"/>
          <w:b w:val="0"/>
          <w:bCs w:val="0"/>
          <w:sz w:val="22"/>
          <w:szCs w:val="22"/>
        </w:rPr>
        <w:t xml:space="preserve"> Top two rows: 5 weeks old; and Bottom two rows: 7 weeks old mouse. The time-series images show response in visual cortex after visual stimulation of one eye.</w:t>
      </w:r>
    </w:p>
    <w:p w14:paraId="3A08C699" w14:textId="77777777" w:rsidR="00267307" w:rsidRDefault="00267307">
      <w:pPr>
        <w:spacing w:before="0" w:after="200" w:line="276" w:lineRule="auto"/>
        <w:rPr>
          <w:rFonts w:ascii="Georgia" w:hAnsi="Georgia" w:cs="Times New Roman"/>
          <w:sz w:val="22"/>
        </w:rPr>
      </w:pPr>
      <w:r>
        <w:rPr>
          <w:rFonts w:ascii="Georgia" w:hAnsi="Georgia"/>
          <w:b/>
          <w:bCs/>
          <w:sz w:val="22"/>
        </w:rPr>
        <w:br w:type="page"/>
      </w:r>
    </w:p>
    <w:p w14:paraId="13232111" w14:textId="77777777" w:rsidR="00267307" w:rsidRDefault="00267307" w:rsidP="00267307">
      <w:pPr>
        <w:spacing w:after="0"/>
        <w:jc w:val="center"/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noProof/>
          <w:sz w:val="20"/>
          <w:szCs w:val="20"/>
        </w:rPr>
        <w:lastRenderedPageBreak/>
        <w:drawing>
          <wp:inline distT="0" distB="0" distL="0" distR="0" wp14:anchorId="52AD6B45" wp14:editId="26B9861C">
            <wp:extent cx="4196947" cy="6919415"/>
            <wp:effectExtent l="0" t="0" r="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88" cy="697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855FA" w14:textId="77777777" w:rsidR="00267307" w:rsidRPr="00BD4D9D" w:rsidRDefault="00267307" w:rsidP="00267307">
      <w:pPr>
        <w:spacing w:after="0"/>
        <w:jc w:val="center"/>
        <w:rPr>
          <w:rFonts w:ascii="Georgia" w:hAnsi="Georgia"/>
          <w:b/>
          <w:bCs/>
          <w:sz w:val="20"/>
          <w:szCs w:val="20"/>
        </w:rPr>
      </w:pPr>
    </w:p>
    <w:p w14:paraId="4BC738A1" w14:textId="7D7F0458" w:rsidR="00267307" w:rsidRDefault="00267307" w:rsidP="00267307">
      <w:pPr>
        <w:pStyle w:val="Caption"/>
        <w:jc w:val="center"/>
        <w:rPr>
          <w:rFonts w:ascii="Georgia" w:hAnsi="Georgia"/>
          <w:b w:val="0"/>
          <w:bCs w:val="0"/>
          <w:sz w:val="22"/>
          <w:szCs w:val="22"/>
        </w:rPr>
      </w:pPr>
      <w:bookmarkStart w:id="3" w:name="_Ref61688290"/>
      <w:r w:rsidRPr="00A3113B">
        <w:rPr>
          <w:rFonts w:ascii="Georgia" w:hAnsi="Georgia"/>
          <w:sz w:val="22"/>
          <w:szCs w:val="22"/>
        </w:rPr>
        <w:t xml:space="preserve">Fig </w:t>
      </w:r>
      <w:r w:rsidRPr="00F067F0">
        <w:rPr>
          <w:rFonts w:ascii="Georgia" w:hAnsi="Georgia"/>
          <w:sz w:val="22"/>
          <w:szCs w:val="22"/>
        </w:rPr>
        <w:t>S</w: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begin"/>
      </w:r>
      <w:r w:rsidRPr="00F067F0">
        <w:rPr>
          <w:rFonts w:ascii="Georgia" w:hAnsi="Georgia"/>
          <w:sz w:val="22"/>
          <w:szCs w:val="22"/>
        </w:rPr>
        <w:instrText xml:space="preserve"> SEQ Supplementary_Figure \* ARABIC </w:instrTex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separate"/>
      </w:r>
      <w:r>
        <w:rPr>
          <w:rFonts w:ascii="Georgia" w:hAnsi="Georgia"/>
          <w:noProof/>
          <w:sz w:val="22"/>
          <w:szCs w:val="22"/>
        </w:rPr>
        <w:t>3</w:t>
      </w:r>
      <w:r w:rsidRPr="00F067F0">
        <w:rPr>
          <w:rFonts w:ascii="Georgia" w:hAnsi="Georgia"/>
          <w:b w:val="0"/>
          <w:bCs w:val="0"/>
          <w:i/>
          <w:iCs/>
          <w:noProof/>
          <w:sz w:val="22"/>
          <w:szCs w:val="22"/>
        </w:rPr>
        <w:fldChar w:fldCharType="end"/>
      </w:r>
      <w:bookmarkEnd w:id="3"/>
      <w:r w:rsidRPr="00F067F0">
        <w:rPr>
          <w:rFonts w:ascii="Georgia" w:hAnsi="Georgia"/>
          <w:sz w:val="22"/>
          <w:szCs w:val="22"/>
        </w:rPr>
        <w:t>. Dependence of Ca</w:t>
      </w:r>
      <w:r w:rsidRPr="00F067F0">
        <w:rPr>
          <w:rFonts w:ascii="Georgia" w:hAnsi="Georgia"/>
          <w:sz w:val="22"/>
          <w:szCs w:val="22"/>
          <w:vertAlign w:val="superscript"/>
        </w:rPr>
        <w:t>2+</w:t>
      </w:r>
      <w:r w:rsidRPr="00F067F0">
        <w:rPr>
          <w:rFonts w:ascii="Georgia" w:hAnsi="Georgia"/>
          <w:sz w:val="22"/>
          <w:szCs w:val="22"/>
        </w:rPr>
        <w:t xml:space="preserve">-bioluminescence signal in RD10 mice with respect to variation in light intensity and pulse width. </w:t>
      </w:r>
      <w:bookmarkStart w:id="4" w:name="_Hlk21512411"/>
      <w:r w:rsidRPr="00267307">
        <w:rPr>
          <w:rFonts w:ascii="Georgia" w:hAnsi="Georgia"/>
          <w:b w:val="0"/>
          <w:bCs w:val="0"/>
          <w:sz w:val="22"/>
          <w:szCs w:val="22"/>
        </w:rPr>
        <w:t>(A) The number of primary neurons, (B) the number of secondary active neurons, fractional increase of Ca</w:t>
      </w:r>
      <w:r w:rsidRPr="00267307">
        <w:rPr>
          <w:rFonts w:ascii="Georgia" w:hAnsi="Georgia"/>
          <w:b w:val="0"/>
          <w:bCs w:val="0"/>
          <w:sz w:val="22"/>
          <w:szCs w:val="22"/>
          <w:vertAlign w:val="superscript"/>
        </w:rPr>
        <w:t>2+</w:t>
      </w:r>
      <w:r w:rsidRPr="00267307">
        <w:rPr>
          <w:rFonts w:ascii="Georgia" w:hAnsi="Georgia"/>
          <w:b w:val="0"/>
          <w:bCs w:val="0"/>
          <w:sz w:val="22"/>
          <w:szCs w:val="22"/>
        </w:rPr>
        <w:t>-bioluminescence intensity in primary (C) and secondary (D) response, the fidelity in primary (E) and</w:t>
      </w:r>
      <w:r w:rsidRPr="00F067F0">
        <w:rPr>
          <w:rFonts w:ascii="Georgia" w:hAnsi="Georgia"/>
          <w:sz w:val="22"/>
          <w:szCs w:val="22"/>
        </w:rPr>
        <w:t xml:space="preserve"> </w:t>
      </w:r>
      <w:r w:rsidRPr="00267307">
        <w:rPr>
          <w:rFonts w:ascii="Georgia" w:hAnsi="Georgia"/>
          <w:b w:val="0"/>
          <w:bCs w:val="0"/>
          <w:sz w:val="22"/>
          <w:szCs w:val="22"/>
        </w:rPr>
        <w:t>secondary response (F). The decrease in Neural Activation Parameter (N.A.P.) is shown in G.</w:t>
      </w:r>
    </w:p>
    <w:p w14:paraId="0CD6A560" w14:textId="77777777" w:rsidR="00267307" w:rsidRDefault="00267307">
      <w:pPr>
        <w:spacing w:before="0" w:after="200" w:line="276" w:lineRule="auto"/>
        <w:rPr>
          <w:rFonts w:ascii="Georgia" w:hAnsi="Georgia" w:cs="Times New Roman"/>
          <w:sz w:val="22"/>
        </w:rPr>
      </w:pPr>
      <w:r>
        <w:rPr>
          <w:rFonts w:ascii="Georgia" w:hAnsi="Georgia"/>
          <w:b/>
          <w:bCs/>
          <w:sz w:val="22"/>
        </w:rPr>
        <w:br w:type="page"/>
      </w:r>
    </w:p>
    <w:p w14:paraId="73B18D1A" w14:textId="77777777" w:rsidR="00267307" w:rsidRPr="00267307" w:rsidRDefault="00267307" w:rsidP="00267307">
      <w:pPr>
        <w:pStyle w:val="Caption"/>
        <w:jc w:val="center"/>
        <w:rPr>
          <w:rFonts w:ascii="Georgia" w:hAnsi="Georgia"/>
          <w:b w:val="0"/>
          <w:bCs w:val="0"/>
          <w:i/>
          <w:iCs/>
        </w:rPr>
      </w:pPr>
    </w:p>
    <w:bookmarkEnd w:id="4"/>
    <w:p w14:paraId="4E8FC765" w14:textId="77777777" w:rsidR="00267307" w:rsidRDefault="00267307" w:rsidP="00267307">
      <w:pPr>
        <w:keepNext/>
        <w:spacing w:line="360" w:lineRule="auto"/>
        <w:ind w:firstLine="900"/>
        <w:jc w:val="center"/>
      </w:pPr>
      <w:r>
        <w:rPr>
          <w:noProof/>
        </w:rPr>
        <w:drawing>
          <wp:inline distT="0" distB="0" distL="0" distR="0" wp14:anchorId="2ABBCAC4" wp14:editId="235BB402">
            <wp:extent cx="3967842" cy="6741994"/>
            <wp:effectExtent l="0" t="0" r="0" b="190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59" cy="67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D15FC" w14:textId="77777777" w:rsidR="00267307" w:rsidRPr="00267307" w:rsidRDefault="00267307" w:rsidP="00267307">
      <w:pPr>
        <w:pStyle w:val="Caption"/>
        <w:jc w:val="center"/>
        <w:rPr>
          <w:rFonts w:ascii="Georgia" w:hAnsi="Georgia"/>
          <w:b w:val="0"/>
          <w:bCs w:val="0"/>
        </w:rPr>
      </w:pPr>
      <w:bookmarkStart w:id="5" w:name="_Ref62739354"/>
      <w:r w:rsidRPr="00F067F0">
        <w:rPr>
          <w:rFonts w:ascii="Georgia" w:hAnsi="Georgia"/>
          <w:sz w:val="22"/>
          <w:szCs w:val="22"/>
        </w:rPr>
        <w:t>Fig S</w: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begin"/>
      </w:r>
      <w:r w:rsidRPr="00F067F0">
        <w:rPr>
          <w:rFonts w:ascii="Georgia" w:hAnsi="Georgia"/>
          <w:sz w:val="22"/>
          <w:szCs w:val="22"/>
        </w:rPr>
        <w:instrText xml:space="preserve"> SEQ Supplementary_Figure \* ARABIC </w:instrTex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separate"/>
      </w:r>
      <w:r>
        <w:rPr>
          <w:rFonts w:ascii="Georgia" w:hAnsi="Georgia"/>
          <w:noProof/>
          <w:sz w:val="22"/>
          <w:szCs w:val="22"/>
        </w:rPr>
        <w:t>4</w: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end"/>
      </w:r>
      <w:bookmarkEnd w:id="5"/>
      <w:r w:rsidRPr="00F067F0">
        <w:rPr>
          <w:rFonts w:ascii="Georgia" w:hAnsi="Georgia"/>
          <w:sz w:val="22"/>
          <w:szCs w:val="22"/>
        </w:rPr>
        <w:t xml:space="preserve">. Dependence of Ca2+-bioluminescence signal in wild type mice with respect to variation in light intensity and pulse width. </w:t>
      </w:r>
      <w:r w:rsidRPr="00267307">
        <w:rPr>
          <w:rFonts w:ascii="Georgia" w:hAnsi="Georgia"/>
          <w:b w:val="0"/>
          <w:bCs w:val="0"/>
          <w:sz w:val="22"/>
          <w:szCs w:val="22"/>
        </w:rPr>
        <w:t>(A) The number of primary neurons, (B) the number of secondary active neurons, fractional increase of Ca2+-bioluminescence intensity in primary (C) and secondary (D) response, the fidelity in primary (E) and secondary response (F). The decrease in Neural Activation Parameter (N.A.P.) is shown in G.</w:t>
      </w:r>
    </w:p>
    <w:p w14:paraId="444158C3" w14:textId="07828715" w:rsidR="00267307" w:rsidRDefault="00267307">
      <w:pPr>
        <w:spacing w:before="0" w:after="200" w:line="276" w:lineRule="auto"/>
      </w:pPr>
      <w:r>
        <w:br w:type="page"/>
      </w:r>
    </w:p>
    <w:p w14:paraId="3584D87E" w14:textId="77777777" w:rsidR="00267307" w:rsidRDefault="00267307" w:rsidP="00267307">
      <w:pPr>
        <w:keepNext/>
        <w:spacing w:line="360" w:lineRule="auto"/>
        <w:jc w:val="center"/>
      </w:pPr>
    </w:p>
    <w:p w14:paraId="19F70031" w14:textId="77777777" w:rsidR="00267307" w:rsidRDefault="00267307" w:rsidP="0026730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283684B" wp14:editId="2644DBF1">
            <wp:extent cx="5731510" cy="5249545"/>
            <wp:effectExtent l="0" t="0" r="2540" b="8255"/>
            <wp:docPr id="11" name="Picture 11" descr="A computer screen cap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mputer screen cap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2E3D858B" w:rsidR="00DE23E8" w:rsidRPr="00267307" w:rsidRDefault="00267307" w:rsidP="00267307">
      <w:pPr>
        <w:pStyle w:val="Caption"/>
        <w:jc w:val="center"/>
        <w:rPr>
          <w:rFonts w:ascii="Georgia" w:hAnsi="Georgia"/>
          <w:b w:val="0"/>
          <w:bCs w:val="0"/>
          <w:sz w:val="22"/>
          <w:szCs w:val="22"/>
        </w:rPr>
      </w:pPr>
      <w:bookmarkStart w:id="6" w:name="_Ref62739483"/>
      <w:r w:rsidRPr="00F067F0">
        <w:rPr>
          <w:rFonts w:ascii="Georgia" w:hAnsi="Georgia"/>
          <w:sz w:val="22"/>
          <w:szCs w:val="22"/>
        </w:rPr>
        <w:t>Fig S</w: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begin"/>
      </w:r>
      <w:r w:rsidRPr="00F067F0">
        <w:rPr>
          <w:rFonts w:ascii="Georgia" w:hAnsi="Georgia"/>
          <w:sz w:val="22"/>
          <w:szCs w:val="22"/>
        </w:rPr>
        <w:instrText xml:space="preserve"> SEQ Supplementary_Figure \* ARABIC </w:instrTex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separate"/>
      </w:r>
      <w:r>
        <w:rPr>
          <w:rFonts w:ascii="Georgia" w:hAnsi="Georgia"/>
          <w:noProof/>
          <w:sz w:val="22"/>
          <w:szCs w:val="22"/>
        </w:rPr>
        <w:t>5</w:t>
      </w:r>
      <w:r w:rsidRPr="00F067F0">
        <w:rPr>
          <w:rFonts w:ascii="Georgia" w:hAnsi="Georgia"/>
          <w:b w:val="0"/>
          <w:bCs w:val="0"/>
          <w:i/>
          <w:iCs/>
          <w:sz w:val="22"/>
          <w:szCs w:val="22"/>
        </w:rPr>
        <w:fldChar w:fldCharType="end"/>
      </w:r>
      <w:bookmarkEnd w:id="6"/>
      <w:r w:rsidRPr="00F067F0">
        <w:rPr>
          <w:rFonts w:ascii="Georgia" w:hAnsi="Georgia"/>
          <w:sz w:val="22"/>
          <w:szCs w:val="22"/>
        </w:rPr>
        <w:t xml:space="preserve">. Retinal thickness measured by OCT in Wild type and RD10 mice. </w:t>
      </w:r>
      <w:r w:rsidRPr="00267307">
        <w:rPr>
          <w:rFonts w:ascii="Georgia" w:hAnsi="Georgia"/>
          <w:b w:val="0"/>
          <w:bCs w:val="0"/>
          <w:sz w:val="22"/>
          <w:szCs w:val="22"/>
        </w:rPr>
        <w:t>There is a clear trend of decrease in retinal thickness in RD10 mice with progression of age.</w:t>
      </w:r>
    </w:p>
    <w:sectPr w:rsidR="00DE23E8" w:rsidRPr="00267307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FB91E" w14:textId="77777777" w:rsidR="00501367" w:rsidRDefault="00501367" w:rsidP="00117666">
      <w:pPr>
        <w:spacing w:after="0"/>
      </w:pPr>
      <w:r>
        <w:separator/>
      </w:r>
    </w:p>
  </w:endnote>
  <w:endnote w:type="continuationSeparator" w:id="0">
    <w:p w14:paraId="0E3BF8B2" w14:textId="77777777" w:rsidR="00501367" w:rsidRDefault="0050136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﷽﷽﷽﷽﷽﷽﷽﷽ԡ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+mn-ea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420E4D" w14:textId="77777777" w:rsidR="00501367" w:rsidRDefault="00501367" w:rsidP="00117666">
      <w:pPr>
        <w:spacing w:after="0"/>
      </w:pPr>
      <w:r>
        <w:separator/>
      </w:r>
    </w:p>
  </w:footnote>
  <w:footnote w:type="continuationSeparator" w:id="0">
    <w:p w14:paraId="7427CBBA" w14:textId="77777777" w:rsidR="00501367" w:rsidRDefault="0050136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307"/>
    <w:rsid w:val="00267D18"/>
    <w:rsid w:val="00274347"/>
    <w:rsid w:val="002868E2"/>
    <w:rsid w:val="002869C3"/>
    <w:rsid w:val="002936E4"/>
    <w:rsid w:val="002B4A57"/>
    <w:rsid w:val="002C74CA"/>
    <w:rsid w:val="002F0B94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01367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03256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6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samarendra mohanty</cp:lastModifiedBy>
  <cp:revision>3</cp:revision>
  <cp:lastPrinted>2013-10-03T12:51:00Z</cp:lastPrinted>
  <dcterms:created xsi:type="dcterms:W3CDTF">2021-07-31T00:52:00Z</dcterms:created>
  <dcterms:modified xsi:type="dcterms:W3CDTF">2021-07-31T01:06:00Z</dcterms:modified>
</cp:coreProperties>
</file>