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2A" w:rsidRDefault="00D77007" w:rsidP="001B682A">
      <w:pPr>
        <w:ind w:left="567" w:right="543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Supplementary </w:t>
      </w:r>
      <w:r w:rsidR="001B682A">
        <w:rPr>
          <w:rFonts w:asciiTheme="majorHAnsi" w:hAnsiTheme="majorHAnsi" w:cstheme="majorHAnsi"/>
          <w:b/>
          <w:sz w:val="20"/>
          <w:szCs w:val="20"/>
          <w:lang w:val="en-GB"/>
        </w:rPr>
        <w:t>Table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 1</w:t>
      </w:r>
      <w:r w:rsidR="00CF6DF8">
        <w:rPr>
          <w:rFonts w:asciiTheme="majorHAnsi" w:hAnsiTheme="majorHAnsi" w:cstheme="majorHAnsi"/>
          <w:b/>
          <w:sz w:val="20"/>
          <w:szCs w:val="20"/>
          <w:lang w:val="en-GB"/>
        </w:rPr>
        <w:t>3</w:t>
      </w:r>
      <w:bookmarkStart w:id="0" w:name="_GoBack"/>
      <w:bookmarkEnd w:id="0"/>
      <w:r w:rsidR="001B682A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1B682A">
        <w:rPr>
          <w:rFonts w:asciiTheme="majorHAnsi" w:hAnsiTheme="majorHAnsi" w:cstheme="majorHAnsi"/>
          <w:sz w:val="20"/>
          <w:szCs w:val="20"/>
          <w:lang w:val="en-GB"/>
        </w:rPr>
        <w:t xml:space="preserve">Association between </w:t>
      </w:r>
      <w:r w:rsidR="001B682A" w:rsidRPr="001B682A">
        <w:rPr>
          <w:rFonts w:asciiTheme="majorHAnsi" w:hAnsiTheme="majorHAnsi" w:cstheme="majorHAnsi"/>
          <w:bCs/>
          <w:color w:val="000000"/>
          <w:sz w:val="20"/>
          <w:szCs w:val="20"/>
          <w:lang w:val="en-GB"/>
        </w:rPr>
        <w:t xml:space="preserve">ERAP2 rs2248374 </w:t>
      </w:r>
      <w:r w:rsidR="001B682A" w:rsidRPr="001B682A">
        <w:rPr>
          <w:rFonts w:asciiTheme="majorHAnsi" w:hAnsiTheme="majorHAnsi" w:cstheme="majorHAnsi"/>
          <w:sz w:val="20"/>
          <w:szCs w:val="20"/>
          <w:lang w:val="en-GB"/>
        </w:rPr>
        <w:t>and</w:t>
      </w:r>
      <w:r w:rsidR="001B682A">
        <w:rPr>
          <w:rFonts w:asciiTheme="majorHAnsi" w:hAnsiTheme="majorHAnsi" w:cstheme="majorHAnsi"/>
          <w:sz w:val="20"/>
          <w:szCs w:val="20"/>
          <w:lang w:val="en-GB"/>
        </w:rPr>
        <w:t xml:space="preserve"> KIR polymorphism in women participated in IVF-ET and fertile control</w:t>
      </w:r>
      <w:r w:rsidR="002C75EE">
        <w:rPr>
          <w:rFonts w:asciiTheme="majorHAnsi" w:hAnsiTheme="majorHAnsi" w:cstheme="majorHAnsi"/>
          <w:sz w:val="20"/>
          <w:szCs w:val="20"/>
          <w:lang w:val="en-GB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1276"/>
        <w:gridCol w:w="1276"/>
      </w:tblGrid>
      <w:tr w:rsidR="0058558C" w:rsidRPr="009510F4" w:rsidTr="00D77F72">
        <w:trPr>
          <w:trHeight w:val="567"/>
          <w:tblHeader/>
          <w:jc w:val="center"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8558C" w:rsidRPr="009510F4" w:rsidRDefault="0058558C" w:rsidP="0058558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510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ERAP2 rs2248374/KIR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8558C" w:rsidRPr="009510F4" w:rsidRDefault="0058558C" w:rsidP="0058558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All 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8558C" w:rsidRPr="009510F4" w:rsidRDefault="0058558C" w:rsidP="0058558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RIF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8558C" w:rsidRPr="009510F4" w:rsidRDefault="0058558C" w:rsidP="0058558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SIVF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8558C" w:rsidRPr="009510F4" w:rsidRDefault="0058558C" w:rsidP="0058558C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Fertile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AA/AA+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33 (24.09)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19 (25.00)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10 (22.73)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30 (27.52)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AG/AA+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64 (46.72)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36 (47.37)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23 (52.27)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53 (48.62)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GG/AA+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40 (29.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21 (27.63)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11 (25.00)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26 (23.8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273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AA/Bx+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93 (25.98)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48 (23.30)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38 (32.48)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76 (27.84)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AG/Bx+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173 (48.32)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98 (47.57)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53 (45.30)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128 (46.89)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GG/Bx+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92 (25.70)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60 (29.13)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26 (22.22)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69 (25.27)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171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AA/cenAA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48 (24.49)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29 (26.13)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14 (22.95)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45 (26.32)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AG/cenAA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94 (47.96)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52 (46.85)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31 (50.82)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84 (49.12)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GG/cenAA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54 (27.55)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30 (27.0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16 (26.23)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42 (24.56)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165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AA/cenAB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65 (26.64)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b/>
                <w:sz w:val="20"/>
                <w:szCs w:val="20"/>
              </w:rPr>
              <w:t>31 (21.99)</w:t>
            </w:r>
            <w:r w:rsidRPr="009510F4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30 (36.59)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47 (28.48)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AG/cenAB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116 (47.54)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67 (47.5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37 (45.12)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78 (47.27)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GG/cenAB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63 (25.82)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43 (30.50)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15 (18.29)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40 (24.2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AA/cenBB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13 (23.64)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 (23.33)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 (22.22)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14 (30.43)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AG/cenBB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27 (49.09)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15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8 (44.44)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19 (41.30)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GG/cenBB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15 (27.27)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8 (26.67)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 (33.3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13 (28.2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203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AA/telAA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74 (25.96)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41 (25.15)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24 (26.67)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61 (30.05)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AG/telAA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132 (46.32)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79 (48.47)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41 (45.56)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94 (46.31)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GG/telAA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79 (27.72)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43 (26.38)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25 (27.7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48 (23.6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156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AA/telAB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46 (25.99)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25 (24.27)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20 (34.48)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38 (24.36)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AG/telAB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86 (48.59)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45 (43.69)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28 (48.28)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77 (49.36)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GG/telAB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45 (25.42)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b/>
                <w:sz w:val="20"/>
                <w:szCs w:val="20"/>
              </w:rPr>
              <w:t>33 (32.04)</w:t>
            </w:r>
            <w:r w:rsidRPr="009510F4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10 (17.24)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41 (26.28)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AA/telBB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 (18.18)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(6.25)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 (30.77)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 (30.43)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AG/telBB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19 (57.58)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10 (62.50)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 (53.85)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10 (43.48)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GG/telBB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8 (24.24)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5 (31.25)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 (15.38)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 (26.09)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AA/cenAA/telAA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33 (24.26)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19 (25.00)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10 (23.26)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30 (27.52)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AG/cenAA/telAA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63 (46.32)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36 (47.37)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22 (51.16)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53 (48.62)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GG/cenAA/telAA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40 (29.4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21 (27.63)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11 (25.58)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26 (23.8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AA/cenAA/telAB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14 (25.45)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10 (30.30)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14 (24.14)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AG/cenAA/telAB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29 (52.73)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15 (45.45)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8 (53.33)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30 (51.72)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GG/cenAA/telAB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12 (21.82)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8 (24.2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 (26.67)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14 (24.14)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AA/cenAA/telBB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706119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06119">
              <w:rPr>
                <w:rFonts w:asciiTheme="majorHAnsi" w:hAnsiTheme="majorHAnsi" w:cstheme="majorHAnsi"/>
                <w:sz w:val="20"/>
                <w:szCs w:val="20"/>
              </w:rPr>
              <w:t>1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(25.00)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AG/cenAA/telBB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706119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06119">
              <w:rPr>
                <w:rFonts w:asciiTheme="majorHAnsi" w:hAnsiTheme="majorHAnsi" w:cstheme="majorHAnsi"/>
                <w:sz w:val="20"/>
                <w:szCs w:val="20"/>
              </w:rPr>
              <w:t>1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(25.00)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GG/cenAA/telBB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706119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06119">
              <w:rPr>
                <w:rFonts w:asciiTheme="majorHAnsi" w:hAnsiTheme="majorHAnsi" w:cstheme="majorHAnsi"/>
                <w:sz w:val="20"/>
                <w:szCs w:val="20"/>
              </w:rPr>
              <w:t>1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 (50.00)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78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AA/cenAB/telAA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33 (26.40)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17 (23.61)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13 (30.95)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27 (34.62)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AG/cenAB/telAA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60 (48.00)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36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18 (42.86)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34 (43.59)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GG/cenAB/telAA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32 (25.60)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19 (26.39)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11 (26.19)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17 (21.79)</w:t>
            </w:r>
          </w:p>
        </w:tc>
      </w:tr>
      <w:tr w:rsidR="00723FE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</w:tcPr>
          <w:p w:rsidR="00723FEC" w:rsidRPr="009510F4" w:rsidRDefault="00723FE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3FEC" w:rsidRPr="009510F4" w:rsidRDefault="00723FE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3FEC" w:rsidRPr="009510F4" w:rsidRDefault="00723FE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3FEC" w:rsidRPr="009510F4" w:rsidRDefault="00723FE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3FEC" w:rsidRPr="009510F4" w:rsidRDefault="00723FE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AA/cenAB/telAB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29 (28.43)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b/>
                <w:sz w:val="20"/>
                <w:szCs w:val="20"/>
              </w:rPr>
              <w:t>13 (21.67)</w:t>
            </w:r>
            <w:r w:rsidRPr="009510F4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b/>
                <w:sz w:val="20"/>
                <w:szCs w:val="20"/>
              </w:rPr>
              <w:t>16 (44.44)</w:t>
            </w:r>
            <w:r w:rsidRPr="009510F4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18 (23.68)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AG/cenAB/telAB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46 (45.10)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25 (41.6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17 (47.2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38 (50.00)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GG/cenAB/telAB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27 (26.47)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b/>
                <w:sz w:val="20"/>
                <w:szCs w:val="20"/>
              </w:rPr>
              <w:t>22 (36.67)</w:t>
            </w:r>
            <w:r w:rsidRPr="009510F4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b/>
                <w:sz w:val="20"/>
                <w:szCs w:val="20"/>
              </w:rPr>
              <w:t>3 (8.33)</w:t>
            </w:r>
            <w:r w:rsidRPr="009510F4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20 (26.32)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AA/cenAB/telBB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 (17.65)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(11.11)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(25.00)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 (18.18)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AG/cenAB/telBB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10 (58.82)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 (66.67)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 (54.55)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GG/cenAB/telBB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 (23.53)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 (22.22)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(25.00)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 (27.27)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AA/cenBB/telAA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8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5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 (25.00)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AG/cenBB/telAA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9 (37.50)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 (46.67)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 (43.75)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GG/cenBB/telAA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 (29.17)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 (60.00)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5 (31.25)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AA/cenBB/telAB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 (15.00)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3B512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(14.2</w:t>
            </w:r>
            <w:r w:rsidR="003B5123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 (27.27)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AG/cenBB/telAB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11 (55.00)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5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 (42.86)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9 (40.91)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GG/cenBB/telAB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6 (30.00)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 (30.00)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 (42.86)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 (31.82)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A41176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8558C" w:rsidRPr="009510F4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AA/cenBB/telBB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 (18.18)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 (50.00)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AG/cenBB/telBB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7 (63.64)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 (60.00)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4 (66.67)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3 (37.50)</w:t>
            </w:r>
          </w:p>
        </w:tc>
      </w:tr>
      <w:tr w:rsidR="0058558C" w:rsidRPr="009510F4" w:rsidTr="00D77F72">
        <w:trPr>
          <w:trHeight w:val="283"/>
          <w:jc w:val="center"/>
        </w:trPr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GG/cenBB/telBB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 (18.18)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2 (40.00)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558C" w:rsidRPr="009510F4" w:rsidRDefault="0058558C" w:rsidP="0058558C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510F4">
              <w:rPr>
                <w:rFonts w:asciiTheme="majorHAnsi" w:hAnsiTheme="majorHAnsi" w:cstheme="majorHAnsi"/>
                <w:sz w:val="20"/>
                <w:szCs w:val="20"/>
              </w:rPr>
              <w:t>1 (12.50)</w:t>
            </w:r>
          </w:p>
        </w:tc>
      </w:tr>
    </w:tbl>
    <w:p w:rsidR="0039277F" w:rsidRDefault="0039277F" w:rsidP="004A4CB9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IVF-ET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–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in vitro fertilization embryo transfer;</w:t>
      </w:r>
      <w:r>
        <w:rPr>
          <w:rFonts w:ascii="Calibri Light" w:hAnsi="Calibri Light" w:cs="Calibri Light"/>
          <w:sz w:val="20"/>
          <w:szCs w:val="20"/>
          <w:lang w:val="en-BZ"/>
        </w:rPr>
        <w:t xml:space="preserve"> RIF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 recurrent implantation failure; SIVF – successful pregnancy after IVF-ET;</w:t>
      </w:r>
      <w:r>
        <w:rPr>
          <w:rFonts w:ascii="Calibri Light" w:eastAsia="Times New Roman" w:hAnsi="Calibri Light" w:cs="Calibri Light"/>
          <w:b/>
          <w:color w:val="000000"/>
          <w:sz w:val="20"/>
          <w:szCs w:val="20"/>
          <w:lang w:val="en-BZ" w:eastAsia="pl-PL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p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probability; p</w:t>
      </w:r>
      <w:r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corr.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probability after Bonferroni correction for multiple comparisons</w:t>
      </w:r>
      <w:r w:rsidR="00764001">
        <w:rPr>
          <w:rFonts w:asciiTheme="majorHAnsi" w:hAnsiTheme="majorHAnsi" w:cstheme="majorHAnsi"/>
          <w:sz w:val="20"/>
          <w:szCs w:val="20"/>
          <w:lang w:val="en-GB"/>
        </w:rPr>
        <w:t xml:space="preserve"> (x 6 for AA+/Bx combinations; x 9 for KIR centromeric or telomeric combinations; x 27 for KIR centromeric and telomeric combin</w:t>
      </w:r>
      <w:r w:rsidR="00275A8E">
        <w:rPr>
          <w:rFonts w:asciiTheme="majorHAnsi" w:hAnsiTheme="majorHAnsi" w:cstheme="majorHAnsi"/>
          <w:sz w:val="20"/>
          <w:szCs w:val="20"/>
          <w:lang w:val="en-GB"/>
        </w:rPr>
        <w:t>a</w:t>
      </w:r>
      <w:r w:rsidR="00764001">
        <w:rPr>
          <w:rFonts w:asciiTheme="majorHAnsi" w:hAnsiTheme="majorHAnsi" w:cstheme="majorHAnsi"/>
          <w:sz w:val="20"/>
          <w:szCs w:val="20"/>
          <w:lang w:val="en-GB"/>
        </w:rPr>
        <w:t>tions)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; OR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odds ratio; 95% CI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–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confidence interval from two-sided Fisher’s exact test; ns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not significant. Values in bold indicate significant differences. Values in parentheses are in percentages.</w:t>
      </w:r>
    </w:p>
    <w:p w:rsidR="0098624A" w:rsidRPr="0007134E" w:rsidRDefault="0098624A" w:rsidP="004A4CB9">
      <w:pPr>
        <w:tabs>
          <w:tab w:val="left" w:pos="9781"/>
        </w:tabs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07134E">
        <w:rPr>
          <w:rFonts w:asciiTheme="majorHAnsi" w:hAnsiTheme="majorHAnsi" w:cstheme="majorHAnsi"/>
          <w:b/>
          <w:sz w:val="20"/>
          <w:szCs w:val="20"/>
          <w:lang w:val="en-GB"/>
        </w:rPr>
        <w:t>RIF vs</w:t>
      </w:r>
      <w:r w:rsidR="00370978" w:rsidRPr="0007134E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07134E">
        <w:rPr>
          <w:rFonts w:asciiTheme="majorHAnsi" w:hAnsiTheme="majorHAnsi" w:cstheme="majorHAnsi"/>
          <w:b/>
          <w:sz w:val="20"/>
          <w:szCs w:val="20"/>
          <w:lang w:val="en-GB"/>
        </w:rPr>
        <w:t xml:space="preserve"> SIVF: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07134E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a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B16C3" w:rsidRPr="0007134E">
        <w:rPr>
          <w:rFonts w:asciiTheme="majorHAnsi" w:hAnsiTheme="majorHAnsi" w:cstheme="majorHAnsi"/>
          <w:sz w:val="20"/>
          <w:szCs w:val="20"/>
          <w:lang w:val="en-GB"/>
        </w:rPr>
        <w:t>/p</w:t>
      </w:r>
      <w:r w:rsidR="000B16C3" w:rsidRPr="0007134E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r w:rsidR="000B16C3" w:rsidRPr="00E67BE2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0.020</w:t>
      </w:r>
      <w:r w:rsidR="000B16C3" w:rsidRPr="0007134E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E67BE2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D852F2" w:rsidRPr="0007134E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0.490, </w:t>
      </w:r>
      <w:r w:rsidR="0007134E" w:rsidRPr="0007134E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(0.26-0.93); </w:t>
      </w:r>
      <w:r w:rsidRPr="0007134E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b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B16C3" w:rsidRPr="0007134E">
        <w:rPr>
          <w:rFonts w:asciiTheme="majorHAnsi" w:hAnsiTheme="majorHAnsi" w:cstheme="majorHAnsi"/>
          <w:sz w:val="20"/>
          <w:szCs w:val="20"/>
          <w:lang w:val="en-GB"/>
        </w:rPr>
        <w:t>/p</w:t>
      </w:r>
      <w:r w:rsidR="000B16C3" w:rsidRPr="0007134E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D852F2" w:rsidRPr="0007134E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0.044</w:t>
      </w:r>
      <w:r w:rsidR="000B16C3" w:rsidRPr="0007134E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E67BE2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D852F2" w:rsidRPr="0007134E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2.252, </w:t>
      </w:r>
      <w:r w:rsidR="0007134E" w:rsidRPr="0007134E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(0.97-5.62); </w:t>
      </w:r>
      <w:r w:rsidRPr="0007134E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c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B16C3" w:rsidRPr="0007134E">
        <w:rPr>
          <w:rFonts w:asciiTheme="majorHAnsi" w:hAnsiTheme="majorHAnsi" w:cstheme="majorHAnsi"/>
          <w:sz w:val="20"/>
          <w:szCs w:val="20"/>
          <w:lang w:val="en-GB"/>
        </w:rPr>
        <w:t>/p</w:t>
      </w:r>
      <w:r w:rsidR="000B16C3" w:rsidRPr="0007134E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corr.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D852F2" w:rsidRPr="0007134E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0.023</w:t>
      </w:r>
      <w:r w:rsidR="000B16C3" w:rsidRPr="0007134E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E67BE2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370978" w:rsidRPr="0007134E">
        <w:rPr>
          <w:rFonts w:asciiTheme="majorHAnsi" w:hAnsiTheme="majorHAnsi" w:cstheme="majorHAnsi"/>
          <w:sz w:val="20"/>
          <w:szCs w:val="20"/>
          <w:lang w:val="en-GB"/>
        </w:rPr>
        <w:t>,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 OR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D852F2" w:rsidRPr="0007134E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0.350, </w:t>
      </w:r>
      <w:r w:rsidR="0007134E" w:rsidRPr="0007134E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(0.13-0.94); </w:t>
      </w:r>
      <w:r w:rsidRPr="0007134E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e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B16C3" w:rsidRPr="0007134E">
        <w:rPr>
          <w:rFonts w:asciiTheme="majorHAnsi" w:hAnsiTheme="majorHAnsi" w:cstheme="majorHAnsi"/>
          <w:sz w:val="20"/>
          <w:szCs w:val="20"/>
          <w:lang w:val="en-GB"/>
        </w:rPr>
        <w:t>/p</w:t>
      </w:r>
      <w:r w:rsidR="000B16C3" w:rsidRPr="0007134E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corr.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D852F2" w:rsidRPr="0007134E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0.002</w:t>
      </w:r>
      <w:r w:rsidR="009443C2">
        <w:rPr>
          <w:rFonts w:asciiTheme="majorHAnsi" w:hAnsiTheme="majorHAnsi" w:cstheme="majorHAnsi"/>
          <w:sz w:val="20"/>
          <w:szCs w:val="20"/>
          <w:lang w:val="en-GB"/>
        </w:rPr>
        <w:t>/0.051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D852F2" w:rsidRPr="0007134E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6.262, </w:t>
      </w:r>
      <w:r w:rsidR="0007134E" w:rsidRPr="0007134E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(1.66-35.58);</w:t>
      </w:r>
    </w:p>
    <w:p w:rsidR="0098624A" w:rsidRPr="0007134E" w:rsidRDefault="0098624A" w:rsidP="00DC6CDC">
      <w:pPr>
        <w:tabs>
          <w:tab w:val="left" w:pos="9781"/>
        </w:tabs>
        <w:spacing w:after="0"/>
        <w:ind w:left="567" w:right="543"/>
        <w:jc w:val="both"/>
        <w:rPr>
          <w:sz w:val="20"/>
          <w:szCs w:val="20"/>
          <w:lang w:val="en-GB"/>
        </w:rPr>
      </w:pPr>
      <w:r w:rsidRPr="0007134E">
        <w:rPr>
          <w:rFonts w:asciiTheme="majorHAnsi" w:hAnsiTheme="majorHAnsi" w:cstheme="majorHAnsi"/>
          <w:b/>
          <w:sz w:val="20"/>
          <w:szCs w:val="20"/>
          <w:lang w:val="en-GB"/>
        </w:rPr>
        <w:t>SIVF vs</w:t>
      </w:r>
      <w:r w:rsidR="00370978" w:rsidRPr="0007134E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07134E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Fertile:</w:t>
      </w:r>
      <w:r w:rsidR="00A25956"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07134E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d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B16C3" w:rsidRPr="0007134E">
        <w:rPr>
          <w:rFonts w:asciiTheme="majorHAnsi" w:hAnsiTheme="majorHAnsi" w:cstheme="majorHAnsi"/>
          <w:sz w:val="20"/>
          <w:szCs w:val="20"/>
          <w:lang w:val="en-GB"/>
        </w:rPr>
        <w:t>/p</w:t>
      </w:r>
      <w:r w:rsidR="000B16C3" w:rsidRPr="0007134E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corr.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D852F2" w:rsidRPr="0007134E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0.030</w:t>
      </w:r>
      <w:r w:rsidR="000B16C3" w:rsidRPr="0007134E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E67BE2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D852F2" w:rsidRPr="0007134E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D852F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2.554, </w:t>
      </w:r>
      <w:r w:rsidR="0007134E" w:rsidRPr="0007134E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(1.01-6.50); </w:t>
      </w:r>
      <w:r w:rsidRPr="0007134E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f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B16C3" w:rsidRPr="0007134E">
        <w:rPr>
          <w:rFonts w:asciiTheme="majorHAnsi" w:hAnsiTheme="majorHAnsi" w:cstheme="majorHAnsi"/>
          <w:sz w:val="20"/>
          <w:szCs w:val="20"/>
          <w:lang w:val="en-GB"/>
        </w:rPr>
        <w:t>/p</w:t>
      </w:r>
      <w:r w:rsidR="000B16C3" w:rsidRPr="0007134E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corr.</w:t>
      </w:r>
      <w:r w:rsidR="00370978" w:rsidRPr="0007134E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0.043</w:t>
      </w:r>
      <w:r w:rsidR="000B16C3" w:rsidRPr="0007134E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E67BE2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370978" w:rsidRPr="0007134E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 xml:space="preserve">0.257, </w:t>
      </w:r>
      <w:r w:rsidR="0007134E" w:rsidRPr="0007134E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07134E">
        <w:rPr>
          <w:rFonts w:asciiTheme="majorHAnsi" w:hAnsiTheme="majorHAnsi" w:cstheme="majorHAnsi"/>
          <w:sz w:val="20"/>
          <w:szCs w:val="20"/>
          <w:lang w:val="en-GB"/>
        </w:rPr>
        <w:t>(0.05-0.97)</w:t>
      </w:r>
    </w:p>
    <w:sectPr w:rsidR="0098624A" w:rsidRPr="0007134E" w:rsidSect="009862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0A"/>
    <w:rsid w:val="0007134E"/>
    <w:rsid w:val="00075E8E"/>
    <w:rsid w:val="00081FBB"/>
    <w:rsid w:val="000B16C3"/>
    <w:rsid w:val="000D7DCD"/>
    <w:rsid w:val="000E3CAC"/>
    <w:rsid w:val="00164636"/>
    <w:rsid w:val="001B682A"/>
    <w:rsid w:val="00202EEA"/>
    <w:rsid w:val="00220E5D"/>
    <w:rsid w:val="00227E0A"/>
    <w:rsid w:val="0025357D"/>
    <w:rsid w:val="00275A8E"/>
    <w:rsid w:val="002A7C66"/>
    <w:rsid w:val="002C75EE"/>
    <w:rsid w:val="003321A8"/>
    <w:rsid w:val="00370978"/>
    <w:rsid w:val="0039277F"/>
    <w:rsid w:val="003B5123"/>
    <w:rsid w:val="003E053A"/>
    <w:rsid w:val="00435E3A"/>
    <w:rsid w:val="00461FE3"/>
    <w:rsid w:val="004A4CB9"/>
    <w:rsid w:val="00541132"/>
    <w:rsid w:val="0058558C"/>
    <w:rsid w:val="005C5503"/>
    <w:rsid w:val="005F5AA2"/>
    <w:rsid w:val="00651A43"/>
    <w:rsid w:val="006D773F"/>
    <w:rsid w:val="00701FC4"/>
    <w:rsid w:val="0070607F"/>
    <w:rsid w:val="00706119"/>
    <w:rsid w:val="00723FEC"/>
    <w:rsid w:val="00764001"/>
    <w:rsid w:val="007968B8"/>
    <w:rsid w:val="007C2103"/>
    <w:rsid w:val="007F0251"/>
    <w:rsid w:val="008F14E8"/>
    <w:rsid w:val="008F2A3F"/>
    <w:rsid w:val="00917C2D"/>
    <w:rsid w:val="009443C2"/>
    <w:rsid w:val="009510F4"/>
    <w:rsid w:val="00981652"/>
    <w:rsid w:val="0098624A"/>
    <w:rsid w:val="009B708C"/>
    <w:rsid w:val="00A25956"/>
    <w:rsid w:val="00A41176"/>
    <w:rsid w:val="00AB221F"/>
    <w:rsid w:val="00AF2AAB"/>
    <w:rsid w:val="00B30AFD"/>
    <w:rsid w:val="00B94845"/>
    <w:rsid w:val="00C226FC"/>
    <w:rsid w:val="00C70D4D"/>
    <w:rsid w:val="00C95538"/>
    <w:rsid w:val="00CF6DF8"/>
    <w:rsid w:val="00D34C7B"/>
    <w:rsid w:val="00D353EB"/>
    <w:rsid w:val="00D77007"/>
    <w:rsid w:val="00D77F72"/>
    <w:rsid w:val="00D852F2"/>
    <w:rsid w:val="00DC50B1"/>
    <w:rsid w:val="00DC6CDC"/>
    <w:rsid w:val="00DE1A4F"/>
    <w:rsid w:val="00E40521"/>
    <w:rsid w:val="00E67BE2"/>
    <w:rsid w:val="00E77A0C"/>
    <w:rsid w:val="00EC48BE"/>
    <w:rsid w:val="00F658A7"/>
    <w:rsid w:val="00F738B8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D39A"/>
  <w15:docId w15:val="{A7F39788-B75D-403F-8008-75A50180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1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izan</dc:creator>
  <cp:lastModifiedBy>Izabela Nowak</cp:lastModifiedBy>
  <cp:revision>2</cp:revision>
  <dcterms:created xsi:type="dcterms:W3CDTF">2021-09-17T06:44:00Z</dcterms:created>
  <dcterms:modified xsi:type="dcterms:W3CDTF">2021-09-17T06:44:00Z</dcterms:modified>
</cp:coreProperties>
</file>