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45BF" w14:textId="4CE723F8" w:rsidR="00D553AC" w:rsidRDefault="00D16E50" w:rsidP="00D15F94">
      <w:pPr>
        <w:keepNext/>
        <w:keepLines/>
        <w:spacing w:after="240" w:line="480" w:lineRule="auto"/>
        <w:outlineLvl w:val="2"/>
        <w:rPr>
          <w:rFonts w:ascii="Arial" w:eastAsiaTheme="majorEastAsia" w:hAnsi="Arial" w:cs="Arial"/>
          <w:b/>
          <w:bCs/>
          <w:sz w:val="24"/>
          <w:szCs w:val="24"/>
          <w:lang w:eastAsia="fr-FR"/>
        </w:rPr>
      </w:pPr>
      <w:bookmarkStart w:id="0" w:name="_Toc535931676"/>
      <w:r>
        <w:rPr>
          <w:rFonts w:ascii="Arial" w:eastAsiaTheme="majorEastAsia" w:hAnsi="Arial" w:cs="Arial"/>
          <w:b/>
          <w:bCs/>
          <w:sz w:val="24"/>
          <w:szCs w:val="24"/>
          <w:lang w:eastAsia="fr-FR"/>
        </w:rPr>
        <w:t>Supplementary r</w:t>
      </w:r>
      <w:r w:rsidR="00D553AC">
        <w:rPr>
          <w:rFonts w:ascii="Arial" w:eastAsiaTheme="majorEastAsia" w:hAnsi="Arial" w:cs="Arial"/>
          <w:b/>
          <w:bCs/>
          <w:sz w:val="24"/>
          <w:szCs w:val="24"/>
          <w:lang w:eastAsia="fr-FR"/>
        </w:rPr>
        <w:t>esults</w:t>
      </w:r>
    </w:p>
    <w:p w14:paraId="2E827D4B" w14:textId="6A4CB7B3" w:rsidR="00D15F94" w:rsidRPr="00A00DD4" w:rsidRDefault="00D16E50" w:rsidP="00D15F94">
      <w:pPr>
        <w:keepNext/>
        <w:keepLines/>
        <w:spacing w:after="240" w:line="480" w:lineRule="auto"/>
        <w:outlineLvl w:val="2"/>
        <w:rPr>
          <w:rFonts w:ascii="Arial" w:eastAsiaTheme="majorEastAsia" w:hAnsi="Arial" w:cs="Arial"/>
          <w:b/>
          <w:bCs/>
          <w:sz w:val="24"/>
          <w:szCs w:val="24"/>
          <w:lang w:eastAsia="fr-FR"/>
        </w:rPr>
      </w:pPr>
      <w:r>
        <w:rPr>
          <w:rFonts w:ascii="Arial" w:eastAsiaTheme="majorEastAsia" w:hAnsi="Arial" w:cs="Arial"/>
          <w:b/>
          <w:bCs/>
          <w:sz w:val="24"/>
          <w:szCs w:val="24"/>
          <w:lang w:eastAsia="fr-FR"/>
        </w:rPr>
        <w:t>1</w:t>
      </w:r>
      <w:r w:rsidR="00D15F94" w:rsidRPr="00A00DD4">
        <w:rPr>
          <w:rFonts w:ascii="Arial" w:eastAsiaTheme="majorEastAsia" w:hAnsi="Arial" w:cs="Arial"/>
          <w:b/>
          <w:bCs/>
          <w:sz w:val="24"/>
          <w:szCs w:val="24"/>
          <w:lang w:eastAsia="fr-FR"/>
        </w:rPr>
        <w:t xml:space="preserve"> </w:t>
      </w:r>
      <w:r w:rsidR="00D15F94" w:rsidRPr="00A00DD4">
        <w:rPr>
          <w:rFonts w:ascii="Arial" w:hAnsi="Arial" w:cs="Arial"/>
          <w:b/>
          <w:sz w:val="24"/>
          <w:szCs w:val="24"/>
        </w:rPr>
        <w:t>Assessment of the fungal ligninolytic enzymatic activity</w:t>
      </w:r>
      <w:bookmarkEnd w:id="0"/>
    </w:p>
    <w:p w14:paraId="5F0D7BE3" w14:textId="0424BFE3" w:rsidR="00D15F94" w:rsidRPr="00A00DD4" w:rsidRDefault="00D16E50" w:rsidP="00D15F94">
      <w:pPr>
        <w:pStyle w:val="Heading3"/>
        <w:spacing w:before="0" w:after="240" w:line="480" w:lineRule="auto"/>
        <w:rPr>
          <w:rFonts w:ascii="Arial" w:eastAsia="Calibri" w:hAnsi="Arial" w:cs="Arial"/>
          <w:i/>
          <w:color w:val="auto"/>
          <w:lang w:val="en-GB"/>
        </w:rPr>
      </w:pPr>
      <w:bookmarkStart w:id="1" w:name="_Toc535931677"/>
      <w:r>
        <w:rPr>
          <w:rFonts w:ascii="Arial" w:hAnsi="Arial" w:cs="Arial"/>
          <w:i/>
          <w:color w:val="auto"/>
          <w:lang w:val="en-GB"/>
        </w:rPr>
        <w:t>1</w:t>
      </w:r>
      <w:r w:rsidR="00D15F94" w:rsidRPr="00A00DD4">
        <w:rPr>
          <w:rFonts w:ascii="Arial" w:hAnsi="Arial" w:cs="Arial"/>
          <w:i/>
          <w:color w:val="auto"/>
          <w:lang w:val="en-GB"/>
        </w:rPr>
        <w:t xml:space="preserve">.1 </w:t>
      </w:r>
      <w:r w:rsidR="00D15F94" w:rsidRPr="00A00DD4">
        <w:rPr>
          <w:rFonts w:ascii="Arial" w:eastAsia="Calibri" w:hAnsi="Arial" w:cs="Arial"/>
          <w:i/>
          <w:color w:val="auto"/>
          <w:lang w:val="en-GB"/>
        </w:rPr>
        <w:t>Enzymatic activity assay in solid medium</w:t>
      </w:r>
      <w:bookmarkEnd w:id="1"/>
    </w:p>
    <w:p w14:paraId="2356A4E9" w14:textId="09FED36B" w:rsidR="00D15F94" w:rsidRPr="00A00DD4" w:rsidRDefault="00D15F94" w:rsidP="00D15F94">
      <w:pPr>
        <w:spacing w:after="0" w:line="480" w:lineRule="auto"/>
        <w:jc w:val="both"/>
        <w:rPr>
          <w:rFonts w:ascii="Arial" w:hAnsi="Arial" w:cs="Arial"/>
          <w:sz w:val="24"/>
          <w:szCs w:val="24"/>
        </w:rPr>
      </w:pPr>
      <w:r w:rsidRPr="00A00DD4">
        <w:rPr>
          <w:rFonts w:ascii="Arial" w:hAnsi="Arial" w:cs="Arial"/>
          <w:sz w:val="24"/>
          <w:szCs w:val="24"/>
        </w:rPr>
        <w:t xml:space="preserve">Table </w:t>
      </w:r>
      <w:r w:rsidR="00D16E50">
        <w:rPr>
          <w:rFonts w:ascii="Arial" w:hAnsi="Arial" w:cs="Arial"/>
          <w:sz w:val="24"/>
          <w:szCs w:val="24"/>
        </w:rPr>
        <w:t>S1</w:t>
      </w:r>
      <w:r w:rsidRPr="00A00DD4">
        <w:rPr>
          <w:rFonts w:ascii="Arial" w:hAnsi="Arial" w:cs="Arial"/>
          <w:sz w:val="24"/>
          <w:szCs w:val="24"/>
        </w:rPr>
        <w:t xml:space="preserve"> displayed the formation of colour zone in indicator plates demonstrating the production of oxidative enzymes, most probably the targeted enzymes: </w:t>
      </w:r>
      <w:bookmarkStart w:id="2" w:name="_Hlk533288889"/>
      <w:r w:rsidRPr="00A00DD4">
        <w:rPr>
          <w:rFonts w:ascii="Arial" w:hAnsi="Arial" w:cs="Arial"/>
          <w:sz w:val="24"/>
          <w:szCs w:val="24"/>
        </w:rPr>
        <w:t xml:space="preserve">Lac, </w:t>
      </w:r>
      <w:proofErr w:type="spellStart"/>
      <w:r w:rsidRPr="00A00DD4">
        <w:rPr>
          <w:rFonts w:ascii="Arial" w:hAnsi="Arial" w:cs="Arial"/>
          <w:sz w:val="24"/>
          <w:szCs w:val="24"/>
        </w:rPr>
        <w:t>LiP</w:t>
      </w:r>
      <w:proofErr w:type="spellEnd"/>
      <w:r w:rsidRPr="00A00DD4">
        <w:rPr>
          <w:rFonts w:ascii="Arial" w:hAnsi="Arial" w:cs="Arial"/>
          <w:sz w:val="24"/>
          <w:szCs w:val="24"/>
        </w:rPr>
        <w:t xml:space="preserve"> and </w:t>
      </w:r>
      <w:proofErr w:type="spellStart"/>
      <w:r w:rsidRPr="00A00DD4">
        <w:rPr>
          <w:rFonts w:ascii="Arial" w:hAnsi="Arial" w:cs="Arial"/>
          <w:sz w:val="24"/>
          <w:szCs w:val="24"/>
        </w:rPr>
        <w:t>MnP</w:t>
      </w:r>
      <w:bookmarkEnd w:id="2"/>
      <w:proofErr w:type="spellEnd"/>
      <w:r w:rsidRPr="00A00DD4">
        <w:rPr>
          <w:rFonts w:ascii="Arial" w:hAnsi="Arial" w:cs="Arial"/>
          <w:sz w:val="24"/>
          <w:szCs w:val="24"/>
        </w:rPr>
        <w:t xml:space="preserve">. The formation of slight (+) or intense (++) colour zone in the indicator plates supplemented with mediating substrates ABTS, VA and 2,6-DMP was indicating the production of ligninolytic enzymes Lac, </w:t>
      </w:r>
      <w:proofErr w:type="spellStart"/>
      <w:r w:rsidRPr="00A00DD4">
        <w:rPr>
          <w:rFonts w:ascii="Arial" w:hAnsi="Arial" w:cs="Arial"/>
          <w:sz w:val="24"/>
          <w:szCs w:val="24"/>
        </w:rPr>
        <w:t>LiP</w:t>
      </w:r>
      <w:proofErr w:type="spellEnd"/>
      <w:r w:rsidRPr="00A00DD4">
        <w:rPr>
          <w:rFonts w:ascii="Arial" w:hAnsi="Arial" w:cs="Arial"/>
          <w:sz w:val="24"/>
          <w:szCs w:val="24"/>
        </w:rPr>
        <w:t xml:space="preserve"> and </w:t>
      </w:r>
      <w:proofErr w:type="spellStart"/>
      <w:r w:rsidRPr="00A00DD4">
        <w:rPr>
          <w:rFonts w:ascii="Arial" w:hAnsi="Arial" w:cs="Arial"/>
          <w:sz w:val="24"/>
          <w:szCs w:val="24"/>
        </w:rPr>
        <w:t>MnP</w:t>
      </w:r>
      <w:proofErr w:type="spellEnd"/>
      <w:r w:rsidRPr="00A00DD4">
        <w:rPr>
          <w:rFonts w:ascii="Arial" w:hAnsi="Arial" w:cs="Arial"/>
          <w:sz w:val="24"/>
          <w:szCs w:val="24"/>
        </w:rPr>
        <w:t xml:space="preserve">. Indicator plates supplemented with ABTS have exhibited fungal growth and colour production revealing of Lac production, except for </w:t>
      </w:r>
      <w:r w:rsidRPr="00A00DD4">
        <w:rPr>
          <w:rFonts w:ascii="Arial" w:hAnsi="Arial" w:cs="Arial"/>
          <w:i/>
          <w:sz w:val="24"/>
          <w:szCs w:val="24"/>
        </w:rPr>
        <w:t xml:space="preserve">R. </w:t>
      </w:r>
      <w:proofErr w:type="spellStart"/>
      <w:r w:rsidRPr="00A00DD4">
        <w:rPr>
          <w:rFonts w:ascii="Arial" w:hAnsi="Arial" w:cs="Arial"/>
          <w:i/>
          <w:sz w:val="24"/>
          <w:szCs w:val="24"/>
        </w:rPr>
        <w:t>microsporus</w:t>
      </w:r>
      <w:proofErr w:type="spellEnd"/>
      <w:r w:rsidRPr="00A00DD4">
        <w:rPr>
          <w:rFonts w:ascii="Arial" w:hAnsi="Arial" w:cs="Arial"/>
          <w:i/>
          <w:sz w:val="24"/>
          <w:szCs w:val="24"/>
        </w:rPr>
        <w:t xml:space="preserve">. </w:t>
      </w:r>
      <w:r w:rsidRPr="00A00DD4">
        <w:rPr>
          <w:rFonts w:ascii="Arial" w:hAnsi="Arial" w:cs="Arial"/>
          <w:sz w:val="24"/>
          <w:szCs w:val="24"/>
        </w:rPr>
        <w:t xml:space="preserve">Fungal growth or any specific colour production were not observed in the indicator plates supplemented with VA at 25 mL/L. Thus, when VA concentrations was decreased at 10 mL/L and 1 mL/L, fungi were growing in indicator plates without any specific colour zone production for </w:t>
      </w:r>
      <w:proofErr w:type="spellStart"/>
      <w:r w:rsidRPr="00A00DD4">
        <w:rPr>
          <w:rFonts w:ascii="Arial" w:hAnsi="Arial" w:cs="Arial"/>
          <w:sz w:val="24"/>
          <w:szCs w:val="24"/>
        </w:rPr>
        <w:t>LiP</w:t>
      </w:r>
      <w:proofErr w:type="spellEnd"/>
      <w:r w:rsidRPr="00A00DD4">
        <w:rPr>
          <w:rFonts w:ascii="Arial" w:hAnsi="Arial" w:cs="Arial"/>
          <w:sz w:val="24"/>
          <w:szCs w:val="24"/>
        </w:rPr>
        <w:t xml:space="preserve"> production within 7 days of incubation. However, a slight appearance of colour zone was observed in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 xml:space="preserve">and </w:t>
      </w:r>
      <w:r w:rsidRPr="00A00DD4">
        <w:rPr>
          <w:rFonts w:ascii="Arial" w:hAnsi="Arial" w:cs="Arial"/>
          <w:i/>
          <w:sz w:val="24"/>
          <w:szCs w:val="24"/>
        </w:rPr>
        <w:t xml:space="preserve">R. </w:t>
      </w:r>
      <w:proofErr w:type="spellStart"/>
      <w:r w:rsidRPr="00A00DD4">
        <w:rPr>
          <w:rFonts w:ascii="Arial" w:hAnsi="Arial" w:cs="Arial"/>
          <w:i/>
          <w:sz w:val="24"/>
          <w:szCs w:val="24"/>
        </w:rPr>
        <w:t>microsporus</w:t>
      </w:r>
      <w:proofErr w:type="spellEnd"/>
      <w:r w:rsidRPr="00A00DD4">
        <w:rPr>
          <w:rFonts w:ascii="Arial" w:hAnsi="Arial" w:cs="Arial"/>
          <w:i/>
          <w:sz w:val="24"/>
          <w:szCs w:val="24"/>
        </w:rPr>
        <w:t xml:space="preserve"> </w:t>
      </w:r>
      <w:r w:rsidRPr="00A00DD4">
        <w:rPr>
          <w:rFonts w:ascii="Arial" w:hAnsi="Arial" w:cs="Arial"/>
          <w:sz w:val="24"/>
          <w:szCs w:val="24"/>
        </w:rPr>
        <w:t xml:space="preserve">plates, occurring when the growth was allowed to extend for 14 days. The method seemed not to work in the case of indicator plates supplemented with VA. The 2,6-DMP containing plates of all isolated fungal species have demonstrated a fungal growth and specific colour zone formation revealing of </w:t>
      </w:r>
      <w:proofErr w:type="spellStart"/>
      <w:r w:rsidRPr="00A00DD4">
        <w:rPr>
          <w:rFonts w:ascii="Arial" w:hAnsi="Arial" w:cs="Arial"/>
          <w:sz w:val="24"/>
          <w:szCs w:val="24"/>
        </w:rPr>
        <w:t>MnP</w:t>
      </w:r>
      <w:proofErr w:type="spellEnd"/>
      <w:r w:rsidRPr="00A00DD4">
        <w:rPr>
          <w:rFonts w:ascii="Arial" w:hAnsi="Arial" w:cs="Arial"/>
          <w:sz w:val="24"/>
          <w:szCs w:val="24"/>
        </w:rPr>
        <w:t xml:space="preserve"> enzyme production.</w:t>
      </w:r>
    </w:p>
    <w:p w14:paraId="49CD46BA" w14:textId="77777777" w:rsidR="00D15F94" w:rsidRPr="00A00DD4" w:rsidRDefault="00D15F94" w:rsidP="00D15F94">
      <w:pPr>
        <w:spacing w:after="0" w:line="480" w:lineRule="auto"/>
        <w:jc w:val="both"/>
        <w:rPr>
          <w:rFonts w:ascii="Arial" w:hAnsi="Arial" w:cs="Arial"/>
          <w:sz w:val="24"/>
          <w:szCs w:val="24"/>
        </w:rPr>
      </w:pPr>
    </w:p>
    <w:p w14:paraId="631F35CB" w14:textId="4B13F989" w:rsidR="00D15F94" w:rsidRPr="00A00DD4" w:rsidRDefault="00D16E50" w:rsidP="00D15F94">
      <w:pPr>
        <w:pStyle w:val="Heading3"/>
        <w:spacing w:before="0" w:after="240" w:line="480" w:lineRule="auto"/>
        <w:rPr>
          <w:rFonts w:ascii="Arial" w:eastAsia="Calibri" w:hAnsi="Arial" w:cs="Arial"/>
          <w:i/>
          <w:color w:val="auto"/>
          <w:lang w:val="en-GB"/>
        </w:rPr>
      </w:pPr>
      <w:bookmarkStart w:id="3" w:name="_Toc535931678"/>
      <w:r>
        <w:rPr>
          <w:rFonts w:ascii="Arial" w:hAnsi="Arial" w:cs="Arial"/>
          <w:i/>
          <w:color w:val="auto"/>
          <w:lang w:val="en-GB"/>
        </w:rPr>
        <w:t>1</w:t>
      </w:r>
      <w:r w:rsidR="00D15F94" w:rsidRPr="00A00DD4">
        <w:rPr>
          <w:rFonts w:ascii="Arial" w:hAnsi="Arial" w:cs="Arial"/>
          <w:i/>
          <w:color w:val="auto"/>
          <w:lang w:val="en-GB"/>
        </w:rPr>
        <w:t xml:space="preserve">.2 </w:t>
      </w:r>
      <w:r w:rsidR="00D15F94" w:rsidRPr="00A00DD4">
        <w:rPr>
          <w:rFonts w:ascii="Arial" w:eastAsia="Calibri" w:hAnsi="Arial" w:cs="Arial"/>
          <w:i/>
          <w:color w:val="auto"/>
          <w:lang w:val="en-GB"/>
        </w:rPr>
        <w:t>Enzymatic activity assay in liquid medium (LN-m)</w:t>
      </w:r>
      <w:bookmarkEnd w:id="3"/>
    </w:p>
    <w:p w14:paraId="3F5F9FFC" w14:textId="77777777" w:rsidR="00D15F94" w:rsidRPr="00A00DD4" w:rsidRDefault="00D15F94" w:rsidP="00D15F94">
      <w:pPr>
        <w:spacing w:after="0" w:line="480" w:lineRule="auto"/>
        <w:jc w:val="both"/>
        <w:rPr>
          <w:rFonts w:ascii="Arial" w:hAnsi="Arial" w:cs="Arial"/>
          <w:sz w:val="24"/>
          <w:szCs w:val="24"/>
        </w:rPr>
      </w:pPr>
      <w:r w:rsidRPr="00A00DD4">
        <w:rPr>
          <w:rFonts w:ascii="Arial" w:hAnsi="Arial" w:cs="Arial"/>
          <w:sz w:val="24"/>
          <w:szCs w:val="24"/>
        </w:rPr>
        <w:t xml:space="preserve">The average values of fungal enzyme activities assayed for Lac, </w:t>
      </w:r>
      <w:proofErr w:type="spellStart"/>
      <w:r w:rsidRPr="00A00DD4">
        <w:rPr>
          <w:rFonts w:ascii="Arial" w:hAnsi="Arial" w:cs="Arial"/>
          <w:sz w:val="24"/>
          <w:szCs w:val="24"/>
        </w:rPr>
        <w:t>LiP</w:t>
      </w:r>
      <w:proofErr w:type="spellEnd"/>
      <w:r w:rsidRPr="00A00DD4">
        <w:rPr>
          <w:rFonts w:ascii="Arial" w:hAnsi="Arial" w:cs="Arial"/>
          <w:sz w:val="24"/>
          <w:szCs w:val="24"/>
        </w:rPr>
        <w:t xml:space="preserve"> and </w:t>
      </w:r>
      <w:proofErr w:type="spellStart"/>
      <w:r w:rsidRPr="00A00DD4">
        <w:rPr>
          <w:rFonts w:ascii="Arial" w:hAnsi="Arial" w:cs="Arial"/>
          <w:sz w:val="24"/>
          <w:szCs w:val="24"/>
        </w:rPr>
        <w:t>MnP</w:t>
      </w:r>
      <w:proofErr w:type="spellEnd"/>
      <w:r w:rsidRPr="00A00DD4">
        <w:rPr>
          <w:rFonts w:ascii="Arial" w:hAnsi="Arial" w:cs="Arial"/>
          <w:sz w:val="24"/>
          <w:szCs w:val="24"/>
        </w:rPr>
        <w:t xml:space="preserve"> demonstrated that, </w:t>
      </w:r>
      <w:proofErr w:type="spellStart"/>
      <w:r w:rsidRPr="00A00DD4">
        <w:rPr>
          <w:rFonts w:ascii="Arial" w:hAnsi="Arial" w:cs="Arial"/>
          <w:sz w:val="24"/>
          <w:szCs w:val="24"/>
        </w:rPr>
        <w:t>MnP</w:t>
      </w:r>
      <w:proofErr w:type="spellEnd"/>
      <w:r w:rsidRPr="00A00DD4">
        <w:rPr>
          <w:rFonts w:ascii="Arial" w:hAnsi="Arial" w:cs="Arial"/>
          <w:sz w:val="24"/>
          <w:szCs w:val="24"/>
        </w:rPr>
        <w:t xml:space="preserve"> production was higher (</w:t>
      </w:r>
      <w:r w:rsidRPr="00A00DD4">
        <w:rPr>
          <w:rFonts w:ascii="Arial" w:hAnsi="Arial" w:cs="Arial"/>
          <w:i/>
          <w:sz w:val="24"/>
          <w:szCs w:val="24"/>
        </w:rPr>
        <w:t xml:space="preserve">p </w:t>
      </w:r>
      <w:r w:rsidRPr="00A00DD4">
        <w:rPr>
          <w:rFonts w:ascii="Arial" w:hAnsi="Arial" w:cs="Arial"/>
          <w:sz w:val="24"/>
          <w:szCs w:val="24"/>
        </w:rPr>
        <w:t xml:space="preserve">&lt; 0.05) followed by </w:t>
      </w:r>
      <w:proofErr w:type="spellStart"/>
      <w:r w:rsidRPr="00A00DD4">
        <w:rPr>
          <w:rFonts w:ascii="Arial" w:hAnsi="Arial" w:cs="Arial"/>
          <w:sz w:val="24"/>
          <w:szCs w:val="24"/>
        </w:rPr>
        <w:t>LiP</w:t>
      </w:r>
      <w:proofErr w:type="spellEnd"/>
      <w:r w:rsidRPr="00A00DD4">
        <w:rPr>
          <w:rFonts w:ascii="Arial" w:hAnsi="Arial" w:cs="Arial"/>
          <w:sz w:val="24"/>
          <w:szCs w:val="24"/>
        </w:rPr>
        <w:t xml:space="preserve"> and Lac, except </w:t>
      </w:r>
      <w:r w:rsidRPr="00A00DD4">
        <w:rPr>
          <w:rFonts w:ascii="Arial" w:hAnsi="Arial" w:cs="Arial"/>
          <w:sz w:val="24"/>
          <w:szCs w:val="24"/>
        </w:rPr>
        <w:lastRenderedPageBreak/>
        <w:t xml:space="preserve">the WRF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sz w:val="24"/>
          <w:szCs w:val="24"/>
        </w:rPr>
        <w:t xml:space="preserve"> which exhibited high Lac enzyme activity (</w:t>
      </w:r>
      <w:r w:rsidRPr="00A00DD4">
        <w:rPr>
          <w:rFonts w:ascii="Arial" w:hAnsi="Arial" w:cs="Arial"/>
          <w:i/>
          <w:sz w:val="24"/>
          <w:szCs w:val="24"/>
        </w:rPr>
        <w:t>p</w:t>
      </w:r>
      <w:r w:rsidRPr="00A00DD4">
        <w:rPr>
          <w:rFonts w:ascii="Arial" w:hAnsi="Arial" w:cs="Arial"/>
          <w:sz w:val="24"/>
          <w:szCs w:val="24"/>
        </w:rPr>
        <w:t xml:space="preserve"> &lt; 0.001) than </w:t>
      </w:r>
      <w:proofErr w:type="spellStart"/>
      <w:r w:rsidRPr="00A00DD4">
        <w:rPr>
          <w:rFonts w:ascii="Arial" w:hAnsi="Arial" w:cs="Arial"/>
          <w:sz w:val="24"/>
          <w:szCs w:val="24"/>
        </w:rPr>
        <w:t>MnP</w:t>
      </w:r>
      <w:proofErr w:type="spellEnd"/>
      <w:r w:rsidRPr="00A00DD4">
        <w:rPr>
          <w:rFonts w:ascii="Arial" w:hAnsi="Arial" w:cs="Arial"/>
          <w:sz w:val="24"/>
          <w:szCs w:val="24"/>
        </w:rPr>
        <w:t xml:space="preserve"> and </w:t>
      </w:r>
      <w:proofErr w:type="spellStart"/>
      <w:r w:rsidRPr="00A00DD4">
        <w:rPr>
          <w:rFonts w:ascii="Arial" w:hAnsi="Arial" w:cs="Arial"/>
          <w:sz w:val="24"/>
          <w:szCs w:val="24"/>
        </w:rPr>
        <w:t>LiP</w:t>
      </w:r>
      <w:proofErr w:type="spellEnd"/>
      <w:r w:rsidRPr="00A00DD4">
        <w:rPr>
          <w:rFonts w:ascii="Arial" w:hAnsi="Arial" w:cs="Arial"/>
          <w:sz w:val="24"/>
          <w:szCs w:val="24"/>
        </w:rPr>
        <w:t xml:space="preserve">. Apart from the WRF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 xml:space="preserve">which has demonstrated the production of three targeted ligninolytic enzymes in the working conditions, the Ascomycetes fungi </w:t>
      </w:r>
      <w:r w:rsidRPr="00A00DD4">
        <w:rPr>
          <w:rFonts w:ascii="Arial" w:hAnsi="Arial" w:cs="Arial"/>
          <w:i/>
          <w:sz w:val="24"/>
          <w:szCs w:val="24"/>
        </w:rPr>
        <w:t xml:space="preserve">A. </w:t>
      </w:r>
      <w:proofErr w:type="spellStart"/>
      <w:r w:rsidRPr="00A00DD4">
        <w:rPr>
          <w:rFonts w:ascii="Arial" w:hAnsi="Arial" w:cs="Arial"/>
          <w:i/>
          <w:sz w:val="24"/>
          <w:szCs w:val="24"/>
        </w:rPr>
        <w:t>niger</w:t>
      </w:r>
      <w:proofErr w:type="spellEnd"/>
      <w:r w:rsidRPr="00A00DD4">
        <w:rPr>
          <w:rFonts w:ascii="Arial" w:hAnsi="Arial" w:cs="Arial"/>
          <w:i/>
          <w:sz w:val="24"/>
          <w:szCs w:val="24"/>
        </w:rPr>
        <w:t xml:space="preserve"> </w:t>
      </w:r>
      <w:r w:rsidRPr="00A00DD4">
        <w:rPr>
          <w:rFonts w:ascii="Arial" w:hAnsi="Arial" w:cs="Arial"/>
          <w:sz w:val="24"/>
          <w:szCs w:val="24"/>
        </w:rPr>
        <w:t xml:space="preserve">and </w:t>
      </w:r>
      <w:r w:rsidRPr="00A00DD4">
        <w:rPr>
          <w:rFonts w:ascii="Arial" w:hAnsi="Arial" w:cs="Arial"/>
          <w:i/>
          <w:sz w:val="24"/>
          <w:szCs w:val="24"/>
        </w:rPr>
        <w:t xml:space="preserve">T. </w:t>
      </w:r>
      <w:proofErr w:type="spellStart"/>
      <w:r w:rsidRPr="00A00DD4">
        <w:rPr>
          <w:rFonts w:ascii="Arial" w:hAnsi="Arial" w:cs="Arial"/>
          <w:i/>
          <w:sz w:val="24"/>
          <w:szCs w:val="24"/>
        </w:rPr>
        <w:t>longibrachiatum</w:t>
      </w:r>
      <w:proofErr w:type="spellEnd"/>
      <w:r w:rsidRPr="00A00DD4">
        <w:rPr>
          <w:rFonts w:ascii="Arial" w:hAnsi="Arial" w:cs="Arial"/>
          <w:i/>
          <w:sz w:val="24"/>
          <w:szCs w:val="24"/>
        </w:rPr>
        <w:t xml:space="preserve"> </w:t>
      </w:r>
      <w:r w:rsidRPr="00A00DD4">
        <w:rPr>
          <w:rFonts w:ascii="Arial" w:hAnsi="Arial" w:cs="Arial"/>
          <w:sz w:val="24"/>
          <w:szCs w:val="24"/>
        </w:rPr>
        <w:t xml:space="preserve">as well as Zygomycetes fungi </w:t>
      </w:r>
      <w:r w:rsidRPr="00A00DD4">
        <w:rPr>
          <w:rFonts w:ascii="Arial" w:hAnsi="Arial" w:cs="Arial"/>
          <w:i/>
          <w:sz w:val="24"/>
          <w:szCs w:val="24"/>
        </w:rPr>
        <w:t xml:space="preserve">M. </w:t>
      </w:r>
      <w:proofErr w:type="spellStart"/>
      <w:r w:rsidRPr="00A00DD4">
        <w:rPr>
          <w:rFonts w:ascii="Arial" w:hAnsi="Arial" w:cs="Arial"/>
          <w:i/>
          <w:sz w:val="24"/>
          <w:szCs w:val="24"/>
        </w:rPr>
        <w:t>circinelloides</w:t>
      </w:r>
      <w:proofErr w:type="spellEnd"/>
      <w:r w:rsidRPr="00A00DD4">
        <w:rPr>
          <w:rFonts w:ascii="Arial" w:hAnsi="Arial" w:cs="Arial"/>
          <w:i/>
          <w:sz w:val="24"/>
          <w:szCs w:val="24"/>
        </w:rPr>
        <w:t xml:space="preserve"> </w:t>
      </w:r>
      <w:r w:rsidRPr="00A00DD4">
        <w:rPr>
          <w:rFonts w:ascii="Arial" w:hAnsi="Arial" w:cs="Arial"/>
          <w:sz w:val="24"/>
          <w:szCs w:val="24"/>
        </w:rPr>
        <w:t xml:space="preserve">and </w:t>
      </w:r>
      <w:r w:rsidRPr="00A00DD4">
        <w:rPr>
          <w:rFonts w:ascii="Arial" w:hAnsi="Arial" w:cs="Arial"/>
          <w:i/>
          <w:sz w:val="24"/>
          <w:szCs w:val="24"/>
        </w:rPr>
        <w:t xml:space="preserve">R. </w:t>
      </w:r>
      <w:proofErr w:type="spellStart"/>
      <w:r w:rsidRPr="00A00DD4">
        <w:rPr>
          <w:rFonts w:ascii="Arial" w:hAnsi="Arial" w:cs="Arial"/>
          <w:i/>
          <w:sz w:val="24"/>
          <w:szCs w:val="24"/>
        </w:rPr>
        <w:t>microsporus</w:t>
      </w:r>
      <w:proofErr w:type="spellEnd"/>
      <w:r w:rsidRPr="00A00DD4">
        <w:rPr>
          <w:rFonts w:ascii="Arial" w:hAnsi="Arial" w:cs="Arial"/>
          <w:i/>
          <w:sz w:val="24"/>
          <w:szCs w:val="24"/>
        </w:rPr>
        <w:t xml:space="preserve"> </w:t>
      </w:r>
      <w:r w:rsidRPr="00A00DD4">
        <w:rPr>
          <w:rFonts w:ascii="Arial" w:hAnsi="Arial" w:cs="Arial"/>
          <w:sz w:val="24"/>
          <w:szCs w:val="24"/>
        </w:rPr>
        <w:t xml:space="preserve">were found producers of ligninolytic enzymes of biotechnological interest, specifically </w:t>
      </w:r>
      <w:proofErr w:type="spellStart"/>
      <w:r w:rsidRPr="00A00DD4">
        <w:rPr>
          <w:rFonts w:ascii="Arial" w:hAnsi="Arial" w:cs="Arial"/>
          <w:sz w:val="24"/>
          <w:szCs w:val="24"/>
        </w:rPr>
        <w:t>MnP</w:t>
      </w:r>
      <w:proofErr w:type="spellEnd"/>
      <w:r w:rsidRPr="00A00DD4">
        <w:rPr>
          <w:rFonts w:ascii="Arial" w:hAnsi="Arial" w:cs="Arial"/>
          <w:sz w:val="24"/>
          <w:szCs w:val="24"/>
        </w:rPr>
        <w:t xml:space="preserve"> and </w:t>
      </w:r>
      <w:proofErr w:type="spellStart"/>
      <w:r w:rsidRPr="00A00DD4">
        <w:rPr>
          <w:rFonts w:ascii="Arial" w:hAnsi="Arial" w:cs="Arial"/>
          <w:sz w:val="24"/>
          <w:szCs w:val="24"/>
        </w:rPr>
        <w:t>LiP</w:t>
      </w:r>
      <w:proofErr w:type="spellEnd"/>
      <w:r w:rsidRPr="00A00DD4">
        <w:rPr>
          <w:rFonts w:ascii="Arial" w:hAnsi="Arial" w:cs="Arial"/>
          <w:sz w:val="24"/>
          <w:szCs w:val="24"/>
        </w:rPr>
        <w:t>.</w:t>
      </w:r>
    </w:p>
    <w:p w14:paraId="52896E52" w14:textId="77777777" w:rsidR="00D15F94" w:rsidRPr="00A00DD4" w:rsidRDefault="00D15F94" w:rsidP="00D15F94">
      <w:pPr>
        <w:spacing w:after="0" w:line="480" w:lineRule="auto"/>
        <w:jc w:val="both"/>
        <w:rPr>
          <w:rFonts w:ascii="Arial" w:hAnsi="Arial" w:cs="Arial"/>
          <w:sz w:val="24"/>
          <w:szCs w:val="24"/>
        </w:rPr>
      </w:pPr>
    </w:p>
    <w:p w14:paraId="7D5A2F94" w14:textId="77777777" w:rsidR="00D15F94" w:rsidRPr="00A00DD4" w:rsidRDefault="00D15F94" w:rsidP="00D15F94">
      <w:pPr>
        <w:spacing w:line="480" w:lineRule="auto"/>
        <w:jc w:val="both"/>
        <w:rPr>
          <w:rFonts w:ascii="Arial" w:hAnsi="Arial" w:cs="Arial"/>
          <w:b/>
          <w:sz w:val="24"/>
          <w:szCs w:val="24"/>
        </w:rPr>
      </w:pPr>
      <w:r w:rsidRPr="00A00DD4">
        <w:rPr>
          <w:rFonts w:ascii="Arial" w:hAnsi="Arial" w:cs="Arial"/>
          <w:b/>
          <w:sz w:val="24"/>
          <w:szCs w:val="24"/>
        </w:rPr>
        <w:t>Assessing the effect of pH on enzymatic activity in LN-m</w:t>
      </w:r>
    </w:p>
    <w:p w14:paraId="07E04145" w14:textId="72451B14" w:rsidR="00D15F94" w:rsidRPr="00A00DD4" w:rsidRDefault="00D15F94" w:rsidP="00D15F94">
      <w:pPr>
        <w:spacing w:after="0" w:line="480" w:lineRule="auto"/>
        <w:jc w:val="both"/>
        <w:rPr>
          <w:rFonts w:ascii="Arial" w:hAnsi="Arial" w:cs="Arial"/>
          <w:sz w:val="24"/>
          <w:szCs w:val="24"/>
        </w:rPr>
      </w:pPr>
      <w:r w:rsidRPr="00A00DD4">
        <w:rPr>
          <w:rFonts w:ascii="Arial" w:hAnsi="Arial" w:cs="Arial"/>
          <w:sz w:val="24"/>
          <w:szCs w:val="24"/>
        </w:rPr>
        <w:t xml:space="preserve">Figure </w:t>
      </w:r>
      <w:r w:rsidR="00D16E50">
        <w:rPr>
          <w:rFonts w:ascii="Arial" w:hAnsi="Arial" w:cs="Arial"/>
          <w:sz w:val="24"/>
          <w:szCs w:val="24"/>
        </w:rPr>
        <w:t>S1</w:t>
      </w:r>
      <w:r w:rsidRPr="00A00DD4">
        <w:rPr>
          <w:rFonts w:ascii="Arial" w:hAnsi="Arial" w:cs="Arial"/>
          <w:sz w:val="24"/>
          <w:szCs w:val="24"/>
        </w:rPr>
        <w:t xml:space="preserve"> demonstrated the effect of pH on ligninolytic enzymes production in LN-m after 5 days of incubation at 30 ± 1.5 °C in absence of targeted </w:t>
      </w:r>
      <w:proofErr w:type="spellStart"/>
      <w:r w:rsidRPr="00A00DD4">
        <w:rPr>
          <w:rFonts w:ascii="Arial" w:hAnsi="Arial" w:cs="Arial"/>
          <w:sz w:val="24"/>
          <w:szCs w:val="24"/>
        </w:rPr>
        <w:t>PhCs</w:t>
      </w:r>
      <w:proofErr w:type="spellEnd"/>
      <w:r w:rsidRPr="00A00DD4">
        <w:rPr>
          <w:rFonts w:ascii="Arial" w:hAnsi="Arial" w:cs="Arial"/>
          <w:sz w:val="24"/>
          <w:szCs w:val="24"/>
        </w:rPr>
        <w:t xml:space="preserve">. The enzymatic activity was found in general to be high at initial pH range between 4.3 and 5.5 and decreased strongly when initial pH was low between 2.3 and 3.1 or beyond 5.5. The lowest enzyme activity was observed for </w:t>
      </w:r>
      <w:proofErr w:type="spellStart"/>
      <w:r w:rsidRPr="00A00DD4">
        <w:rPr>
          <w:rFonts w:ascii="Arial" w:hAnsi="Arial" w:cs="Arial"/>
          <w:sz w:val="24"/>
          <w:szCs w:val="24"/>
        </w:rPr>
        <w:t>MnP</w:t>
      </w:r>
      <w:proofErr w:type="spellEnd"/>
      <w:r w:rsidRPr="00A00DD4">
        <w:rPr>
          <w:rFonts w:ascii="Arial" w:hAnsi="Arial" w:cs="Arial"/>
          <w:sz w:val="24"/>
          <w:szCs w:val="24"/>
        </w:rPr>
        <w:t xml:space="preserve"> and nothing for </w:t>
      </w:r>
      <w:proofErr w:type="spellStart"/>
      <w:r w:rsidRPr="00A00DD4">
        <w:rPr>
          <w:rFonts w:ascii="Arial" w:hAnsi="Arial" w:cs="Arial"/>
          <w:sz w:val="24"/>
          <w:szCs w:val="24"/>
        </w:rPr>
        <w:t>LiP</w:t>
      </w:r>
      <w:proofErr w:type="spellEnd"/>
      <w:r w:rsidRPr="00A00DD4">
        <w:rPr>
          <w:rFonts w:ascii="Arial" w:hAnsi="Arial" w:cs="Arial"/>
          <w:sz w:val="24"/>
          <w:szCs w:val="24"/>
        </w:rPr>
        <w:t xml:space="preserve"> and Lac, except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 xml:space="preserve">which showed a slight Lac activity at initial pH range of 2.3 - 3.1. Beyond pH 5.5, </w:t>
      </w:r>
      <w:proofErr w:type="spellStart"/>
      <w:r w:rsidRPr="00A00DD4">
        <w:rPr>
          <w:rFonts w:ascii="Arial" w:hAnsi="Arial" w:cs="Arial"/>
          <w:sz w:val="24"/>
          <w:szCs w:val="24"/>
        </w:rPr>
        <w:t>MnP</w:t>
      </w:r>
      <w:proofErr w:type="spellEnd"/>
      <w:r w:rsidRPr="00A00DD4">
        <w:rPr>
          <w:rFonts w:ascii="Arial" w:hAnsi="Arial" w:cs="Arial"/>
          <w:sz w:val="24"/>
          <w:szCs w:val="24"/>
        </w:rPr>
        <w:t xml:space="preserve"> activity was observed for all the isolated fungi. The optimal pH value for </w:t>
      </w:r>
      <w:proofErr w:type="spellStart"/>
      <w:r w:rsidRPr="00A00DD4">
        <w:rPr>
          <w:rFonts w:ascii="Arial" w:hAnsi="Arial" w:cs="Arial"/>
          <w:sz w:val="24"/>
          <w:szCs w:val="24"/>
        </w:rPr>
        <w:t>MnP</w:t>
      </w:r>
      <w:proofErr w:type="spellEnd"/>
      <w:r w:rsidRPr="00A00DD4">
        <w:rPr>
          <w:rFonts w:ascii="Arial" w:hAnsi="Arial" w:cs="Arial"/>
          <w:sz w:val="24"/>
          <w:szCs w:val="24"/>
        </w:rPr>
        <w:t xml:space="preserve"> production was recorded at 4.3 and 5.5 for </w:t>
      </w:r>
      <w:r w:rsidRPr="00A00DD4">
        <w:rPr>
          <w:rFonts w:ascii="Arial" w:hAnsi="Arial" w:cs="Arial"/>
          <w:i/>
          <w:sz w:val="24"/>
          <w:szCs w:val="24"/>
        </w:rPr>
        <w:t xml:space="preserve">A. </w:t>
      </w:r>
      <w:proofErr w:type="spellStart"/>
      <w:r w:rsidRPr="00A00DD4">
        <w:rPr>
          <w:rFonts w:ascii="Arial" w:hAnsi="Arial" w:cs="Arial"/>
          <w:i/>
          <w:sz w:val="24"/>
          <w:szCs w:val="24"/>
        </w:rPr>
        <w:t>niger</w:t>
      </w:r>
      <w:proofErr w:type="spellEnd"/>
      <w:r w:rsidRPr="00A00DD4">
        <w:rPr>
          <w:rFonts w:ascii="Arial" w:hAnsi="Arial" w:cs="Arial"/>
          <w:sz w:val="24"/>
          <w:szCs w:val="24"/>
        </w:rPr>
        <w:t xml:space="preserve"> (211.14±8.22 U/L, </w:t>
      </w:r>
      <w:r w:rsidRPr="00A00DD4">
        <w:rPr>
          <w:rFonts w:ascii="Arial" w:hAnsi="Arial" w:cs="Arial"/>
          <w:i/>
          <w:sz w:val="24"/>
          <w:szCs w:val="24"/>
        </w:rPr>
        <w:t>p</w:t>
      </w:r>
      <w:r w:rsidRPr="00A00DD4">
        <w:rPr>
          <w:rFonts w:ascii="Arial" w:hAnsi="Arial" w:cs="Arial"/>
          <w:sz w:val="24"/>
          <w:szCs w:val="24"/>
        </w:rPr>
        <w:t xml:space="preserve"> &lt; 0.05) and only 4.3 for the rest of fungal strains. It was followed by </w:t>
      </w:r>
      <w:r w:rsidRPr="00A00DD4">
        <w:rPr>
          <w:rFonts w:ascii="Arial" w:hAnsi="Arial" w:cs="Arial"/>
          <w:i/>
          <w:sz w:val="24"/>
          <w:szCs w:val="24"/>
        </w:rPr>
        <w:t xml:space="preserve">R. </w:t>
      </w:r>
      <w:proofErr w:type="spellStart"/>
      <w:r w:rsidRPr="00A00DD4">
        <w:rPr>
          <w:rFonts w:ascii="Arial" w:hAnsi="Arial" w:cs="Arial"/>
          <w:i/>
          <w:sz w:val="24"/>
          <w:szCs w:val="24"/>
        </w:rPr>
        <w:t>microsporus</w:t>
      </w:r>
      <w:proofErr w:type="spellEnd"/>
      <w:r w:rsidRPr="00A00DD4">
        <w:rPr>
          <w:rFonts w:ascii="Arial" w:hAnsi="Arial" w:cs="Arial"/>
          <w:i/>
          <w:sz w:val="24"/>
          <w:szCs w:val="24"/>
        </w:rPr>
        <w:t xml:space="preserve"> </w:t>
      </w:r>
      <w:r w:rsidRPr="00A00DD4">
        <w:rPr>
          <w:rFonts w:ascii="Arial" w:hAnsi="Arial" w:cs="Arial"/>
          <w:sz w:val="24"/>
          <w:szCs w:val="24"/>
        </w:rPr>
        <w:t>(159.88±9.12 U/L)</w:t>
      </w:r>
      <w:r w:rsidRPr="00A00DD4">
        <w:rPr>
          <w:rFonts w:ascii="Arial" w:hAnsi="Arial" w:cs="Arial"/>
          <w:i/>
          <w:sz w:val="24"/>
          <w:szCs w:val="24"/>
        </w:rPr>
        <w:t xml:space="preserve">, M. </w:t>
      </w:r>
      <w:proofErr w:type="spellStart"/>
      <w:r w:rsidRPr="00A00DD4">
        <w:rPr>
          <w:rFonts w:ascii="Arial" w:hAnsi="Arial" w:cs="Arial"/>
          <w:i/>
          <w:sz w:val="24"/>
          <w:szCs w:val="24"/>
        </w:rPr>
        <w:t>circinelloides</w:t>
      </w:r>
      <w:proofErr w:type="spellEnd"/>
      <w:r w:rsidRPr="00A00DD4">
        <w:rPr>
          <w:rFonts w:ascii="Arial" w:hAnsi="Arial" w:cs="Arial"/>
          <w:i/>
          <w:sz w:val="24"/>
          <w:szCs w:val="24"/>
        </w:rPr>
        <w:t xml:space="preserve"> </w:t>
      </w:r>
      <w:r w:rsidRPr="00A00DD4">
        <w:rPr>
          <w:rFonts w:ascii="Arial" w:hAnsi="Arial" w:cs="Arial"/>
          <w:sz w:val="24"/>
          <w:szCs w:val="24"/>
        </w:rPr>
        <w:t xml:space="preserve">(131.24±5.01 U/L), </w:t>
      </w:r>
      <w:r w:rsidRPr="00A00DD4">
        <w:rPr>
          <w:rFonts w:ascii="Arial" w:hAnsi="Arial" w:cs="Arial"/>
          <w:i/>
          <w:sz w:val="24"/>
          <w:szCs w:val="24"/>
        </w:rPr>
        <w:t xml:space="preserve">T. </w:t>
      </w:r>
      <w:proofErr w:type="spellStart"/>
      <w:r w:rsidRPr="00A00DD4">
        <w:rPr>
          <w:rFonts w:ascii="Arial" w:hAnsi="Arial" w:cs="Arial"/>
          <w:i/>
          <w:sz w:val="24"/>
          <w:szCs w:val="24"/>
        </w:rPr>
        <w:t>longibrachiatum</w:t>
      </w:r>
      <w:proofErr w:type="spellEnd"/>
      <w:r w:rsidRPr="00A00DD4">
        <w:rPr>
          <w:rFonts w:ascii="Arial" w:hAnsi="Arial" w:cs="Arial"/>
          <w:i/>
          <w:sz w:val="24"/>
          <w:szCs w:val="24"/>
        </w:rPr>
        <w:t xml:space="preserve"> </w:t>
      </w:r>
      <w:r w:rsidRPr="00A00DD4">
        <w:rPr>
          <w:rFonts w:ascii="Arial" w:hAnsi="Arial" w:cs="Arial"/>
          <w:sz w:val="24"/>
          <w:szCs w:val="24"/>
        </w:rPr>
        <w:t>(100.23±4.12 U/L) and</w:t>
      </w:r>
      <w:r w:rsidRPr="00A00DD4">
        <w:rPr>
          <w:rFonts w:ascii="Arial" w:hAnsi="Arial" w:cs="Arial"/>
          <w:i/>
          <w:sz w:val="24"/>
          <w:szCs w:val="24"/>
        </w:rPr>
        <w:t xml:space="preserve"> 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(80.19±4.51 U/L)</w:t>
      </w:r>
      <w:r w:rsidRPr="00A00DD4">
        <w:rPr>
          <w:rFonts w:ascii="Arial" w:hAnsi="Arial" w:cs="Arial"/>
          <w:i/>
          <w:sz w:val="24"/>
          <w:szCs w:val="24"/>
        </w:rPr>
        <w:t xml:space="preserve">. </w:t>
      </w:r>
      <w:r w:rsidRPr="00A00DD4">
        <w:rPr>
          <w:rFonts w:ascii="Arial" w:hAnsi="Arial" w:cs="Arial"/>
          <w:sz w:val="24"/>
          <w:szCs w:val="24"/>
        </w:rPr>
        <w:t xml:space="preserve">The pH of 4.3 appeared also to be the optimum for Lac production with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 xml:space="preserve">(199.18±8.15 U/L, </w:t>
      </w:r>
      <w:r w:rsidRPr="00A00DD4">
        <w:rPr>
          <w:rFonts w:ascii="Arial" w:hAnsi="Arial" w:cs="Arial"/>
          <w:i/>
          <w:sz w:val="24"/>
          <w:szCs w:val="24"/>
        </w:rPr>
        <w:t>p</w:t>
      </w:r>
      <w:r w:rsidRPr="00A00DD4">
        <w:rPr>
          <w:rFonts w:ascii="Arial" w:hAnsi="Arial" w:cs="Arial"/>
          <w:sz w:val="24"/>
          <w:szCs w:val="24"/>
        </w:rPr>
        <w:t xml:space="preserve"> &lt; 0.001) compared to other isolated fungi, for which slight activity was observed in flasks inoculated with </w:t>
      </w:r>
      <w:r w:rsidRPr="00A00DD4">
        <w:rPr>
          <w:rFonts w:ascii="Arial" w:hAnsi="Arial" w:cs="Arial"/>
          <w:i/>
          <w:sz w:val="24"/>
          <w:szCs w:val="24"/>
        </w:rPr>
        <w:t xml:space="preserve">A. </w:t>
      </w:r>
      <w:proofErr w:type="spellStart"/>
      <w:r w:rsidRPr="00A00DD4">
        <w:rPr>
          <w:rFonts w:ascii="Arial" w:hAnsi="Arial" w:cs="Arial"/>
          <w:i/>
          <w:sz w:val="24"/>
          <w:szCs w:val="24"/>
        </w:rPr>
        <w:t>niger</w:t>
      </w:r>
      <w:proofErr w:type="spellEnd"/>
      <w:r w:rsidRPr="00A00DD4">
        <w:rPr>
          <w:rFonts w:ascii="Arial" w:hAnsi="Arial" w:cs="Arial"/>
          <w:i/>
          <w:sz w:val="24"/>
          <w:szCs w:val="24"/>
        </w:rPr>
        <w:t xml:space="preserve"> </w:t>
      </w:r>
      <w:r w:rsidRPr="00A00DD4">
        <w:rPr>
          <w:rFonts w:ascii="Arial" w:hAnsi="Arial" w:cs="Arial"/>
          <w:sz w:val="24"/>
          <w:szCs w:val="24"/>
        </w:rPr>
        <w:t>(2.2±0.01 U/L)</w:t>
      </w:r>
      <w:r w:rsidRPr="00A00DD4">
        <w:rPr>
          <w:rFonts w:ascii="Arial" w:hAnsi="Arial" w:cs="Arial"/>
          <w:i/>
          <w:sz w:val="24"/>
          <w:szCs w:val="24"/>
        </w:rPr>
        <w:t xml:space="preserve">, T. </w:t>
      </w:r>
      <w:proofErr w:type="spellStart"/>
      <w:r w:rsidRPr="00A00DD4">
        <w:rPr>
          <w:rFonts w:ascii="Arial" w:hAnsi="Arial" w:cs="Arial"/>
          <w:i/>
          <w:sz w:val="24"/>
          <w:szCs w:val="24"/>
        </w:rPr>
        <w:t>longibrachiatum</w:t>
      </w:r>
      <w:proofErr w:type="spellEnd"/>
      <w:r w:rsidRPr="00A00DD4">
        <w:rPr>
          <w:rFonts w:ascii="Arial" w:hAnsi="Arial" w:cs="Arial"/>
          <w:i/>
          <w:sz w:val="24"/>
          <w:szCs w:val="24"/>
        </w:rPr>
        <w:t xml:space="preserve"> </w:t>
      </w:r>
      <w:r w:rsidRPr="00A00DD4">
        <w:rPr>
          <w:rFonts w:ascii="Arial" w:hAnsi="Arial" w:cs="Arial"/>
          <w:sz w:val="24"/>
          <w:szCs w:val="24"/>
        </w:rPr>
        <w:t xml:space="preserve">(0.08 U/L) and </w:t>
      </w:r>
      <w:r w:rsidRPr="00A00DD4">
        <w:rPr>
          <w:rFonts w:ascii="Arial" w:hAnsi="Arial" w:cs="Arial"/>
          <w:i/>
          <w:sz w:val="24"/>
          <w:szCs w:val="24"/>
        </w:rPr>
        <w:t xml:space="preserve">M. </w:t>
      </w:r>
      <w:proofErr w:type="spellStart"/>
      <w:r w:rsidRPr="00A00DD4">
        <w:rPr>
          <w:rFonts w:ascii="Arial" w:hAnsi="Arial" w:cs="Arial"/>
          <w:i/>
          <w:sz w:val="24"/>
          <w:szCs w:val="24"/>
        </w:rPr>
        <w:t>circinelloides</w:t>
      </w:r>
      <w:proofErr w:type="spellEnd"/>
      <w:r w:rsidRPr="00A00DD4">
        <w:rPr>
          <w:rFonts w:ascii="Arial" w:hAnsi="Arial" w:cs="Arial"/>
          <w:i/>
          <w:sz w:val="24"/>
          <w:szCs w:val="24"/>
        </w:rPr>
        <w:t xml:space="preserve"> </w:t>
      </w:r>
      <w:r w:rsidRPr="00A00DD4">
        <w:rPr>
          <w:rFonts w:ascii="Arial" w:hAnsi="Arial" w:cs="Arial"/>
          <w:sz w:val="24"/>
          <w:szCs w:val="24"/>
        </w:rPr>
        <w:t>(1.12±0.02 U/L)</w:t>
      </w:r>
      <w:r w:rsidRPr="00A00DD4">
        <w:rPr>
          <w:rFonts w:ascii="Arial" w:hAnsi="Arial" w:cs="Arial"/>
          <w:i/>
          <w:sz w:val="24"/>
          <w:szCs w:val="24"/>
        </w:rPr>
        <w:t>.</w:t>
      </w:r>
      <w:r w:rsidRPr="00A00DD4">
        <w:rPr>
          <w:rFonts w:ascii="Arial" w:hAnsi="Arial" w:cs="Arial"/>
          <w:sz w:val="24"/>
          <w:szCs w:val="24"/>
        </w:rPr>
        <w:t xml:space="preserve"> The optimum activity for </w:t>
      </w:r>
      <w:proofErr w:type="spellStart"/>
      <w:r w:rsidRPr="00A00DD4">
        <w:rPr>
          <w:rFonts w:ascii="Arial" w:hAnsi="Arial" w:cs="Arial"/>
          <w:sz w:val="24"/>
          <w:szCs w:val="24"/>
        </w:rPr>
        <w:t>LiP</w:t>
      </w:r>
      <w:proofErr w:type="spellEnd"/>
      <w:r w:rsidRPr="00A00DD4">
        <w:rPr>
          <w:rFonts w:ascii="Arial" w:hAnsi="Arial" w:cs="Arial"/>
          <w:sz w:val="24"/>
          <w:szCs w:val="24"/>
        </w:rPr>
        <w:t xml:space="preserve"> was observed at </w:t>
      </w:r>
      <w:r w:rsidRPr="00A00DD4">
        <w:rPr>
          <w:rFonts w:ascii="Arial" w:hAnsi="Arial" w:cs="Arial"/>
          <w:sz w:val="24"/>
          <w:szCs w:val="24"/>
        </w:rPr>
        <w:lastRenderedPageBreak/>
        <w:t xml:space="preserve">5.5 with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In addition, the fungal enzymatic activity was still observed over pH values slightly out of the optimum range.</w:t>
      </w:r>
    </w:p>
    <w:p w14:paraId="4134BB53" w14:textId="77777777" w:rsidR="00D15F94" w:rsidRPr="00A00DD4" w:rsidRDefault="00D15F94" w:rsidP="00D15F94">
      <w:pPr>
        <w:spacing w:after="0" w:line="240" w:lineRule="auto"/>
        <w:jc w:val="both"/>
        <w:rPr>
          <w:rFonts w:ascii="Arial" w:hAnsi="Arial" w:cs="Arial"/>
          <w:sz w:val="24"/>
          <w:szCs w:val="24"/>
        </w:rPr>
      </w:pPr>
    </w:p>
    <w:p w14:paraId="415CCED8" w14:textId="77777777" w:rsidR="00D15F94" w:rsidRPr="00A00DD4" w:rsidRDefault="00D15F94" w:rsidP="00D15F94">
      <w:pPr>
        <w:spacing w:after="0" w:line="480" w:lineRule="auto"/>
        <w:jc w:val="both"/>
        <w:rPr>
          <w:rFonts w:ascii="Arial" w:hAnsi="Arial" w:cs="Arial"/>
          <w:sz w:val="24"/>
          <w:szCs w:val="24"/>
        </w:rPr>
      </w:pPr>
    </w:p>
    <w:p w14:paraId="20781D98" w14:textId="77777777" w:rsidR="00D15F94" w:rsidRPr="00A00DD4" w:rsidRDefault="00D15F94" w:rsidP="00D15F94">
      <w:pPr>
        <w:spacing w:line="480" w:lineRule="auto"/>
        <w:jc w:val="both"/>
        <w:rPr>
          <w:rFonts w:ascii="Arial" w:hAnsi="Arial" w:cs="Arial"/>
          <w:b/>
          <w:sz w:val="24"/>
          <w:szCs w:val="24"/>
        </w:rPr>
      </w:pPr>
      <w:r w:rsidRPr="00A00DD4">
        <w:rPr>
          <w:rFonts w:ascii="Arial" w:hAnsi="Arial" w:cs="Arial"/>
          <w:b/>
          <w:sz w:val="24"/>
          <w:szCs w:val="24"/>
        </w:rPr>
        <w:t>Assessing the effect of temperature on enzymatic activity in LN-m</w:t>
      </w:r>
    </w:p>
    <w:p w14:paraId="3B1423FD" w14:textId="3DB622F2" w:rsidR="00D15F94" w:rsidRDefault="00D15F94" w:rsidP="00D15F94">
      <w:pPr>
        <w:spacing w:after="0" w:line="480" w:lineRule="auto"/>
        <w:jc w:val="both"/>
        <w:rPr>
          <w:rFonts w:ascii="Arial" w:hAnsi="Arial" w:cs="Arial"/>
          <w:sz w:val="24"/>
          <w:szCs w:val="24"/>
        </w:rPr>
      </w:pPr>
      <w:r w:rsidRPr="00A00DD4">
        <w:rPr>
          <w:rFonts w:ascii="Arial" w:hAnsi="Arial" w:cs="Arial"/>
          <w:sz w:val="24"/>
          <w:szCs w:val="24"/>
        </w:rPr>
        <w:t xml:space="preserve">Regarding the effect of temperature on ligninolytic enzymatic activity (Figure </w:t>
      </w:r>
      <w:r w:rsidR="00D16E50">
        <w:rPr>
          <w:rFonts w:ascii="Arial" w:hAnsi="Arial" w:cs="Arial"/>
          <w:sz w:val="24"/>
          <w:szCs w:val="24"/>
        </w:rPr>
        <w:t>S2</w:t>
      </w:r>
      <w:r w:rsidRPr="00A00DD4">
        <w:rPr>
          <w:rFonts w:ascii="Arial" w:hAnsi="Arial" w:cs="Arial"/>
          <w:sz w:val="24"/>
          <w:szCs w:val="24"/>
        </w:rPr>
        <w:t xml:space="preserve">), the enzyme production appeared to be better in the temperature range of 25±1 °C to 37±1 °C. The enzyme production generally decreased above 37±1 °C and below 28±1 °C. Although the highest </w:t>
      </w:r>
      <w:proofErr w:type="spellStart"/>
      <w:r w:rsidRPr="00A00DD4">
        <w:rPr>
          <w:rFonts w:ascii="Arial" w:hAnsi="Arial" w:cs="Arial"/>
          <w:sz w:val="24"/>
          <w:szCs w:val="24"/>
        </w:rPr>
        <w:t>MnP</w:t>
      </w:r>
      <w:proofErr w:type="spellEnd"/>
      <w:r w:rsidRPr="00A00DD4">
        <w:rPr>
          <w:rFonts w:ascii="Arial" w:hAnsi="Arial" w:cs="Arial"/>
          <w:sz w:val="24"/>
          <w:szCs w:val="24"/>
        </w:rPr>
        <w:t xml:space="preserve"> production was accomplished by </w:t>
      </w:r>
      <w:r w:rsidRPr="00A00DD4">
        <w:rPr>
          <w:rFonts w:ascii="Arial" w:hAnsi="Arial" w:cs="Arial"/>
          <w:i/>
          <w:sz w:val="24"/>
          <w:szCs w:val="24"/>
        </w:rPr>
        <w:t xml:space="preserve">A. </w:t>
      </w:r>
      <w:proofErr w:type="spellStart"/>
      <w:r w:rsidRPr="00A00DD4">
        <w:rPr>
          <w:rFonts w:ascii="Arial" w:hAnsi="Arial" w:cs="Arial"/>
          <w:i/>
          <w:sz w:val="24"/>
          <w:szCs w:val="24"/>
        </w:rPr>
        <w:t>niger</w:t>
      </w:r>
      <w:proofErr w:type="spellEnd"/>
      <w:r w:rsidRPr="00A00DD4">
        <w:rPr>
          <w:rFonts w:ascii="Arial" w:hAnsi="Arial" w:cs="Arial"/>
          <w:i/>
          <w:sz w:val="24"/>
          <w:szCs w:val="24"/>
        </w:rPr>
        <w:t xml:space="preserve"> </w:t>
      </w:r>
      <w:r w:rsidRPr="00A00DD4">
        <w:rPr>
          <w:rFonts w:ascii="Arial" w:hAnsi="Arial" w:cs="Arial"/>
          <w:sz w:val="24"/>
          <w:szCs w:val="24"/>
        </w:rPr>
        <w:t xml:space="preserve">(225.63±8.95 U/L) and the highest </w:t>
      </w:r>
      <w:proofErr w:type="spellStart"/>
      <w:r w:rsidRPr="00A00DD4">
        <w:rPr>
          <w:rFonts w:ascii="Arial" w:hAnsi="Arial" w:cs="Arial"/>
          <w:sz w:val="24"/>
          <w:szCs w:val="24"/>
        </w:rPr>
        <w:t>LiP</w:t>
      </w:r>
      <w:proofErr w:type="spellEnd"/>
      <w:r w:rsidRPr="00A00DD4">
        <w:rPr>
          <w:rFonts w:ascii="Arial" w:hAnsi="Arial" w:cs="Arial"/>
          <w:sz w:val="24"/>
          <w:szCs w:val="24"/>
        </w:rPr>
        <w:t xml:space="preserve"> production was achieved with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 xml:space="preserve">(75.12±1.35 U/L) at 37±1 °C, a temperature of 30±1.5 °C seemed to be the optimum for the three ligninolytic enzyme production with highest Lac produced by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i/>
          <w:sz w:val="24"/>
          <w:szCs w:val="24"/>
        </w:rPr>
        <w:t xml:space="preserve"> </w:t>
      </w:r>
      <w:r w:rsidRPr="00A00DD4">
        <w:rPr>
          <w:rFonts w:ascii="Arial" w:hAnsi="Arial" w:cs="Arial"/>
          <w:sz w:val="24"/>
          <w:szCs w:val="24"/>
        </w:rPr>
        <w:t xml:space="preserve">(199.18±8.15 U/L) and </w:t>
      </w:r>
      <w:proofErr w:type="spellStart"/>
      <w:r w:rsidRPr="00A00DD4">
        <w:rPr>
          <w:rFonts w:ascii="Arial" w:hAnsi="Arial" w:cs="Arial"/>
          <w:sz w:val="24"/>
          <w:szCs w:val="24"/>
        </w:rPr>
        <w:t>MnP</w:t>
      </w:r>
      <w:proofErr w:type="spellEnd"/>
      <w:r w:rsidRPr="00A00DD4">
        <w:rPr>
          <w:rFonts w:ascii="Arial" w:hAnsi="Arial" w:cs="Arial"/>
          <w:sz w:val="24"/>
          <w:szCs w:val="24"/>
        </w:rPr>
        <w:t xml:space="preserve"> and </w:t>
      </w:r>
      <w:proofErr w:type="spellStart"/>
      <w:r w:rsidRPr="00A00DD4">
        <w:rPr>
          <w:rFonts w:ascii="Arial" w:hAnsi="Arial" w:cs="Arial"/>
          <w:sz w:val="24"/>
          <w:szCs w:val="24"/>
        </w:rPr>
        <w:t>LiP</w:t>
      </w:r>
      <w:proofErr w:type="spellEnd"/>
      <w:r w:rsidRPr="00A00DD4">
        <w:rPr>
          <w:rFonts w:ascii="Arial" w:hAnsi="Arial" w:cs="Arial"/>
          <w:sz w:val="24"/>
          <w:szCs w:val="24"/>
        </w:rPr>
        <w:t xml:space="preserve"> found in all fungal cultures. In general, the temperature was found to affect significantly (</w:t>
      </w:r>
      <w:r w:rsidRPr="00A00DD4">
        <w:rPr>
          <w:rFonts w:ascii="Arial" w:hAnsi="Arial" w:cs="Arial"/>
          <w:i/>
          <w:sz w:val="24"/>
          <w:szCs w:val="24"/>
        </w:rPr>
        <w:t>p</w:t>
      </w:r>
      <w:r w:rsidRPr="00A00DD4">
        <w:rPr>
          <w:rFonts w:ascii="Arial" w:hAnsi="Arial" w:cs="Arial"/>
          <w:sz w:val="24"/>
          <w:szCs w:val="24"/>
        </w:rPr>
        <w:t xml:space="preserve"> &lt; 0.05) the ligninolytic enzyme production. Taking into account that, the incubation time was of 5 days for different temperatures (20±1.5 °C, 25±1 °C, 30±1.5 °C, 37±1 °C and 45±1 °C), it appeared that the enzyme production was function of temperature and incubation time. The enzyme half-life might be shorter at higher temperature for the same incubation time, which was a result of lower activity in the medium.</w:t>
      </w:r>
    </w:p>
    <w:p w14:paraId="11A56579" w14:textId="77777777" w:rsidR="00D15F94" w:rsidRPr="00A00DD4" w:rsidRDefault="00D15F94" w:rsidP="00D15F94">
      <w:pPr>
        <w:spacing w:after="0" w:line="480" w:lineRule="auto"/>
        <w:jc w:val="both"/>
        <w:rPr>
          <w:rFonts w:ascii="Arial" w:hAnsi="Arial" w:cs="Arial"/>
          <w:sz w:val="24"/>
          <w:szCs w:val="24"/>
        </w:rPr>
      </w:pPr>
    </w:p>
    <w:p w14:paraId="1132890F" w14:textId="77777777" w:rsidR="00D15F94" w:rsidRPr="00A00DD4" w:rsidRDefault="00D15F94" w:rsidP="00D15F94">
      <w:pPr>
        <w:spacing w:line="480" w:lineRule="auto"/>
        <w:jc w:val="both"/>
        <w:rPr>
          <w:rFonts w:ascii="Arial" w:hAnsi="Arial" w:cs="Arial"/>
          <w:b/>
          <w:sz w:val="24"/>
          <w:szCs w:val="24"/>
        </w:rPr>
      </w:pPr>
      <w:r w:rsidRPr="00A00DD4">
        <w:rPr>
          <w:rFonts w:ascii="Arial" w:hAnsi="Arial" w:cs="Arial"/>
          <w:b/>
          <w:sz w:val="24"/>
          <w:szCs w:val="24"/>
        </w:rPr>
        <w:t>Assessing the effect of incubation time on enzymatic activity in LN-m</w:t>
      </w:r>
    </w:p>
    <w:p w14:paraId="5AC0BD78" w14:textId="72B6EC17" w:rsidR="00D15F94" w:rsidRPr="00A00DD4" w:rsidRDefault="00D15F94" w:rsidP="00D15F94">
      <w:pPr>
        <w:spacing w:after="0" w:line="480" w:lineRule="auto"/>
        <w:jc w:val="both"/>
        <w:rPr>
          <w:rFonts w:ascii="Arial" w:hAnsi="Arial" w:cs="Arial"/>
          <w:sz w:val="24"/>
          <w:szCs w:val="24"/>
        </w:rPr>
      </w:pPr>
      <w:r w:rsidRPr="00A00DD4">
        <w:rPr>
          <w:rFonts w:ascii="Arial" w:hAnsi="Arial" w:cs="Arial"/>
          <w:sz w:val="24"/>
          <w:szCs w:val="24"/>
        </w:rPr>
        <w:t xml:space="preserve">The Figure </w:t>
      </w:r>
      <w:r w:rsidR="00F07A88">
        <w:rPr>
          <w:rFonts w:ascii="Arial" w:hAnsi="Arial" w:cs="Arial"/>
          <w:sz w:val="24"/>
          <w:szCs w:val="24"/>
        </w:rPr>
        <w:t>S3</w:t>
      </w:r>
      <w:r w:rsidRPr="00A00DD4">
        <w:rPr>
          <w:rFonts w:ascii="Arial" w:hAnsi="Arial" w:cs="Arial"/>
          <w:sz w:val="24"/>
          <w:szCs w:val="24"/>
        </w:rPr>
        <w:t xml:space="preserve"> displayed the effect of the incubation time of isolated fungal strains in the production of enzymes. The highest level of </w:t>
      </w:r>
      <w:proofErr w:type="spellStart"/>
      <w:r w:rsidRPr="00A00DD4">
        <w:rPr>
          <w:rFonts w:ascii="Arial" w:hAnsi="Arial" w:cs="Arial"/>
          <w:sz w:val="24"/>
          <w:szCs w:val="24"/>
        </w:rPr>
        <w:t>MnP</w:t>
      </w:r>
      <w:proofErr w:type="spellEnd"/>
      <w:r w:rsidRPr="00A00DD4">
        <w:rPr>
          <w:rFonts w:ascii="Arial" w:hAnsi="Arial" w:cs="Arial"/>
          <w:sz w:val="24"/>
          <w:szCs w:val="24"/>
        </w:rPr>
        <w:t xml:space="preserve"> activity (239.96±6.26 U/L) was achieved </w:t>
      </w:r>
      <w:r w:rsidRPr="00A00DD4">
        <w:rPr>
          <w:rFonts w:ascii="Arial" w:hAnsi="Arial" w:cs="Arial"/>
          <w:sz w:val="24"/>
          <w:szCs w:val="24"/>
        </w:rPr>
        <w:lastRenderedPageBreak/>
        <w:t xml:space="preserve">on day 6 with </w:t>
      </w:r>
      <w:r w:rsidRPr="00A00DD4">
        <w:rPr>
          <w:rFonts w:ascii="Arial" w:hAnsi="Arial" w:cs="Arial"/>
          <w:i/>
          <w:sz w:val="24"/>
          <w:szCs w:val="24"/>
        </w:rPr>
        <w:t xml:space="preserve">A. </w:t>
      </w:r>
      <w:proofErr w:type="spellStart"/>
      <w:r w:rsidRPr="00A00DD4">
        <w:rPr>
          <w:rFonts w:ascii="Arial" w:hAnsi="Arial" w:cs="Arial"/>
          <w:i/>
          <w:sz w:val="24"/>
          <w:szCs w:val="24"/>
        </w:rPr>
        <w:t>niger</w:t>
      </w:r>
      <w:proofErr w:type="spellEnd"/>
      <w:r w:rsidRPr="00A00DD4">
        <w:rPr>
          <w:rFonts w:ascii="Arial" w:hAnsi="Arial" w:cs="Arial"/>
          <w:sz w:val="24"/>
          <w:szCs w:val="24"/>
        </w:rPr>
        <w:t xml:space="preserve">, while for Lac and </w:t>
      </w:r>
      <w:proofErr w:type="spellStart"/>
      <w:r w:rsidRPr="00A00DD4">
        <w:rPr>
          <w:rFonts w:ascii="Arial" w:hAnsi="Arial" w:cs="Arial"/>
          <w:sz w:val="24"/>
          <w:szCs w:val="24"/>
        </w:rPr>
        <w:t>LiP</w:t>
      </w:r>
      <w:proofErr w:type="spellEnd"/>
      <w:r w:rsidRPr="00A00DD4">
        <w:rPr>
          <w:rFonts w:ascii="Arial" w:hAnsi="Arial" w:cs="Arial"/>
          <w:sz w:val="24"/>
          <w:szCs w:val="24"/>
        </w:rPr>
        <w:t xml:space="preserve"> activities the fungal strain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sz w:val="24"/>
          <w:szCs w:val="24"/>
        </w:rPr>
        <w:t xml:space="preserve"> produced a maximum activity of 200.18±8.15 U/L and 65.13±1.01 U/L respectively for 6 days old cultures. However, the Lac activity increased in 12 days old cultures when compared to the 9 days old cultures of </w:t>
      </w:r>
      <w:r w:rsidRPr="00A00DD4">
        <w:rPr>
          <w:rFonts w:ascii="Arial" w:hAnsi="Arial" w:cs="Arial"/>
          <w:i/>
          <w:sz w:val="24"/>
          <w:szCs w:val="24"/>
        </w:rPr>
        <w:t xml:space="preserve">T. </w:t>
      </w:r>
      <w:proofErr w:type="spellStart"/>
      <w:r w:rsidRPr="00A00DD4">
        <w:rPr>
          <w:rFonts w:ascii="Arial" w:hAnsi="Arial" w:cs="Arial"/>
          <w:i/>
          <w:sz w:val="24"/>
          <w:szCs w:val="24"/>
        </w:rPr>
        <w:t>polyzona</w:t>
      </w:r>
      <w:proofErr w:type="spellEnd"/>
      <w:r w:rsidRPr="00A00DD4">
        <w:rPr>
          <w:rFonts w:ascii="Arial" w:hAnsi="Arial" w:cs="Arial"/>
          <w:sz w:val="24"/>
          <w:szCs w:val="24"/>
        </w:rPr>
        <w:t>. The incubation time range from 6 to 12 days was found to give better enzyme production with an optimum on day 6.</w:t>
      </w:r>
    </w:p>
    <w:p w14:paraId="30133ECF" w14:textId="77777777" w:rsidR="001039B8" w:rsidRDefault="001039B8" w:rsidP="001039B8">
      <w:pPr>
        <w:spacing w:after="0" w:line="480" w:lineRule="auto"/>
        <w:jc w:val="center"/>
        <w:rPr>
          <w:rFonts w:ascii="Times New Roman" w:hAnsi="Times New Roman" w:cs="Times New Roman"/>
          <w:b/>
          <w:bCs/>
          <w:sz w:val="28"/>
          <w:szCs w:val="28"/>
        </w:rPr>
      </w:pPr>
    </w:p>
    <w:p w14:paraId="31F01E45" w14:textId="77777777" w:rsidR="001039B8" w:rsidRDefault="001039B8" w:rsidP="001039B8">
      <w:pPr>
        <w:spacing w:after="0" w:line="480" w:lineRule="auto"/>
        <w:jc w:val="center"/>
        <w:rPr>
          <w:rFonts w:ascii="Times New Roman" w:hAnsi="Times New Roman" w:cs="Times New Roman"/>
          <w:b/>
          <w:bCs/>
          <w:sz w:val="28"/>
          <w:szCs w:val="28"/>
        </w:rPr>
      </w:pPr>
    </w:p>
    <w:p w14:paraId="3E1C79FA" w14:textId="77777777" w:rsidR="001039B8" w:rsidRDefault="001039B8" w:rsidP="001039B8">
      <w:pPr>
        <w:spacing w:after="0" w:line="480" w:lineRule="auto"/>
        <w:jc w:val="center"/>
        <w:rPr>
          <w:rFonts w:ascii="Times New Roman" w:hAnsi="Times New Roman" w:cs="Times New Roman"/>
          <w:b/>
          <w:bCs/>
          <w:sz w:val="28"/>
          <w:szCs w:val="28"/>
        </w:rPr>
      </w:pPr>
    </w:p>
    <w:p w14:paraId="0284D286" w14:textId="77777777" w:rsidR="001039B8" w:rsidRDefault="001039B8" w:rsidP="001039B8">
      <w:pPr>
        <w:spacing w:after="0" w:line="480" w:lineRule="auto"/>
        <w:jc w:val="center"/>
        <w:rPr>
          <w:rFonts w:ascii="Times New Roman" w:hAnsi="Times New Roman" w:cs="Times New Roman"/>
          <w:b/>
          <w:bCs/>
          <w:sz w:val="28"/>
          <w:szCs w:val="28"/>
        </w:rPr>
      </w:pPr>
    </w:p>
    <w:p w14:paraId="08D0B34C" w14:textId="77777777" w:rsidR="001039B8" w:rsidRDefault="001039B8" w:rsidP="001039B8">
      <w:pPr>
        <w:spacing w:after="0" w:line="480" w:lineRule="auto"/>
        <w:jc w:val="center"/>
        <w:rPr>
          <w:rFonts w:ascii="Times New Roman" w:hAnsi="Times New Roman" w:cs="Times New Roman"/>
          <w:b/>
          <w:bCs/>
          <w:sz w:val="28"/>
          <w:szCs w:val="28"/>
        </w:rPr>
      </w:pPr>
    </w:p>
    <w:p w14:paraId="15B38758" w14:textId="77777777" w:rsidR="001039B8" w:rsidRDefault="001039B8" w:rsidP="001039B8">
      <w:pPr>
        <w:spacing w:after="0" w:line="480" w:lineRule="auto"/>
        <w:jc w:val="center"/>
        <w:rPr>
          <w:rFonts w:ascii="Times New Roman" w:hAnsi="Times New Roman" w:cs="Times New Roman"/>
          <w:b/>
          <w:bCs/>
          <w:sz w:val="28"/>
          <w:szCs w:val="28"/>
        </w:rPr>
      </w:pPr>
    </w:p>
    <w:p w14:paraId="1B809E70" w14:textId="77777777" w:rsidR="001039B8" w:rsidRDefault="001039B8" w:rsidP="001039B8">
      <w:pPr>
        <w:spacing w:after="0" w:line="480" w:lineRule="auto"/>
        <w:jc w:val="center"/>
        <w:rPr>
          <w:rFonts w:ascii="Times New Roman" w:hAnsi="Times New Roman" w:cs="Times New Roman"/>
          <w:b/>
          <w:bCs/>
          <w:sz w:val="28"/>
          <w:szCs w:val="28"/>
        </w:rPr>
      </w:pPr>
    </w:p>
    <w:p w14:paraId="46DE33E2" w14:textId="77777777" w:rsidR="001039B8" w:rsidRDefault="001039B8" w:rsidP="001039B8">
      <w:pPr>
        <w:spacing w:after="0" w:line="480" w:lineRule="auto"/>
        <w:jc w:val="center"/>
        <w:rPr>
          <w:rFonts w:ascii="Times New Roman" w:hAnsi="Times New Roman" w:cs="Times New Roman"/>
          <w:b/>
          <w:bCs/>
          <w:sz w:val="28"/>
          <w:szCs w:val="28"/>
        </w:rPr>
      </w:pPr>
    </w:p>
    <w:p w14:paraId="26BB5D5F" w14:textId="77777777" w:rsidR="001039B8" w:rsidRDefault="001039B8" w:rsidP="001039B8">
      <w:pPr>
        <w:spacing w:after="0" w:line="480" w:lineRule="auto"/>
        <w:jc w:val="center"/>
        <w:rPr>
          <w:rFonts w:ascii="Times New Roman" w:hAnsi="Times New Roman" w:cs="Times New Roman"/>
          <w:b/>
          <w:bCs/>
          <w:sz w:val="28"/>
          <w:szCs w:val="28"/>
        </w:rPr>
      </w:pPr>
    </w:p>
    <w:p w14:paraId="17930189" w14:textId="77777777" w:rsidR="001039B8" w:rsidRDefault="001039B8" w:rsidP="001039B8">
      <w:pPr>
        <w:spacing w:after="0" w:line="480" w:lineRule="auto"/>
        <w:jc w:val="center"/>
        <w:rPr>
          <w:rFonts w:ascii="Times New Roman" w:hAnsi="Times New Roman" w:cs="Times New Roman"/>
          <w:b/>
          <w:bCs/>
          <w:sz w:val="28"/>
          <w:szCs w:val="28"/>
        </w:rPr>
      </w:pPr>
    </w:p>
    <w:p w14:paraId="307A9EE2" w14:textId="77777777" w:rsidR="001039B8" w:rsidRDefault="001039B8" w:rsidP="001039B8">
      <w:pPr>
        <w:spacing w:after="0" w:line="480" w:lineRule="auto"/>
        <w:jc w:val="center"/>
        <w:rPr>
          <w:rFonts w:ascii="Times New Roman" w:hAnsi="Times New Roman" w:cs="Times New Roman"/>
          <w:b/>
          <w:bCs/>
          <w:sz w:val="28"/>
          <w:szCs w:val="28"/>
        </w:rPr>
      </w:pPr>
    </w:p>
    <w:p w14:paraId="633F7839" w14:textId="77777777" w:rsidR="001039B8" w:rsidRDefault="001039B8" w:rsidP="001039B8">
      <w:pPr>
        <w:spacing w:after="0" w:line="480" w:lineRule="auto"/>
        <w:jc w:val="center"/>
        <w:rPr>
          <w:rFonts w:ascii="Times New Roman" w:hAnsi="Times New Roman" w:cs="Times New Roman"/>
          <w:b/>
          <w:bCs/>
          <w:sz w:val="28"/>
          <w:szCs w:val="28"/>
        </w:rPr>
      </w:pPr>
    </w:p>
    <w:p w14:paraId="6F20D90C" w14:textId="77777777" w:rsidR="001039B8" w:rsidRDefault="001039B8" w:rsidP="001039B8">
      <w:pPr>
        <w:spacing w:after="0" w:line="480" w:lineRule="auto"/>
        <w:jc w:val="center"/>
        <w:rPr>
          <w:rFonts w:ascii="Times New Roman" w:hAnsi="Times New Roman" w:cs="Times New Roman"/>
          <w:b/>
          <w:bCs/>
          <w:sz w:val="28"/>
          <w:szCs w:val="28"/>
        </w:rPr>
      </w:pPr>
    </w:p>
    <w:p w14:paraId="0671499A" w14:textId="77777777" w:rsidR="001039B8" w:rsidRDefault="001039B8" w:rsidP="001039B8">
      <w:pPr>
        <w:spacing w:after="0" w:line="480" w:lineRule="auto"/>
        <w:jc w:val="center"/>
        <w:rPr>
          <w:rFonts w:ascii="Times New Roman" w:hAnsi="Times New Roman" w:cs="Times New Roman"/>
          <w:b/>
          <w:bCs/>
          <w:sz w:val="28"/>
          <w:szCs w:val="28"/>
        </w:rPr>
      </w:pPr>
    </w:p>
    <w:p w14:paraId="7088F0E0" w14:textId="77777777" w:rsidR="001039B8" w:rsidRDefault="001039B8" w:rsidP="001039B8">
      <w:pPr>
        <w:spacing w:after="0" w:line="480" w:lineRule="auto"/>
        <w:jc w:val="center"/>
        <w:rPr>
          <w:rFonts w:ascii="Times New Roman" w:hAnsi="Times New Roman" w:cs="Times New Roman"/>
          <w:b/>
          <w:bCs/>
          <w:sz w:val="28"/>
          <w:szCs w:val="28"/>
        </w:rPr>
      </w:pPr>
    </w:p>
    <w:p w14:paraId="69453CB7" w14:textId="77777777" w:rsidR="001039B8" w:rsidRDefault="001039B8" w:rsidP="001039B8">
      <w:pPr>
        <w:spacing w:after="0" w:line="480" w:lineRule="auto"/>
        <w:jc w:val="center"/>
        <w:rPr>
          <w:rFonts w:ascii="Times New Roman" w:hAnsi="Times New Roman" w:cs="Times New Roman"/>
          <w:b/>
          <w:bCs/>
          <w:sz w:val="28"/>
          <w:szCs w:val="28"/>
        </w:rPr>
      </w:pPr>
    </w:p>
    <w:p w14:paraId="2F318733" w14:textId="508DC180" w:rsidR="00D15F94" w:rsidRDefault="001039B8" w:rsidP="001039B8">
      <w:pPr>
        <w:spacing w:after="0" w:line="480" w:lineRule="auto"/>
        <w:jc w:val="center"/>
        <w:rPr>
          <w:rFonts w:ascii="Times New Roman" w:hAnsi="Times New Roman" w:cs="Times New Roman"/>
          <w:b/>
          <w:bCs/>
          <w:sz w:val="28"/>
          <w:szCs w:val="28"/>
        </w:rPr>
      </w:pPr>
      <w:r w:rsidRPr="001039B8">
        <w:rPr>
          <w:rFonts w:ascii="Times New Roman" w:hAnsi="Times New Roman" w:cs="Times New Roman"/>
          <w:b/>
          <w:bCs/>
          <w:sz w:val="28"/>
          <w:szCs w:val="28"/>
        </w:rPr>
        <w:lastRenderedPageBreak/>
        <w:t>List of figures</w:t>
      </w:r>
    </w:p>
    <w:p w14:paraId="7EC90EAC" w14:textId="77777777" w:rsidR="001039B8" w:rsidRDefault="001039B8" w:rsidP="001039B8">
      <w:pPr>
        <w:spacing w:after="0" w:line="480" w:lineRule="auto"/>
        <w:jc w:val="both"/>
        <w:rPr>
          <w:rFonts w:ascii="Arial" w:hAnsi="Arial" w:cs="Arial"/>
          <w:sz w:val="24"/>
          <w:szCs w:val="24"/>
        </w:rPr>
      </w:pPr>
    </w:p>
    <w:p w14:paraId="0244E66E" w14:textId="77777777" w:rsidR="001039B8" w:rsidRPr="00A00DD4" w:rsidRDefault="001039B8" w:rsidP="001039B8">
      <w:pPr>
        <w:spacing w:after="0" w:line="480" w:lineRule="auto"/>
        <w:jc w:val="center"/>
        <w:rPr>
          <w:rFonts w:ascii="Arial" w:hAnsi="Arial" w:cs="Arial"/>
          <w:sz w:val="24"/>
          <w:szCs w:val="24"/>
        </w:rPr>
      </w:pPr>
      <w:r w:rsidRPr="00A00DD4">
        <w:rPr>
          <w:rFonts w:ascii="Arial" w:hAnsi="Arial" w:cs="Arial"/>
          <w:noProof/>
          <w:sz w:val="24"/>
          <w:szCs w:val="24"/>
          <w:lang w:val="en-ZA" w:eastAsia="en-ZA"/>
        </w:rPr>
        <w:drawing>
          <wp:inline distT="0" distB="0" distL="0" distR="0" wp14:anchorId="41CD51A8" wp14:editId="7CC27A8A">
            <wp:extent cx="5760720" cy="2985328"/>
            <wp:effectExtent l="0" t="0" r="0" b="571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985328"/>
                    </a:xfrm>
                    <a:prstGeom prst="rect">
                      <a:avLst/>
                    </a:prstGeom>
                    <a:noFill/>
                    <a:ln>
                      <a:noFill/>
                    </a:ln>
                  </pic:spPr>
                </pic:pic>
              </a:graphicData>
            </a:graphic>
          </wp:inline>
        </w:drawing>
      </w:r>
    </w:p>
    <w:p w14:paraId="2848CCE0" w14:textId="77777777" w:rsidR="001039B8" w:rsidRPr="00A00DD4" w:rsidRDefault="001039B8" w:rsidP="001039B8">
      <w:pPr>
        <w:pStyle w:val="Caption"/>
        <w:spacing w:after="0" w:line="480" w:lineRule="auto"/>
        <w:jc w:val="center"/>
        <w:rPr>
          <w:rFonts w:ascii="Arial" w:hAnsi="Arial" w:cs="Arial"/>
          <w:i w:val="0"/>
          <w:color w:val="auto"/>
          <w:sz w:val="24"/>
          <w:szCs w:val="24"/>
        </w:rPr>
      </w:pPr>
      <w:bookmarkStart w:id="4" w:name="_Toc536050607"/>
      <w:bookmarkStart w:id="5" w:name="_Hlk536525985"/>
      <w:r w:rsidRPr="00A00DD4">
        <w:rPr>
          <w:rFonts w:ascii="Arial" w:hAnsi="Arial" w:cs="Arial"/>
          <w:b/>
          <w:i w:val="0"/>
          <w:color w:val="auto"/>
          <w:sz w:val="24"/>
          <w:szCs w:val="24"/>
        </w:rPr>
        <w:t xml:space="preserve">Figure </w:t>
      </w:r>
      <w:r>
        <w:rPr>
          <w:rFonts w:ascii="Arial" w:hAnsi="Arial" w:cs="Arial"/>
          <w:b/>
          <w:i w:val="0"/>
          <w:color w:val="auto"/>
          <w:sz w:val="24"/>
          <w:szCs w:val="24"/>
        </w:rPr>
        <w:t>S1</w:t>
      </w:r>
      <w:r w:rsidRPr="00A00DD4">
        <w:rPr>
          <w:rFonts w:ascii="Arial" w:hAnsi="Arial" w:cs="Arial"/>
          <w:b/>
          <w:i w:val="0"/>
          <w:color w:val="auto"/>
          <w:sz w:val="24"/>
          <w:szCs w:val="24"/>
        </w:rPr>
        <w:t>:</w:t>
      </w:r>
      <w:r w:rsidRPr="00A00DD4">
        <w:rPr>
          <w:rFonts w:ascii="Arial" w:hAnsi="Arial" w:cs="Arial"/>
          <w:i w:val="0"/>
          <w:color w:val="auto"/>
          <w:sz w:val="24"/>
          <w:szCs w:val="24"/>
        </w:rPr>
        <w:t xml:space="preserve"> Assessing the pH effect in ligninolytic enzymatic activity assay</w:t>
      </w:r>
      <w:bookmarkEnd w:id="4"/>
    </w:p>
    <w:bookmarkEnd w:id="5"/>
    <w:p w14:paraId="0BE868B9" w14:textId="77777777" w:rsidR="001039B8" w:rsidRPr="00A00DD4" w:rsidRDefault="001039B8" w:rsidP="001039B8">
      <w:pPr>
        <w:spacing w:after="0" w:line="480" w:lineRule="auto"/>
        <w:jc w:val="both"/>
        <w:rPr>
          <w:rFonts w:ascii="Arial" w:hAnsi="Arial" w:cs="Arial"/>
          <w:sz w:val="24"/>
          <w:szCs w:val="24"/>
        </w:rPr>
      </w:pPr>
    </w:p>
    <w:p w14:paraId="6E06464A" w14:textId="77777777" w:rsidR="001039B8" w:rsidRPr="00A00DD4" w:rsidRDefault="001039B8" w:rsidP="001039B8">
      <w:pPr>
        <w:spacing w:after="0" w:line="480" w:lineRule="auto"/>
        <w:jc w:val="center"/>
        <w:rPr>
          <w:rFonts w:ascii="Arial" w:hAnsi="Arial" w:cs="Arial"/>
          <w:sz w:val="24"/>
          <w:szCs w:val="24"/>
        </w:rPr>
      </w:pPr>
      <w:r w:rsidRPr="00A00DD4">
        <w:rPr>
          <w:rFonts w:ascii="Arial" w:hAnsi="Arial" w:cs="Arial"/>
          <w:noProof/>
          <w:sz w:val="24"/>
          <w:szCs w:val="24"/>
          <w:lang w:val="en-ZA" w:eastAsia="en-ZA"/>
        </w:rPr>
        <w:drawing>
          <wp:inline distT="0" distB="0" distL="0" distR="0" wp14:anchorId="4BE3EF2D" wp14:editId="025B72AF">
            <wp:extent cx="5760720" cy="2941928"/>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941928"/>
                    </a:xfrm>
                    <a:prstGeom prst="rect">
                      <a:avLst/>
                    </a:prstGeom>
                    <a:noFill/>
                    <a:ln>
                      <a:noFill/>
                    </a:ln>
                  </pic:spPr>
                </pic:pic>
              </a:graphicData>
            </a:graphic>
          </wp:inline>
        </w:drawing>
      </w:r>
    </w:p>
    <w:p w14:paraId="01C370DC" w14:textId="77777777" w:rsidR="001039B8" w:rsidRPr="00A00DD4" w:rsidRDefault="001039B8" w:rsidP="001039B8">
      <w:pPr>
        <w:pStyle w:val="Caption"/>
        <w:spacing w:after="0" w:line="480" w:lineRule="auto"/>
        <w:jc w:val="both"/>
        <w:rPr>
          <w:rFonts w:ascii="Arial" w:hAnsi="Arial" w:cs="Arial"/>
          <w:i w:val="0"/>
          <w:color w:val="auto"/>
          <w:sz w:val="24"/>
          <w:szCs w:val="24"/>
        </w:rPr>
      </w:pPr>
      <w:bookmarkStart w:id="6" w:name="_Toc536050608"/>
      <w:bookmarkStart w:id="7" w:name="_Hlk536526037"/>
      <w:r w:rsidRPr="00A00DD4">
        <w:rPr>
          <w:rFonts w:ascii="Arial" w:hAnsi="Arial" w:cs="Arial"/>
          <w:b/>
          <w:i w:val="0"/>
          <w:color w:val="auto"/>
          <w:sz w:val="24"/>
          <w:szCs w:val="24"/>
        </w:rPr>
        <w:lastRenderedPageBreak/>
        <w:t xml:space="preserve">Figure </w:t>
      </w:r>
      <w:r>
        <w:rPr>
          <w:rFonts w:ascii="Arial" w:hAnsi="Arial" w:cs="Arial"/>
          <w:b/>
          <w:i w:val="0"/>
          <w:color w:val="auto"/>
          <w:sz w:val="24"/>
          <w:szCs w:val="24"/>
        </w:rPr>
        <w:t>S2</w:t>
      </w:r>
      <w:r w:rsidRPr="00A00DD4">
        <w:rPr>
          <w:rFonts w:ascii="Arial" w:hAnsi="Arial" w:cs="Arial"/>
          <w:b/>
          <w:i w:val="0"/>
          <w:color w:val="auto"/>
          <w:sz w:val="24"/>
          <w:szCs w:val="24"/>
        </w:rPr>
        <w:t>:</w:t>
      </w:r>
      <w:r w:rsidRPr="00A00DD4">
        <w:rPr>
          <w:rFonts w:ascii="Arial" w:hAnsi="Arial" w:cs="Arial"/>
          <w:i w:val="0"/>
          <w:color w:val="auto"/>
          <w:sz w:val="24"/>
          <w:szCs w:val="24"/>
        </w:rPr>
        <w:t xml:space="preserve"> Evaluation of incubation temperature effect in ligninolytic enzymatic activity assay</w:t>
      </w:r>
      <w:bookmarkEnd w:id="6"/>
    </w:p>
    <w:bookmarkEnd w:id="7"/>
    <w:p w14:paraId="6FCF4CFA" w14:textId="77777777" w:rsidR="001039B8" w:rsidRPr="001039B8" w:rsidRDefault="001039B8" w:rsidP="001039B8">
      <w:pPr>
        <w:spacing w:after="0" w:line="480" w:lineRule="auto"/>
        <w:rPr>
          <w:rFonts w:ascii="Times New Roman" w:hAnsi="Times New Roman" w:cs="Times New Roman"/>
          <w:b/>
          <w:bCs/>
          <w:sz w:val="24"/>
          <w:szCs w:val="24"/>
        </w:rPr>
      </w:pPr>
    </w:p>
    <w:p w14:paraId="1A1C8ADE" w14:textId="77777777" w:rsidR="00D15F94" w:rsidRPr="00A00DD4" w:rsidRDefault="00D15F94" w:rsidP="00D15F94">
      <w:pPr>
        <w:spacing w:after="0" w:line="480" w:lineRule="auto"/>
        <w:jc w:val="center"/>
        <w:rPr>
          <w:rFonts w:ascii="Times New Roman" w:hAnsi="Times New Roman" w:cs="Times New Roman"/>
        </w:rPr>
      </w:pPr>
      <w:r w:rsidRPr="00A00DD4">
        <w:rPr>
          <w:rFonts w:ascii="Times New Roman" w:hAnsi="Times New Roman" w:cs="Times New Roman"/>
          <w:noProof/>
          <w:lang w:val="en-ZA" w:eastAsia="en-ZA"/>
        </w:rPr>
        <w:drawing>
          <wp:inline distT="0" distB="0" distL="0" distR="0" wp14:anchorId="4BADD584" wp14:editId="66E4F694">
            <wp:extent cx="5755640" cy="297370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640" cy="2973705"/>
                    </a:xfrm>
                    <a:prstGeom prst="rect">
                      <a:avLst/>
                    </a:prstGeom>
                    <a:noFill/>
                    <a:ln>
                      <a:noFill/>
                    </a:ln>
                  </pic:spPr>
                </pic:pic>
              </a:graphicData>
            </a:graphic>
          </wp:inline>
        </w:drawing>
      </w:r>
    </w:p>
    <w:p w14:paraId="54082A3C" w14:textId="444C9E7D" w:rsidR="00D15F94" w:rsidRPr="00A00DD4" w:rsidRDefault="00D15F94" w:rsidP="00D15F94">
      <w:pPr>
        <w:pStyle w:val="Caption"/>
        <w:spacing w:after="0" w:line="480" w:lineRule="auto"/>
        <w:jc w:val="center"/>
        <w:rPr>
          <w:rFonts w:ascii="Arial" w:hAnsi="Arial" w:cs="Arial"/>
          <w:i w:val="0"/>
          <w:color w:val="auto"/>
          <w:sz w:val="24"/>
          <w:szCs w:val="24"/>
        </w:rPr>
      </w:pPr>
      <w:bookmarkStart w:id="8" w:name="_Toc536050609"/>
      <w:bookmarkStart w:id="9" w:name="_Hlk536526071"/>
      <w:r w:rsidRPr="00A00DD4">
        <w:rPr>
          <w:rFonts w:ascii="Arial" w:hAnsi="Arial" w:cs="Arial"/>
          <w:b/>
          <w:i w:val="0"/>
          <w:color w:val="auto"/>
          <w:sz w:val="24"/>
          <w:szCs w:val="24"/>
        </w:rPr>
        <w:t xml:space="preserve">Figure </w:t>
      </w:r>
      <w:r w:rsidR="00F07A88">
        <w:rPr>
          <w:rFonts w:ascii="Arial" w:hAnsi="Arial" w:cs="Arial"/>
          <w:b/>
          <w:i w:val="0"/>
          <w:color w:val="auto"/>
          <w:sz w:val="24"/>
          <w:szCs w:val="24"/>
        </w:rPr>
        <w:t>S3</w:t>
      </w:r>
      <w:r w:rsidRPr="00A00DD4">
        <w:rPr>
          <w:rFonts w:ascii="Arial" w:hAnsi="Arial" w:cs="Arial"/>
          <w:b/>
          <w:i w:val="0"/>
          <w:color w:val="auto"/>
          <w:sz w:val="24"/>
          <w:szCs w:val="24"/>
        </w:rPr>
        <w:t>:</w:t>
      </w:r>
      <w:r w:rsidRPr="00A00DD4">
        <w:rPr>
          <w:rFonts w:ascii="Arial" w:hAnsi="Arial" w:cs="Arial"/>
          <w:i w:val="0"/>
          <w:color w:val="auto"/>
          <w:sz w:val="24"/>
          <w:szCs w:val="24"/>
        </w:rPr>
        <w:t xml:space="preserve"> Effect of incubation time in ligninolytic enzymatic activity assay</w:t>
      </w:r>
      <w:bookmarkEnd w:id="8"/>
    </w:p>
    <w:bookmarkEnd w:id="9"/>
    <w:p w14:paraId="6AD6BCFE" w14:textId="2581ABB9" w:rsidR="0047163D" w:rsidRDefault="0047163D"/>
    <w:p w14:paraId="0D7F53D3" w14:textId="77777777" w:rsidR="003873B0" w:rsidRPr="00F36F96" w:rsidRDefault="003873B0" w:rsidP="003873B0">
      <w:pPr>
        <w:pStyle w:val="MDPI52figure"/>
      </w:pPr>
      <w:r w:rsidRPr="007913F2">
        <w:rPr>
          <w:noProof/>
          <w:snapToGrid/>
        </w:rPr>
        <w:drawing>
          <wp:inline distT="0" distB="0" distL="0" distR="0" wp14:anchorId="12BC6E01" wp14:editId="61D4C4D3">
            <wp:extent cx="4941570" cy="2616835"/>
            <wp:effectExtent l="0" t="0" r="0" b="0"/>
            <wp:docPr id="583" name="Picture 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1570" cy="2616835"/>
                    </a:xfrm>
                    <a:prstGeom prst="rect">
                      <a:avLst/>
                    </a:prstGeom>
                    <a:noFill/>
                    <a:ln>
                      <a:noFill/>
                    </a:ln>
                  </pic:spPr>
                </pic:pic>
              </a:graphicData>
            </a:graphic>
          </wp:inline>
        </w:drawing>
      </w:r>
    </w:p>
    <w:p w14:paraId="68BF6CC3" w14:textId="19812256" w:rsidR="003873B0" w:rsidRDefault="003873B0" w:rsidP="003873B0">
      <w:pPr>
        <w:pStyle w:val="MDPI51figurecaption"/>
        <w:ind w:left="0" w:right="425"/>
        <w:jc w:val="center"/>
        <w:rPr>
          <w:rFonts w:ascii="Times New Roman" w:hAnsi="Times New Roman"/>
          <w:sz w:val="24"/>
          <w:szCs w:val="24"/>
        </w:rPr>
      </w:pPr>
      <w:r w:rsidRPr="009A74F7">
        <w:rPr>
          <w:rFonts w:ascii="Times New Roman" w:hAnsi="Times New Roman"/>
          <w:b/>
          <w:bCs/>
          <w:sz w:val="24"/>
          <w:szCs w:val="24"/>
        </w:rPr>
        <w:t xml:space="preserve">Figure </w:t>
      </w:r>
      <w:r w:rsidR="00F07A88" w:rsidRPr="009A74F7">
        <w:rPr>
          <w:rFonts w:ascii="Times New Roman" w:hAnsi="Times New Roman"/>
          <w:b/>
          <w:bCs/>
          <w:sz w:val="24"/>
          <w:szCs w:val="24"/>
        </w:rPr>
        <w:t>S4</w:t>
      </w:r>
      <w:r w:rsidRPr="009A74F7">
        <w:rPr>
          <w:rFonts w:ascii="Times New Roman" w:hAnsi="Times New Roman"/>
          <w:b/>
          <w:bCs/>
          <w:sz w:val="24"/>
          <w:szCs w:val="24"/>
        </w:rPr>
        <w:t xml:space="preserve">. </w:t>
      </w:r>
      <w:r w:rsidRPr="009A74F7">
        <w:rPr>
          <w:rFonts w:ascii="Times New Roman" w:hAnsi="Times New Roman"/>
          <w:sz w:val="24"/>
          <w:szCs w:val="24"/>
        </w:rPr>
        <w:t>Adjusted pH of aerated flasks throughout the experimental study.</w:t>
      </w:r>
    </w:p>
    <w:p w14:paraId="0A0F0421" w14:textId="7D1E1304" w:rsidR="001039B8" w:rsidRDefault="001039B8" w:rsidP="003873B0">
      <w:pPr>
        <w:pStyle w:val="MDPI51figurecaption"/>
        <w:ind w:left="0" w:right="425"/>
        <w:jc w:val="center"/>
        <w:rPr>
          <w:rFonts w:ascii="Times New Roman" w:hAnsi="Times New Roman"/>
          <w:sz w:val="24"/>
          <w:szCs w:val="24"/>
        </w:rPr>
      </w:pPr>
    </w:p>
    <w:p w14:paraId="67BC5230" w14:textId="77777777" w:rsidR="005C37B9" w:rsidRPr="008E6770" w:rsidRDefault="005C37B9" w:rsidP="005C37B9">
      <w:pPr>
        <w:pStyle w:val="MDPI31text"/>
        <w:ind w:left="0" w:firstLine="0"/>
        <w:rPr>
          <w:lang w:val="en-GB"/>
        </w:rPr>
      </w:pPr>
      <w:r w:rsidRPr="008E6770">
        <w:rPr>
          <w:noProof/>
          <w:lang w:val="en-ZA"/>
        </w:rPr>
        <w:lastRenderedPageBreak/>
        <w:drawing>
          <wp:inline distT="0" distB="0" distL="0" distR="0" wp14:anchorId="36B53693" wp14:editId="60FB7AAB">
            <wp:extent cx="5763260" cy="3112135"/>
            <wp:effectExtent l="0" t="0" r="889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260" cy="3112135"/>
                    </a:xfrm>
                    <a:prstGeom prst="rect">
                      <a:avLst/>
                    </a:prstGeom>
                    <a:noFill/>
                    <a:ln>
                      <a:noFill/>
                    </a:ln>
                  </pic:spPr>
                </pic:pic>
              </a:graphicData>
            </a:graphic>
          </wp:inline>
        </w:drawing>
      </w:r>
    </w:p>
    <w:p w14:paraId="3EA9EBD5" w14:textId="77777777" w:rsidR="005C37B9" w:rsidRPr="008E6770" w:rsidRDefault="005C37B9" w:rsidP="005C37B9">
      <w:pPr>
        <w:pStyle w:val="MDPI31text"/>
        <w:rPr>
          <w:lang w:val="en-GB"/>
        </w:rPr>
      </w:pPr>
    </w:p>
    <w:p w14:paraId="17C90F8A" w14:textId="77777777" w:rsidR="005C37B9" w:rsidRPr="008E6770" w:rsidRDefault="005C37B9" w:rsidP="005C37B9">
      <w:pPr>
        <w:pStyle w:val="MDPI31text"/>
        <w:ind w:left="0" w:firstLine="0"/>
        <w:rPr>
          <w:lang w:val="en-GB"/>
        </w:rPr>
      </w:pPr>
      <w:r w:rsidRPr="008E6770">
        <w:rPr>
          <w:noProof/>
          <w:lang w:val="en-ZA"/>
        </w:rPr>
        <w:drawing>
          <wp:inline distT="0" distB="0" distL="0" distR="0" wp14:anchorId="2A9DE716" wp14:editId="06B6FF3A">
            <wp:extent cx="5755640" cy="2766060"/>
            <wp:effectExtent l="0" t="0" r="5080"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640" cy="2766060"/>
                    </a:xfrm>
                    <a:prstGeom prst="rect">
                      <a:avLst/>
                    </a:prstGeom>
                    <a:noFill/>
                    <a:ln>
                      <a:noFill/>
                    </a:ln>
                  </pic:spPr>
                </pic:pic>
              </a:graphicData>
            </a:graphic>
          </wp:inline>
        </w:drawing>
      </w:r>
    </w:p>
    <w:p w14:paraId="1765EDB6" w14:textId="77777777" w:rsidR="005C37B9" w:rsidRPr="008E6770" w:rsidRDefault="005C37B9" w:rsidP="005C37B9">
      <w:pPr>
        <w:pStyle w:val="MDPI31text"/>
        <w:rPr>
          <w:lang w:val="en-GB"/>
        </w:rPr>
      </w:pPr>
    </w:p>
    <w:p w14:paraId="3C5D2B05" w14:textId="77777777" w:rsidR="005C37B9" w:rsidRPr="008E6770" w:rsidRDefault="005C37B9" w:rsidP="005C37B9">
      <w:pPr>
        <w:pStyle w:val="MDPI31text"/>
        <w:ind w:left="0" w:firstLine="0"/>
        <w:rPr>
          <w:lang w:val="en-GB"/>
        </w:rPr>
      </w:pPr>
      <w:r w:rsidRPr="008E6770">
        <w:rPr>
          <w:noProof/>
          <w:lang w:val="en-ZA"/>
        </w:rPr>
        <w:lastRenderedPageBreak/>
        <w:drawing>
          <wp:inline distT="0" distB="0" distL="0" distR="0" wp14:anchorId="356A0B71" wp14:editId="4045D0CE">
            <wp:extent cx="5753100" cy="3019425"/>
            <wp:effectExtent l="0" t="0" r="0" b="9525"/>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019425"/>
                    </a:xfrm>
                    <a:prstGeom prst="rect">
                      <a:avLst/>
                    </a:prstGeom>
                    <a:noFill/>
                    <a:ln>
                      <a:noFill/>
                    </a:ln>
                  </pic:spPr>
                </pic:pic>
              </a:graphicData>
            </a:graphic>
          </wp:inline>
        </w:drawing>
      </w:r>
    </w:p>
    <w:p w14:paraId="5D4838BB" w14:textId="5A3E2A16" w:rsidR="005C37B9" w:rsidRPr="008E6770" w:rsidRDefault="005C37B9" w:rsidP="005C37B9">
      <w:pPr>
        <w:pStyle w:val="MDPI31text"/>
        <w:ind w:left="0" w:firstLine="0"/>
        <w:rPr>
          <w:iCs/>
          <w:lang w:val="en-GB"/>
        </w:rPr>
      </w:pPr>
      <w:bookmarkStart w:id="10" w:name="_Toc536050610"/>
      <w:bookmarkStart w:id="11" w:name="_Hlk536526112"/>
      <w:r w:rsidRPr="008E6770">
        <w:rPr>
          <w:b/>
          <w:iCs/>
          <w:lang w:val="en-GB"/>
        </w:rPr>
        <w:t xml:space="preserve">Figure </w:t>
      </w:r>
      <w:r>
        <w:rPr>
          <w:b/>
          <w:iCs/>
          <w:lang w:val="en-GB"/>
        </w:rPr>
        <w:t>S5</w:t>
      </w:r>
      <w:r>
        <w:rPr>
          <w:b/>
          <w:iCs/>
          <w:lang w:val="en-GB"/>
        </w:rPr>
        <w:t>.</w:t>
      </w:r>
      <w:r w:rsidRPr="008E6770">
        <w:rPr>
          <w:iCs/>
          <w:lang w:val="en-GB"/>
        </w:rPr>
        <w:t xml:space="preserve"> Selected UPLC</w:t>
      </w:r>
      <w:proofErr w:type="gramStart"/>
      <w:r w:rsidRPr="008E6770">
        <w:rPr>
          <w:iCs/>
          <w:lang w:val="en-GB"/>
        </w:rPr>
        <w:t>-(</w:t>
      </w:r>
      <w:proofErr w:type="gramEnd"/>
      <w:r w:rsidRPr="008E6770">
        <w:rPr>
          <w:iCs/>
          <w:lang w:val="en-GB"/>
        </w:rPr>
        <w:t>+)-ESI-</w:t>
      </w:r>
      <w:proofErr w:type="spellStart"/>
      <w:r w:rsidRPr="008E6770">
        <w:rPr>
          <w:iCs/>
          <w:lang w:val="en-GB"/>
        </w:rPr>
        <w:t>QToF</w:t>
      </w:r>
      <w:proofErr w:type="spellEnd"/>
      <w:r w:rsidRPr="008E6770">
        <w:rPr>
          <w:iCs/>
          <w:lang w:val="en-GB"/>
        </w:rPr>
        <w:t>-MS chromatograms and production spectrum of (A): CBZ, (B): DCF and (C): IBP</w:t>
      </w:r>
      <w:bookmarkEnd w:id="10"/>
    </w:p>
    <w:bookmarkEnd w:id="11"/>
    <w:p w14:paraId="292F2F56" w14:textId="77777777" w:rsidR="00A801E8" w:rsidRPr="008E6770" w:rsidRDefault="00A801E8" w:rsidP="00A801E8">
      <w:pPr>
        <w:pStyle w:val="MDPI31text"/>
        <w:ind w:left="0" w:firstLine="510"/>
        <w:rPr>
          <w:lang w:val="en-GB"/>
        </w:rPr>
      </w:pPr>
    </w:p>
    <w:p w14:paraId="1237CA04" w14:textId="77777777" w:rsidR="00A801E8" w:rsidRPr="008E6770" w:rsidRDefault="00A801E8" w:rsidP="00A801E8">
      <w:pPr>
        <w:pStyle w:val="MDPI31text"/>
        <w:ind w:left="0" w:firstLine="0"/>
        <w:jc w:val="left"/>
        <w:rPr>
          <w:lang w:val="en-GB"/>
        </w:rPr>
      </w:pPr>
      <w:r w:rsidRPr="008D5A87">
        <w:rPr>
          <w:noProof/>
          <w:lang w:val="en-GB"/>
        </w:rPr>
        <w:drawing>
          <wp:inline distT="0" distB="0" distL="0" distR="0" wp14:anchorId="1CA9ED39" wp14:editId="3DFE5396">
            <wp:extent cx="5628281" cy="3807426"/>
            <wp:effectExtent l="0" t="0" r="0" b="317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576" t="8107" r="33491" b="31839"/>
                    <a:stretch/>
                  </pic:blipFill>
                  <pic:spPr bwMode="auto">
                    <a:xfrm>
                      <a:off x="0" y="0"/>
                      <a:ext cx="5640246" cy="3815520"/>
                    </a:xfrm>
                    <a:prstGeom prst="rect">
                      <a:avLst/>
                    </a:prstGeom>
                    <a:ln>
                      <a:noFill/>
                    </a:ln>
                    <a:extLst>
                      <a:ext uri="{53640926-AAD7-44D8-BBD7-CCE9431645EC}">
                        <a14:shadowObscured xmlns:a14="http://schemas.microsoft.com/office/drawing/2010/main"/>
                      </a:ext>
                    </a:extLst>
                  </pic:spPr>
                </pic:pic>
              </a:graphicData>
            </a:graphic>
          </wp:inline>
        </w:drawing>
      </w:r>
    </w:p>
    <w:p w14:paraId="014DB1C8" w14:textId="147B1523" w:rsidR="00A801E8" w:rsidRPr="008E6770" w:rsidRDefault="00A801E8" w:rsidP="00A801E8">
      <w:pPr>
        <w:pStyle w:val="MDPI31text"/>
        <w:rPr>
          <w:iCs/>
          <w:lang w:val="en-GB"/>
        </w:rPr>
      </w:pPr>
      <w:bookmarkStart w:id="12" w:name="_Toc536050612"/>
      <w:bookmarkStart w:id="13" w:name="_Hlk536526179"/>
      <w:r w:rsidRPr="008E6770">
        <w:rPr>
          <w:b/>
          <w:iCs/>
          <w:lang w:val="en-GB"/>
        </w:rPr>
        <w:t xml:space="preserve">Figure </w:t>
      </w:r>
      <w:r>
        <w:rPr>
          <w:b/>
          <w:iCs/>
          <w:lang w:val="en-GB"/>
        </w:rPr>
        <w:t>S</w:t>
      </w:r>
      <w:r>
        <w:rPr>
          <w:b/>
          <w:iCs/>
          <w:lang w:val="en-GB"/>
        </w:rPr>
        <w:t>6.</w:t>
      </w:r>
      <w:r w:rsidRPr="008E6770">
        <w:rPr>
          <w:iCs/>
          <w:lang w:val="en-GB"/>
        </w:rPr>
        <w:t xml:space="preserve"> </w:t>
      </w:r>
      <w:proofErr w:type="spellStart"/>
      <w:r w:rsidRPr="008E6770">
        <w:rPr>
          <w:iCs/>
          <w:lang w:val="en-GB"/>
        </w:rPr>
        <w:t>PhC</w:t>
      </w:r>
      <w:proofErr w:type="spellEnd"/>
      <w:r w:rsidRPr="008E6770">
        <w:rPr>
          <w:iCs/>
          <w:lang w:val="en-GB"/>
        </w:rPr>
        <w:t xml:space="preserve"> calibration curves (CBZ, DCF and IBP)</w:t>
      </w:r>
      <w:bookmarkEnd w:id="12"/>
    </w:p>
    <w:bookmarkEnd w:id="13"/>
    <w:p w14:paraId="5137E0EA" w14:textId="77777777" w:rsidR="005C37B9" w:rsidRDefault="005C37B9" w:rsidP="003873B0">
      <w:pPr>
        <w:pStyle w:val="MDPI51figurecaption"/>
        <w:ind w:left="0" w:right="425"/>
        <w:jc w:val="center"/>
        <w:rPr>
          <w:rFonts w:ascii="Times New Roman" w:hAnsi="Times New Roman"/>
          <w:b/>
          <w:bCs/>
          <w:sz w:val="28"/>
          <w:szCs w:val="28"/>
        </w:rPr>
      </w:pPr>
    </w:p>
    <w:p w14:paraId="05CC8707" w14:textId="4BE5FD6B" w:rsidR="001039B8" w:rsidRPr="001039B8" w:rsidRDefault="001039B8" w:rsidP="003873B0">
      <w:pPr>
        <w:pStyle w:val="MDPI51figurecaption"/>
        <w:ind w:left="0" w:right="425"/>
        <w:jc w:val="center"/>
        <w:rPr>
          <w:rFonts w:ascii="Times New Roman" w:hAnsi="Times New Roman"/>
          <w:b/>
          <w:bCs/>
          <w:sz w:val="28"/>
          <w:szCs w:val="28"/>
        </w:rPr>
      </w:pPr>
      <w:r w:rsidRPr="001039B8">
        <w:rPr>
          <w:rFonts w:ascii="Times New Roman" w:hAnsi="Times New Roman"/>
          <w:b/>
          <w:bCs/>
          <w:sz w:val="28"/>
          <w:szCs w:val="28"/>
        </w:rPr>
        <w:t>List of Tables</w:t>
      </w:r>
    </w:p>
    <w:p w14:paraId="5FD1CAA5" w14:textId="77777777" w:rsidR="001039B8" w:rsidRPr="00A00DD4" w:rsidRDefault="001039B8" w:rsidP="001039B8">
      <w:pPr>
        <w:spacing w:after="0" w:line="480" w:lineRule="auto"/>
        <w:jc w:val="both"/>
        <w:rPr>
          <w:rFonts w:ascii="Arial" w:hAnsi="Arial" w:cs="Arial"/>
          <w:sz w:val="24"/>
          <w:szCs w:val="24"/>
        </w:rPr>
      </w:pPr>
    </w:p>
    <w:p w14:paraId="0E58152E" w14:textId="77777777" w:rsidR="001039B8" w:rsidRPr="00A00DD4" w:rsidRDefault="001039B8" w:rsidP="001039B8">
      <w:pPr>
        <w:pStyle w:val="Caption"/>
        <w:spacing w:after="0" w:line="480" w:lineRule="auto"/>
        <w:jc w:val="center"/>
        <w:rPr>
          <w:rFonts w:ascii="Arial" w:hAnsi="Arial" w:cs="Arial"/>
          <w:i w:val="0"/>
          <w:color w:val="auto"/>
          <w:sz w:val="24"/>
          <w:szCs w:val="24"/>
        </w:rPr>
      </w:pPr>
      <w:bookmarkStart w:id="14" w:name="_Toc536050348"/>
      <w:bookmarkStart w:id="15" w:name="_Hlk536525936"/>
      <w:r w:rsidRPr="00A00DD4">
        <w:rPr>
          <w:rFonts w:ascii="Arial" w:hAnsi="Arial" w:cs="Arial"/>
          <w:b/>
          <w:i w:val="0"/>
          <w:color w:val="auto"/>
          <w:sz w:val="24"/>
          <w:szCs w:val="24"/>
        </w:rPr>
        <w:t xml:space="preserve">Table </w:t>
      </w:r>
      <w:r>
        <w:rPr>
          <w:rFonts w:ascii="Arial" w:hAnsi="Arial" w:cs="Arial"/>
          <w:b/>
          <w:i w:val="0"/>
          <w:color w:val="auto"/>
          <w:sz w:val="24"/>
          <w:szCs w:val="24"/>
        </w:rPr>
        <w:t>S1</w:t>
      </w:r>
      <w:r>
        <w:rPr>
          <w:rFonts w:ascii="Arial" w:hAnsi="Arial" w:cs="Arial"/>
          <w:i w:val="0"/>
          <w:color w:val="auto"/>
          <w:sz w:val="24"/>
          <w:szCs w:val="24"/>
        </w:rPr>
        <w:t>.</w:t>
      </w:r>
      <w:r w:rsidRPr="00A00DD4">
        <w:rPr>
          <w:rFonts w:ascii="Arial" w:hAnsi="Arial" w:cs="Arial"/>
          <w:i w:val="0"/>
          <w:color w:val="auto"/>
          <w:sz w:val="24"/>
          <w:szCs w:val="24"/>
        </w:rPr>
        <w:t xml:space="preserve"> The fungal enzymatic activity essay in solid medium</w:t>
      </w:r>
      <w:bookmarkEnd w:id="14"/>
    </w:p>
    <w:tbl>
      <w:tblPr>
        <w:tblStyle w:val="Grilledutableau7"/>
        <w:tblW w:w="0" w:type="auto"/>
        <w:jc w:val="center"/>
        <w:tblLayout w:type="fixed"/>
        <w:tblLook w:val="04A0" w:firstRow="1" w:lastRow="0" w:firstColumn="1" w:lastColumn="0" w:noHBand="0" w:noVBand="1"/>
      </w:tblPr>
      <w:tblGrid>
        <w:gridCol w:w="858"/>
        <w:gridCol w:w="1701"/>
        <w:gridCol w:w="1170"/>
        <w:gridCol w:w="1240"/>
        <w:gridCol w:w="1170"/>
      </w:tblGrid>
      <w:tr w:rsidR="001039B8" w:rsidRPr="00A00DD4" w14:paraId="72AAF576" w14:textId="77777777" w:rsidTr="00B54CBE">
        <w:trPr>
          <w:jc w:val="center"/>
        </w:trPr>
        <w:tc>
          <w:tcPr>
            <w:tcW w:w="858" w:type="dxa"/>
            <w:vMerge w:val="restart"/>
            <w:vAlign w:val="center"/>
          </w:tcPr>
          <w:bookmarkEnd w:id="15"/>
          <w:p w14:paraId="64313523"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ID</w:t>
            </w:r>
          </w:p>
          <w:p w14:paraId="4ED07F18"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Number</w:t>
            </w:r>
          </w:p>
        </w:tc>
        <w:tc>
          <w:tcPr>
            <w:tcW w:w="1701" w:type="dxa"/>
          </w:tcPr>
          <w:p w14:paraId="2FA88D78" w14:textId="77777777" w:rsidR="001039B8" w:rsidRPr="00A00DD4" w:rsidRDefault="001039B8" w:rsidP="00B54CBE">
            <w:pPr>
              <w:jc w:val="both"/>
              <w:rPr>
                <w:rFonts w:ascii="Arial" w:hAnsi="Arial" w:cs="Arial"/>
                <w:sz w:val="18"/>
                <w:szCs w:val="18"/>
              </w:rPr>
            </w:pPr>
            <w:r w:rsidRPr="00A00DD4">
              <w:rPr>
                <w:rFonts w:ascii="Arial" w:hAnsi="Arial" w:cs="Arial"/>
                <w:sz w:val="18"/>
                <w:szCs w:val="18"/>
              </w:rPr>
              <w:t>Reagents</w:t>
            </w:r>
          </w:p>
        </w:tc>
        <w:tc>
          <w:tcPr>
            <w:tcW w:w="1170" w:type="dxa"/>
          </w:tcPr>
          <w:p w14:paraId="7047EE96"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ABTS</w:t>
            </w:r>
          </w:p>
        </w:tc>
        <w:tc>
          <w:tcPr>
            <w:tcW w:w="1240" w:type="dxa"/>
          </w:tcPr>
          <w:p w14:paraId="1298E0F6"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VA</w:t>
            </w:r>
          </w:p>
        </w:tc>
        <w:tc>
          <w:tcPr>
            <w:tcW w:w="1170" w:type="dxa"/>
          </w:tcPr>
          <w:p w14:paraId="0DFB0993"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2,6-DMP</w:t>
            </w:r>
          </w:p>
        </w:tc>
      </w:tr>
      <w:tr w:rsidR="001039B8" w:rsidRPr="00A00DD4" w14:paraId="3CAE571E" w14:textId="77777777" w:rsidTr="00B54CBE">
        <w:trPr>
          <w:jc w:val="center"/>
        </w:trPr>
        <w:tc>
          <w:tcPr>
            <w:tcW w:w="858" w:type="dxa"/>
            <w:vMerge/>
          </w:tcPr>
          <w:p w14:paraId="23979E63" w14:textId="77777777" w:rsidR="001039B8" w:rsidRPr="00A00DD4" w:rsidRDefault="001039B8" w:rsidP="00B54CBE">
            <w:pPr>
              <w:jc w:val="both"/>
              <w:rPr>
                <w:rFonts w:ascii="Arial" w:hAnsi="Arial" w:cs="Arial"/>
                <w:sz w:val="18"/>
                <w:szCs w:val="18"/>
              </w:rPr>
            </w:pPr>
          </w:p>
        </w:tc>
        <w:tc>
          <w:tcPr>
            <w:tcW w:w="1701" w:type="dxa"/>
          </w:tcPr>
          <w:p w14:paraId="0AA412CF" w14:textId="77777777" w:rsidR="001039B8" w:rsidRPr="00A00DD4" w:rsidRDefault="001039B8" w:rsidP="00B54CBE">
            <w:pPr>
              <w:jc w:val="both"/>
              <w:rPr>
                <w:rFonts w:ascii="Arial" w:hAnsi="Arial" w:cs="Arial"/>
                <w:sz w:val="18"/>
                <w:szCs w:val="18"/>
              </w:rPr>
            </w:pPr>
            <w:r w:rsidRPr="00A00DD4">
              <w:rPr>
                <w:rFonts w:ascii="Arial" w:hAnsi="Arial" w:cs="Arial"/>
                <w:sz w:val="18"/>
                <w:szCs w:val="18"/>
              </w:rPr>
              <w:t>Targeted enzyme</w:t>
            </w:r>
          </w:p>
        </w:tc>
        <w:tc>
          <w:tcPr>
            <w:tcW w:w="1170" w:type="dxa"/>
          </w:tcPr>
          <w:p w14:paraId="537256AE"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Lac</w:t>
            </w:r>
          </w:p>
        </w:tc>
        <w:tc>
          <w:tcPr>
            <w:tcW w:w="1240" w:type="dxa"/>
          </w:tcPr>
          <w:p w14:paraId="647435FD" w14:textId="77777777" w:rsidR="001039B8" w:rsidRPr="00A00DD4" w:rsidRDefault="001039B8" w:rsidP="00B54CBE">
            <w:pPr>
              <w:jc w:val="center"/>
              <w:rPr>
                <w:rFonts w:ascii="Arial" w:hAnsi="Arial" w:cs="Arial"/>
                <w:sz w:val="18"/>
                <w:szCs w:val="18"/>
              </w:rPr>
            </w:pPr>
            <w:proofErr w:type="spellStart"/>
            <w:r w:rsidRPr="00A00DD4">
              <w:rPr>
                <w:rFonts w:ascii="Arial" w:hAnsi="Arial" w:cs="Arial"/>
                <w:sz w:val="18"/>
                <w:szCs w:val="18"/>
              </w:rPr>
              <w:t>LiP</w:t>
            </w:r>
            <w:proofErr w:type="spellEnd"/>
          </w:p>
        </w:tc>
        <w:tc>
          <w:tcPr>
            <w:tcW w:w="1170" w:type="dxa"/>
          </w:tcPr>
          <w:p w14:paraId="59481083" w14:textId="77777777" w:rsidR="001039B8" w:rsidRPr="00A00DD4" w:rsidRDefault="001039B8" w:rsidP="00B54CBE">
            <w:pPr>
              <w:jc w:val="center"/>
              <w:rPr>
                <w:rFonts w:ascii="Arial" w:hAnsi="Arial" w:cs="Arial"/>
                <w:sz w:val="18"/>
                <w:szCs w:val="18"/>
              </w:rPr>
            </w:pPr>
            <w:proofErr w:type="spellStart"/>
            <w:r w:rsidRPr="00A00DD4">
              <w:rPr>
                <w:rFonts w:ascii="Arial" w:hAnsi="Arial" w:cs="Arial"/>
                <w:sz w:val="18"/>
                <w:szCs w:val="18"/>
              </w:rPr>
              <w:t>MnP</w:t>
            </w:r>
            <w:proofErr w:type="spellEnd"/>
          </w:p>
        </w:tc>
      </w:tr>
      <w:tr w:rsidR="001039B8" w:rsidRPr="00A00DD4" w14:paraId="0EECDE16" w14:textId="77777777" w:rsidTr="00B54CBE">
        <w:trPr>
          <w:jc w:val="center"/>
        </w:trPr>
        <w:tc>
          <w:tcPr>
            <w:tcW w:w="858" w:type="dxa"/>
            <w:vAlign w:val="center"/>
          </w:tcPr>
          <w:p w14:paraId="0750F876"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1</w:t>
            </w:r>
          </w:p>
        </w:tc>
        <w:tc>
          <w:tcPr>
            <w:tcW w:w="1701" w:type="dxa"/>
          </w:tcPr>
          <w:p w14:paraId="4858832F" w14:textId="77777777" w:rsidR="001039B8" w:rsidRPr="00A00DD4" w:rsidRDefault="001039B8" w:rsidP="00B54CBE">
            <w:pPr>
              <w:jc w:val="both"/>
              <w:rPr>
                <w:rFonts w:ascii="Arial" w:hAnsi="Arial" w:cs="Arial"/>
                <w:i/>
                <w:sz w:val="18"/>
                <w:szCs w:val="18"/>
              </w:rPr>
            </w:pPr>
            <w:r w:rsidRPr="00A00DD4">
              <w:rPr>
                <w:rFonts w:ascii="Arial" w:hAnsi="Arial" w:cs="Arial"/>
                <w:i/>
                <w:sz w:val="18"/>
                <w:szCs w:val="18"/>
              </w:rPr>
              <w:t xml:space="preserve">T. </w:t>
            </w:r>
            <w:proofErr w:type="spellStart"/>
            <w:r w:rsidRPr="00A00DD4">
              <w:rPr>
                <w:rFonts w:ascii="Arial" w:hAnsi="Arial" w:cs="Arial"/>
                <w:i/>
                <w:sz w:val="18"/>
                <w:szCs w:val="18"/>
              </w:rPr>
              <w:t>longibrachiatum</w:t>
            </w:r>
            <w:proofErr w:type="spellEnd"/>
          </w:p>
        </w:tc>
        <w:tc>
          <w:tcPr>
            <w:tcW w:w="1170" w:type="dxa"/>
          </w:tcPr>
          <w:p w14:paraId="06AD8462"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240" w:type="dxa"/>
          </w:tcPr>
          <w:p w14:paraId="49BC6311"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170" w:type="dxa"/>
          </w:tcPr>
          <w:p w14:paraId="5B31573E"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r>
      <w:tr w:rsidR="001039B8" w:rsidRPr="00A00DD4" w14:paraId="22FCE787" w14:textId="77777777" w:rsidTr="00B54CBE">
        <w:trPr>
          <w:jc w:val="center"/>
        </w:trPr>
        <w:tc>
          <w:tcPr>
            <w:tcW w:w="858" w:type="dxa"/>
            <w:vAlign w:val="center"/>
          </w:tcPr>
          <w:p w14:paraId="3010AF6F"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2</w:t>
            </w:r>
          </w:p>
        </w:tc>
        <w:tc>
          <w:tcPr>
            <w:tcW w:w="1701" w:type="dxa"/>
          </w:tcPr>
          <w:p w14:paraId="0B270D12" w14:textId="77777777" w:rsidR="001039B8" w:rsidRPr="00A00DD4" w:rsidRDefault="001039B8" w:rsidP="00B54CBE">
            <w:pPr>
              <w:jc w:val="both"/>
              <w:rPr>
                <w:rFonts w:ascii="Arial" w:hAnsi="Arial" w:cs="Arial"/>
                <w:i/>
                <w:sz w:val="18"/>
                <w:szCs w:val="18"/>
              </w:rPr>
            </w:pPr>
            <w:r w:rsidRPr="00A00DD4">
              <w:rPr>
                <w:rFonts w:ascii="Arial" w:hAnsi="Arial" w:cs="Arial"/>
                <w:i/>
                <w:sz w:val="18"/>
                <w:szCs w:val="18"/>
              </w:rPr>
              <w:t xml:space="preserve">T. </w:t>
            </w:r>
            <w:proofErr w:type="spellStart"/>
            <w:r w:rsidRPr="00A00DD4">
              <w:rPr>
                <w:rFonts w:ascii="Arial" w:hAnsi="Arial" w:cs="Arial"/>
                <w:i/>
                <w:sz w:val="18"/>
                <w:szCs w:val="18"/>
              </w:rPr>
              <w:t>polyzona</w:t>
            </w:r>
            <w:proofErr w:type="spellEnd"/>
          </w:p>
        </w:tc>
        <w:tc>
          <w:tcPr>
            <w:tcW w:w="1170" w:type="dxa"/>
          </w:tcPr>
          <w:p w14:paraId="742D138C"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240" w:type="dxa"/>
          </w:tcPr>
          <w:p w14:paraId="0053E1EB"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170" w:type="dxa"/>
          </w:tcPr>
          <w:p w14:paraId="2D0E91D2"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r>
      <w:tr w:rsidR="001039B8" w:rsidRPr="00A00DD4" w14:paraId="58217FDA" w14:textId="77777777" w:rsidTr="00B54CBE">
        <w:trPr>
          <w:jc w:val="center"/>
        </w:trPr>
        <w:tc>
          <w:tcPr>
            <w:tcW w:w="858" w:type="dxa"/>
            <w:vAlign w:val="center"/>
          </w:tcPr>
          <w:p w14:paraId="5B4AFDC8"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7</w:t>
            </w:r>
          </w:p>
        </w:tc>
        <w:tc>
          <w:tcPr>
            <w:tcW w:w="1701" w:type="dxa"/>
          </w:tcPr>
          <w:p w14:paraId="66F6D664" w14:textId="77777777" w:rsidR="001039B8" w:rsidRPr="00A00DD4" w:rsidRDefault="001039B8" w:rsidP="00B54CBE">
            <w:pPr>
              <w:jc w:val="both"/>
              <w:rPr>
                <w:rFonts w:ascii="Arial" w:hAnsi="Arial" w:cs="Arial"/>
                <w:i/>
                <w:sz w:val="18"/>
                <w:szCs w:val="18"/>
              </w:rPr>
            </w:pPr>
            <w:r w:rsidRPr="00A00DD4">
              <w:rPr>
                <w:rFonts w:ascii="Arial" w:hAnsi="Arial" w:cs="Arial"/>
                <w:i/>
                <w:sz w:val="18"/>
                <w:szCs w:val="18"/>
              </w:rPr>
              <w:t xml:space="preserve">A. </w:t>
            </w:r>
            <w:proofErr w:type="spellStart"/>
            <w:r w:rsidRPr="00A00DD4">
              <w:rPr>
                <w:rFonts w:ascii="Arial" w:hAnsi="Arial" w:cs="Arial"/>
                <w:i/>
                <w:sz w:val="18"/>
                <w:szCs w:val="18"/>
              </w:rPr>
              <w:t>niger</w:t>
            </w:r>
            <w:proofErr w:type="spellEnd"/>
          </w:p>
        </w:tc>
        <w:tc>
          <w:tcPr>
            <w:tcW w:w="1170" w:type="dxa"/>
          </w:tcPr>
          <w:p w14:paraId="268BBA62"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240" w:type="dxa"/>
          </w:tcPr>
          <w:p w14:paraId="597A0556"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170" w:type="dxa"/>
          </w:tcPr>
          <w:p w14:paraId="392B95E0"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r>
      <w:tr w:rsidR="001039B8" w:rsidRPr="00A00DD4" w14:paraId="61399021" w14:textId="77777777" w:rsidTr="00B54CBE">
        <w:trPr>
          <w:jc w:val="center"/>
        </w:trPr>
        <w:tc>
          <w:tcPr>
            <w:tcW w:w="858" w:type="dxa"/>
            <w:vAlign w:val="center"/>
          </w:tcPr>
          <w:p w14:paraId="1832A0FE"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8</w:t>
            </w:r>
          </w:p>
        </w:tc>
        <w:tc>
          <w:tcPr>
            <w:tcW w:w="1701" w:type="dxa"/>
          </w:tcPr>
          <w:p w14:paraId="6956FF19" w14:textId="77777777" w:rsidR="001039B8" w:rsidRPr="00A00DD4" w:rsidRDefault="001039B8" w:rsidP="00B54CBE">
            <w:pPr>
              <w:jc w:val="both"/>
              <w:rPr>
                <w:rFonts w:ascii="Arial" w:hAnsi="Arial" w:cs="Arial"/>
                <w:i/>
                <w:sz w:val="18"/>
                <w:szCs w:val="18"/>
              </w:rPr>
            </w:pPr>
            <w:r w:rsidRPr="00A00DD4">
              <w:rPr>
                <w:rFonts w:ascii="Arial" w:hAnsi="Arial" w:cs="Arial"/>
                <w:i/>
                <w:sz w:val="18"/>
                <w:szCs w:val="18"/>
              </w:rPr>
              <w:t xml:space="preserve">M. </w:t>
            </w:r>
            <w:proofErr w:type="spellStart"/>
            <w:r w:rsidRPr="00A00DD4">
              <w:rPr>
                <w:rFonts w:ascii="Arial" w:hAnsi="Arial" w:cs="Arial"/>
                <w:i/>
                <w:sz w:val="18"/>
                <w:szCs w:val="18"/>
              </w:rPr>
              <w:t>circinelloides</w:t>
            </w:r>
            <w:proofErr w:type="spellEnd"/>
          </w:p>
        </w:tc>
        <w:tc>
          <w:tcPr>
            <w:tcW w:w="1170" w:type="dxa"/>
          </w:tcPr>
          <w:p w14:paraId="49853F38"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240" w:type="dxa"/>
          </w:tcPr>
          <w:p w14:paraId="17D718B8"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170" w:type="dxa"/>
          </w:tcPr>
          <w:p w14:paraId="31DC085C"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r>
      <w:tr w:rsidR="001039B8" w:rsidRPr="00A00DD4" w14:paraId="704A3BF9" w14:textId="77777777" w:rsidTr="00B54CBE">
        <w:trPr>
          <w:jc w:val="center"/>
        </w:trPr>
        <w:tc>
          <w:tcPr>
            <w:tcW w:w="858" w:type="dxa"/>
            <w:vAlign w:val="center"/>
          </w:tcPr>
          <w:p w14:paraId="785B329A" w14:textId="77777777" w:rsidR="001039B8" w:rsidRPr="00A00DD4" w:rsidRDefault="001039B8" w:rsidP="00B54CBE">
            <w:pPr>
              <w:jc w:val="center"/>
              <w:rPr>
                <w:rFonts w:ascii="Arial" w:hAnsi="Arial" w:cs="Arial"/>
                <w:sz w:val="18"/>
                <w:szCs w:val="18"/>
              </w:rPr>
            </w:pPr>
            <w:r w:rsidRPr="00A00DD4">
              <w:rPr>
                <w:rFonts w:ascii="Arial" w:hAnsi="Arial" w:cs="Arial"/>
                <w:sz w:val="18"/>
                <w:szCs w:val="18"/>
              </w:rPr>
              <w:t>11</w:t>
            </w:r>
          </w:p>
        </w:tc>
        <w:tc>
          <w:tcPr>
            <w:tcW w:w="1701" w:type="dxa"/>
          </w:tcPr>
          <w:p w14:paraId="5DB13E5F" w14:textId="7E6A2711" w:rsidR="001039B8" w:rsidRPr="00A00DD4" w:rsidRDefault="001039B8" w:rsidP="00B54CBE">
            <w:pPr>
              <w:jc w:val="both"/>
              <w:rPr>
                <w:rFonts w:ascii="Arial" w:hAnsi="Arial" w:cs="Arial"/>
                <w:i/>
                <w:sz w:val="18"/>
                <w:szCs w:val="18"/>
              </w:rPr>
            </w:pPr>
            <w:r w:rsidRPr="00A00DD4">
              <w:rPr>
                <w:rFonts w:ascii="Arial" w:hAnsi="Arial" w:cs="Arial"/>
                <w:i/>
                <w:sz w:val="18"/>
                <w:szCs w:val="18"/>
              </w:rPr>
              <w:t xml:space="preserve">R. </w:t>
            </w:r>
            <w:r>
              <w:rPr>
                <w:rFonts w:ascii="Arial" w:hAnsi="Arial" w:cs="Arial"/>
                <w:i/>
                <w:sz w:val="18"/>
                <w:szCs w:val="18"/>
              </w:rPr>
              <w:t>microspores</w:t>
            </w:r>
          </w:p>
        </w:tc>
        <w:tc>
          <w:tcPr>
            <w:tcW w:w="1170" w:type="dxa"/>
          </w:tcPr>
          <w:p w14:paraId="73B2A93C"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240" w:type="dxa"/>
          </w:tcPr>
          <w:p w14:paraId="28136420"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c>
          <w:tcPr>
            <w:tcW w:w="1170" w:type="dxa"/>
          </w:tcPr>
          <w:p w14:paraId="0AF4E6E3" w14:textId="77777777" w:rsidR="001039B8" w:rsidRPr="00A00DD4" w:rsidRDefault="001039B8" w:rsidP="00B54CBE">
            <w:pPr>
              <w:jc w:val="center"/>
              <w:rPr>
                <w:rFonts w:ascii="Arial" w:hAnsi="Arial" w:cs="Arial"/>
                <w:sz w:val="20"/>
                <w:szCs w:val="20"/>
              </w:rPr>
            </w:pPr>
            <w:r w:rsidRPr="00A00DD4">
              <w:rPr>
                <w:rFonts w:ascii="Arial" w:hAnsi="Arial" w:cs="Arial"/>
                <w:sz w:val="20"/>
                <w:szCs w:val="20"/>
              </w:rPr>
              <w:t>++</w:t>
            </w:r>
          </w:p>
        </w:tc>
      </w:tr>
    </w:tbl>
    <w:p w14:paraId="6AEBB16C" w14:textId="77777777" w:rsidR="001039B8" w:rsidRPr="00A00DD4" w:rsidRDefault="001039B8" w:rsidP="001039B8">
      <w:pPr>
        <w:spacing w:after="0" w:line="480" w:lineRule="auto"/>
        <w:jc w:val="both"/>
        <w:rPr>
          <w:rFonts w:ascii="Arial" w:hAnsi="Arial" w:cs="Arial"/>
          <w:sz w:val="24"/>
          <w:szCs w:val="24"/>
        </w:rPr>
      </w:pPr>
    </w:p>
    <w:p w14:paraId="6F0260B6" w14:textId="77777777" w:rsidR="001039B8" w:rsidRPr="00A00DD4" w:rsidRDefault="001039B8" w:rsidP="001039B8">
      <w:pPr>
        <w:spacing w:after="0" w:line="480" w:lineRule="auto"/>
        <w:jc w:val="both"/>
        <w:rPr>
          <w:rFonts w:ascii="Arial" w:hAnsi="Arial" w:cs="Arial"/>
          <w:sz w:val="24"/>
          <w:szCs w:val="24"/>
        </w:rPr>
      </w:pPr>
      <w:r w:rsidRPr="00A00DD4">
        <w:rPr>
          <w:rFonts w:ascii="Arial" w:hAnsi="Arial" w:cs="Arial"/>
          <w:sz w:val="24"/>
          <w:szCs w:val="24"/>
        </w:rPr>
        <w:t xml:space="preserve">(+) slight specific colour zone observed, (++) intense specific colour zone, (-) absence of specific colour zone. </w:t>
      </w:r>
    </w:p>
    <w:p w14:paraId="49EB380B" w14:textId="77777777" w:rsidR="001039B8" w:rsidRPr="009A74F7" w:rsidRDefault="001039B8" w:rsidP="003873B0">
      <w:pPr>
        <w:pStyle w:val="MDPI51figurecaption"/>
        <w:ind w:left="0" w:right="425"/>
        <w:jc w:val="center"/>
        <w:rPr>
          <w:rFonts w:ascii="Times New Roman" w:hAnsi="Times New Roman"/>
          <w:sz w:val="24"/>
          <w:szCs w:val="24"/>
        </w:rPr>
      </w:pPr>
    </w:p>
    <w:sectPr w:rsidR="001039B8" w:rsidRPr="009A74F7" w:rsidSect="00BE31F6">
      <w:pgSz w:w="12240" w:h="15840"/>
      <w:pgMar w:top="1440" w:right="1440" w:bottom="138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94"/>
    <w:rsid w:val="001039B8"/>
    <w:rsid w:val="0020528E"/>
    <w:rsid w:val="002E5F90"/>
    <w:rsid w:val="003873B0"/>
    <w:rsid w:val="003921E1"/>
    <w:rsid w:val="0047163D"/>
    <w:rsid w:val="00520968"/>
    <w:rsid w:val="00563691"/>
    <w:rsid w:val="005C37B9"/>
    <w:rsid w:val="00791631"/>
    <w:rsid w:val="009A74F7"/>
    <w:rsid w:val="00A801E8"/>
    <w:rsid w:val="00AE244E"/>
    <w:rsid w:val="00BE31F6"/>
    <w:rsid w:val="00D15F94"/>
    <w:rsid w:val="00D16E50"/>
    <w:rsid w:val="00D553AC"/>
    <w:rsid w:val="00D801A1"/>
    <w:rsid w:val="00F07A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1B5"/>
  <w15:chartTrackingRefBased/>
  <w15:docId w15:val="{F692BAF5-16A7-4F45-97F5-3FA0746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94"/>
    <w:pPr>
      <w:spacing w:after="200" w:line="276" w:lineRule="auto"/>
    </w:pPr>
    <w:rPr>
      <w:sz w:val="22"/>
      <w:szCs w:val="22"/>
      <w:lang w:val="en-GB"/>
    </w:rPr>
  </w:style>
  <w:style w:type="paragraph" w:styleId="Heading3">
    <w:name w:val="heading 3"/>
    <w:basedOn w:val="Normal"/>
    <w:next w:val="Normal"/>
    <w:link w:val="Heading3Char"/>
    <w:uiPriority w:val="9"/>
    <w:unhideWhenUsed/>
    <w:qFormat/>
    <w:rsid w:val="00D15F94"/>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5F94"/>
    <w:rPr>
      <w:rFonts w:asciiTheme="majorHAnsi" w:eastAsiaTheme="majorEastAsia" w:hAnsiTheme="majorHAnsi" w:cstheme="majorBidi"/>
      <w:b/>
      <w:bCs/>
      <w:color w:val="4472C4" w:themeColor="accent1"/>
      <w:lang w:val="fr-FR" w:eastAsia="fr-FR"/>
    </w:rPr>
  </w:style>
  <w:style w:type="table" w:customStyle="1" w:styleId="Grilledutableau7">
    <w:name w:val="Grille du tableau7"/>
    <w:basedOn w:val="TableNormal"/>
    <w:next w:val="TableGrid"/>
    <w:uiPriority w:val="59"/>
    <w:rsid w:val="00D15F94"/>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15F94"/>
    <w:pPr>
      <w:spacing w:line="240" w:lineRule="auto"/>
    </w:pPr>
    <w:rPr>
      <w:i/>
      <w:iCs/>
      <w:color w:val="44546A" w:themeColor="text2"/>
      <w:sz w:val="18"/>
      <w:szCs w:val="18"/>
    </w:rPr>
  </w:style>
  <w:style w:type="table" w:styleId="TableGrid">
    <w:name w:val="Table Grid"/>
    <w:basedOn w:val="TableNormal"/>
    <w:uiPriority w:val="39"/>
    <w:rsid w:val="00D1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qFormat/>
    <w:rsid w:val="003873B0"/>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3873B0"/>
    <w:pPr>
      <w:adjustRightInd w:val="0"/>
      <w:snapToGrid w:val="0"/>
      <w:spacing w:before="240" w:after="120"/>
      <w:jc w:val="center"/>
    </w:pPr>
    <w:rPr>
      <w:rFonts w:ascii="Palatino Linotype" w:eastAsia="Times New Roman" w:hAnsi="Palatino Linotype" w:cs="Times New Roman"/>
      <w:snapToGrid w:val="0"/>
      <w:color w:val="000000"/>
      <w:sz w:val="20"/>
      <w:szCs w:val="20"/>
      <w:lang w:val="en-US" w:eastAsia="de-DE" w:bidi="en-US"/>
    </w:rPr>
  </w:style>
  <w:style w:type="character" w:styleId="CommentReference">
    <w:name w:val="annotation reference"/>
    <w:uiPriority w:val="99"/>
    <w:rsid w:val="003873B0"/>
    <w:rPr>
      <w:sz w:val="21"/>
      <w:szCs w:val="21"/>
    </w:rPr>
  </w:style>
  <w:style w:type="paragraph" w:styleId="CommentText">
    <w:name w:val="annotation text"/>
    <w:basedOn w:val="Normal"/>
    <w:link w:val="CommentTextChar"/>
    <w:uiPriority w:val="99"/>
    <w:rsid w:val="003873B0"/>
    <w:pPr>
      <w:spacing w:after="0" w:line="240" w:lineRule="auto"/>
    </w:pPr>
    <w:rPr>
      <w:rFonts w:ascii="Times New Roman" w:eastAsia="Times New Roman" w:hAnsi="Times New Roman" w:cs="Times New Roman"/>
      <w:sz w:val="24"/>
      <w:szCs w:val="24"/>
      <w:lang w:val="en-ZA" w:eastAsia="en-GB"/>
    </w:rPr>
  </w:style>
  <w:style w:type="character" w:customStyle="1" w:styleId="CommentTextChar">
    <w:name w:val="Comment Text Char"/>
    <w:basedOn w:val="DefaultParagraphFont"/>
    <w:link w:val="CommentText"/>
    <w:uiPriority w:val="99"/>
    <w:rsid w:val="003873B0"/>
    <w:rPr>
      <w:rFonts w:ascii="Times New Roman" w:eastAsia="Times New Roman" w:hAnsi="Times New Roman" w:cs="Times New Roman"/>
      <w:lang w:eastAsia="en-GB"/>
    </w:rPr>
  </w:style>
  <w:style w:type="table" w:customStyle="1" w:styleId="Grilledutableau6">
    <w:name w:val="Grille du tableau6"/>
    <w:basedOn w:val="TableNormal"/>
    <w:next w:val="TableGrid"/>
    <w:uiPriority w:val="59"/>
    <w:rsid w:val="00D553AC"/>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Normal"/>
    <w:next w:val="TableGrid"/>
    <w:uiPriority w:val="59"/>
    <w:rsid w:val="003921E1"/>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5C37B9"/>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 Ilunga</dc:creator>
  <cp:keywords/>
  <dc:description/>
  <cp:lastModifiedBy>Kamika, Ilunga</cp:lastModifiedBy>
  <cp:revision>10</cp:revision>
  <dcterms:created xsi:type="dcterms:W3CDTF">2021-09-26T12:01:00Z</dcterms:created>
  <dcterms:modified xsi:type="dcterms:W3CDTF">2021-11-04T21:41:00Z</dcterms:modified>
</cp:coreProperties>
</file>