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</w:rPr>
        <w:t xml:space="preserve">Supplementary </w:t>
      </w:r>
      <w:r>
        <w:rPr>
          <w:rFonts w:hint="eastAsia" w:ascii="Times New Roman" w:hAnsi="Times New Roman" w:eastAsia="SimSun" w:cs="Times New Roman"/>
          <w:b/>
          <w:bCs/>
          <w:sz w:val="28"/>
          <w:szCs w:val="28"/>
        </w:rPr>
        <w:t>Tables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4"/>
        </w:rPr>
        <w:t>S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1</w:t>
      </w:r>
      <w:r>
        <w:rPr>
          <w:rFonts w:ascii="Times New Roman" w:hAnsi="Times New Roman" w:cs="Times New Roman"/>
          <w:b/>
          <w:bCs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Epistatic QTLs analysis for Cd content with the EPI module</w:t>
      </w:r>
    </w:p>
    <w:tbl>
      <w:tblPr>
        <w:tblStyle w:val="2"/>
        <w:tblpPr w:leftFromText="180" w:rightFromText="180" w:vertAnchor="text" w:horzAnchor="page" w:tblpX="301" w:tblpY="265"/>
        <w:tblOverlap w:val="never"/>
        <w:tblW w:w="115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1419"/>
        <w:gridCol w:w="548"/>
        <w:gridCol w:w="970"/>
        <w:gridCol w:w="1010"/>
        <w:gridCol w:w="1300"/>
        <w:gridCol w:w="560"/>
        <w:gridCol w:w="990"/>
        <w:gridCol w:w="980"/>
        <w:gridCol w:w="540"/>
        <w:gridCol w:w="520"/>
        <w:gridCol w:w="520"/>
        <w:gridCol w:w="670"/>
        <w:gridCol w:w="7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Traits</w:t>
            </w:r>
          </w:p>
        </w:tc>
        <w:tc>
          <w:tcPr>
            <w:tcW w:w="141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eQTL1</w:t>
            </w:r>
          </w:p>
        </w:tc>
        <w:tc>
          <w:tcPr>
            <w:tcW w:w="54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Position1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Left</w:t>
            </w:r>
          </w:p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Marker1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Right</w:t>
            </w:r>
          </w:p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Marker1</w:t>
            </w:r>
          </w:p>
        </w:tc>
        <w:tc>
          <w:tcPr>
            <w:tcW w:w="13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eQTL2</w:t>
            </w:r>
          </w:p>
        </w:tc>
        <w:tc>
          <w:tcPr>
            <w:tcW w:w="5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Position2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Left</w:t>
            </w:r>
          </w:p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Marker2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Right</w:t>
            </w:r>
          </w:p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Marker2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LOD</w:t>
            </w:r>
          </w:p>
        </w:tc>
        <w:tc>
          <w:tcPr>
            <w:tcW w:w="5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PVE</w:t>
            </w:r>
          </w:p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(%)</w:t>
            </w:r>
          </w:p>
        </w:tc>
        <w:tc>
          <w:tcPr>
            <w:tcW w:w="5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Add1</w:t>
            </w:r>
          </w:p>
        </w:tc>
        <w:tc>
          <w:tcPr>
            <w:tcW w:w="6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Add2</w:t>
            </w:r>
          </w:p>
        </w:tc>
        <w:tc>
          <w:tcPr>
            <w:tcW w:w="7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both"/>
              <w:textAlignment w:val="bottom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AddbyAdd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18SSCd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QCd.uia2-2D.2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IWB12136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IWB48312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QCd.uia2-5B.2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IWB60833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IWB44014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5.2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6.60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8.17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-2.97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-63.48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18SSCd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QCd.uia2-2B.1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IWB25553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IWB48218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QCd.uia2-3B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IWB14318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IWB23457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5.29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9.6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16.6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-18.93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-84.84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18ASCd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QCd.uia2-7A.1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IWB8722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IWB28062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QCd.uia2-6B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IWB48362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IWB27812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5.27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5.61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-4.8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15.03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39.3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17ASCd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QCd.uia2-1D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IWB56444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IWB6677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QCd.uia2-7A.2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IWB35860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IWB10036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5.54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9.93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-9.49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-12.8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-66.63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BLUP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QCd.uia2-2D.3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IWB11313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IWB9546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QCd.uia2-3D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IWB50723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IWB16145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5.31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8.2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2.32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37.46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-39.70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83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BLUP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QCd.uia2-2B.2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IWB1188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IWB79793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Cs w:val="21"/>
                <w:lang w:bidi="ar"/>
              </w:rPr>
              <w:t>QCd.uia2-4B.2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IWB14318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IWB23457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5.99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8.7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-4.11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17.55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:lang w:bidi="ar"/>
              </w:rPr>
              <w:t>-30.15</w:t>
            </w:r>
          </w:p>
        </w:tc>
      </w:tr>
    </w:tbl>
    <w:p>
      <w:pPr>
        <w:rPr>
          <w:rFonts w:ascii="Times New Roman" w:hAnsi="Times New Roman" w:eastAsia="SimSun" w:cs="Times New Roman"/>
          <w:b/>
          <w:bCs/>
          <w:sz w:val="28"/>
          <w:szCs w:val="28"/>
        </w:rPr>
      </w:pPr>
      <w:r>
        <w:rPr>
          <w:rFonts w:ascii="Times New Roman" w:hAnsi="Times New Roman" w:eastAsia="FangSong_GB2312"/>
          <w:sz w:val="24"/>
        </w:rPr>
        <w:t>PVE is short for phenotypic varia</w:t>
      </w:r>
      <w:r>
        <w:rPr>
          <w:rFonts w:hint="eastAsia" w:ascii="Times New Roman" w:hAnsi="Times New Roman" w:eastAsia="FangSong_GB2312"/>
          <w:sz w:val="24"/>
        </w:rPr>
        <w:t>tion</w:t>
      </w:r>
      <w:r>
        <w:rPr>
          <w:rFonts w:ascii="Times New Roman" w:hAnsi="Times New Roman" w:eastAsia="FangSong_GB2312"/>
          <w:sz w:val="24"/>
        </w:rPr>
        <w:t xml:space="preserve"> explained; Add represents the additive effect (</w:t>
      </w:r>
      <w:r>
        <w:rPr>
          <w:rFonts w:ascii="Times New Roman" w:hAnsi="Times New Roman" w:eastAsia="FangSong_GB2312"/>
          <w:i/>
          <w:sz w:val="24"/>
        </w:rPr>
        <w:t>a</w:t>
      </w:r>
      <w:r>
        <w:rPr>
          <w:rFonts w:ascii="Times New Roman" w:hAnsi="Times New Roman" w:eastAsia="FangSong_GB2312"/>
          <w:sz w:val="24"/>
        </w:rPr>
        <w:t>); AddbyAdd represents the epistatic effect (</w:t>
      </w:r>
      <w:r>
        <w:rPr>
          <w:rFonts w:ascii="Times New Roman" w:hAnsi="Times New Roman" w:eastAsia="FangSong_GB2312"/>
          <w:i/>
          <w:sz w:val="24"/>
        </w:rPr>
        <w:t>aa</w:t>
      </w:r>
      <w:r>
        <w:rPr>
          <w:rFonts w:ascii="Times New Roman" w:hAnsi="Times New Roman" w:eastAsia="FangSong_GB2312"/>
          <w:sz w:val="24"/>
        </w:rPr>
        <w:t>)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</w:rPr>
        <w:t>Supplementary Figures</w:t>
      </w:r>
    </w:p>
    <w:p>
      <w:pPr>
        <w:rPr>
          <w:rFonts w:ascii="Times New Roman" w:hAnsi="Times New Roman" w:cs="Times New Roman"/>
          <w:sz w:val="24"/>
        </w:rPr>
      </w:pPr>
    </w:p>
    <w:p>
      <w:pPr>
        <w:widowControl/>
        <w:ind w:left="420" w:hanging="420" w:hangingChars="200"/>
        <w:jc w:val="center"/>
      </w:pPr>
      <w:r>
        <w:drawing>
          <wp:inline distT="0" distB="0" distL="114300" distR="114300">
            <wp:extent cx="4955540" cy="2037715"/>
            <wp:effectExtent l="0" t="0" r="1016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5540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ascii="Times New Roman" w:hAnsi="Times New Roman" w:cs="Times New Roman"/>
          <w:b/>
          <w:bCs/>
          <w:sz w:val="24"/>
        </w:rPr>
        <w:t>Figure.</w:t>
      </w:r>
      <w:r>
        <w:rPr>
          <w:rFonts w:ascii="Times New Roman" w:hAnsi="Times New Roman" w:cs="Times New Roman"/>
          <w:b/>
          <w:bCs/>
          <w:sz w:val="24"/>
        </w:rPr>
        <w:t xml:space="preserve"> S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bCs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>Predicted 3D structural model of</w:t>
      </w:r>
      <w:r>
        <w:rPr>
          <w:rFonts w:hint="eastAsia" w:ascii="Times New Roman" w:hAnsi="Times New Roman" w:cs="Times New Roman"/>
          <w:b/>
          <w:bCs/>
          <w:sz w:val="24"/>
        </w:rPr>
        <w:t xml:space="preserve"> </w:t>
      </w:r>
      <w:r>
        <w:rPr>
          <w:rFonts w:hint="eastAsia" w:ascii="Times New Roman" w:hAnsi="Times New Roman" w:cs="Times New Roman"/>
          <w:i/>
          <w:iCs/>
          <w:sz w:val="24"/>
        </w:rPr>
        <w:t>TaHMA3</w:t>
      </w:r>
      <w:r>
        <w:rPr>
          <w:rFonts w:hint="eastAsia" w:ascii="Times New Roman" w:hAnsi="Times New Roman" w:cs="Times New Roman"/>
          <w:sz w:val="24"/>
        </w:rPr>
        <w:t xml:space="preserve"> and </w:t>
      </w:r>
      <w:r>
        <w:rPr>
          <w:rFonts w:hint="eastAsia" w:ascii="Times New Roman" w:hAnsi="Times New Roman" w:cs="Times New Roman"/>
          <w:i/>
          <w:iCs/>
          <w:sz w:val="24"/>
        </w:rPr>
        <w:t>TaHMA2</w:t>
      </w:r>
      <w:r>
        <w:rPr>
          <w:rFonts w:hint="eastAsia" w:ascii="Times New Roman" w:hAnsi="Times New Roman" w:cs="Times New Roman"/>
          <w:sz w:val="24"/>
        </w:rPr>
        <w:t xml:space="preserve"> in UI Platinum and LCS Star.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FangSong"/>
    <w:panose1 w:val="020B0604020202020204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F1527"/>
    <w:rsid w:val="656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2021-09-28T09:32:00Z</dcterms:created>
  <dc:creator>Ling Qiao</dc:creator>
  <cp:lastModifiedBy>Ling Qiao</cp:lastModifiedBy>
  <dcterms:modified xsi:type="dcterms:W3CDTF">2021-09-28T09:33:16Z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41A9071256E84BE5BAA52B8CD960AE09</vt:lpwstr>
  </property>
</Properties>
</file>