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10D4263B" w14:textId="77777777" w:rsidR="002E060C" w:rsidRDefault="002E060C" w:rsidP="002E060C">
      <w:pPr>
        <w:pStyle w:val="Title"/>
        <w:rPr>
          <w:sz w:val="24"/>
          <w:szCs w:val="24"/>
        </w:rPr>
      </w:pPr>
      <w:r>
        <w:t>Seismic imaging of lithospheric structure beneath Central-East Java region, Indonesia: Relation to recent earthquakes</w:t>
      </w:r>
    </w:p>
    <w:p w14:paraId="35CB5D7B" w14:textId="77777777" w:rsidR="002E060C" w:rsidRDefault="002E060C" w:rsidP="002E060C">
      <w:pPr>
        <w:pStyle w:val="AuthorList"/>
        <w:jc w:val="both"/>
      </w:pPr>
      <w:r>
        <w:t>Faiz Muttaqy,</w:t>
      </w:r>
      <w:r>
        <w:rPr>
          <w:vertAlign w:val="superscript"/>
        </w:rPr>
        <w:t>1*</w:t>
      </w:r>
      <w:r>
        <w:t xml:space="preserve"> Andri Dian Nugraha,</w:t>
      </w:r>
      <w:r>
        <w:rPr>
          <w:vertAlign w:val="superscript"/>
        </w:rPr>
        <w:t>2</w:t>
      </w:r>
      <w:r>
        <w:t xml:space="preserve"> James Mori,</w:t>
      </w:r>
      <w:r>
        <w:rPr>
          <w:vertAlign w:val="superscript"/>
        </w:rPr>
        <w:t>3</w:t>
      </w:r>
      <w:r>
        <w:t xml:space="preserve"> Nanang T Puspito,</w:t>
      </w:r>
      <w:r>
        <w:rPr>
          <w:vertAlign w:val="superscript"/>
        </w:rPr>
        <w:t>2</w:t>
      </w:r>
      <w:r>
        <w:t xml:space="preserve"> Pepen Supendi,</w:t>
      </w:r>
      <w:r>
        <w:rPr>
          <w:vertAlign w:val="superscript"/>
        </w:rPr>
        <w:t xml:space="preserve">4 </w:t>
      </w:r>
      <w:r>
        <w:t>Supriyanto Rohadi</w:t>
      </w:r>
      <w:r>
        <w:rPr>
          <w:vertAlign w:val="superscript"/>
        </w:rPr>
        <w:t>4</w:t>
      </w:r>
    </w:p>
    <w:p w14:paraId="55CE0C6D" w14:textId="77777777" w:rsidR="002E060C" w:rsidRDefault="002E060C" w:rsidP="002E060C">
      <w:pPr>
        <w:spacing w:before="240" w:after="0"/>
        <w:jc w:val="both"/>
        <w:rPr>
          <w:rFonts w:cs="Times New Roman"/>
          <w:b/>
          <w:szCs w:val="24"/>
        </w:rPr>
      </w:pPr>
      <w:r>
        <w:rPr>
          <w:rFonts w:cs="Times New Roman"/>
          <w:szCs w:val="24"/>
          <w:vertAlign w:val="superscript"/>
        </w:rPr>
        <w:t>1</w:t>
      </w:r>
      <w:r>
        <w:rPr>
          <w:rFonts w:cs="Times New Roman"/>
          <w:szCs w:val="24"/>
        </w:rPr>
        <w:t>Graduate Program of Geophysical Engineering, Faculty of Mining and Petroleum Engineering, Institut Teknologi Bandung, Jalan Ganesha No. 10, Bandung 40132, Indonesia</w:t>
      </w:r>
    </w:p>
    <w:p w14:paraId="5CBF9C25" w14:textId="77777777" w:rsidR="002E060C" w:rsidRDefault="002E060C" w:rsidP="002E060C">
      <w:pPr>
        <w:spacing w:before="240" w:after="0"/>
        <w:jc w:val="both"/>
        <w:rPr>
          <w:rFonts w:cs="Times New Roman"/>
          <w:szCs w:val="24"/>
        </w:rPr>
      </w:pPr>
      <w:r>
        <w:rPr>
          <w:rFonts w:cs="Times New Roman"/>
          <w:szCs w:val="24"/>
          <w:vertAlign w:val="superscript"/>
        </w:rPr>
        <w:t>2</w:t>
      </w:r>
      <w:r>
        <w:rPr>
          <w:rFonts w:cs="Times New Roman"/>
          <w:szCs w:val="24"/>
        </w:rPr>
        <w:t>Global Geophysics Research Group, Faculty of Mining and Petroleum Engineering, Institut Teknologi Bandung, Jalan Ganesha No. 10, Bandung 40132, Indonesia</w:t>
      </w:r>
    </w:p>
    <w:p w14:paraId="3DD61C85" w14:textId="77777777" w:rsidR="002E060C" w:rsidRDefault="002E060C" w:rsidP="002E060C">
      <w:pPr>
        <w:spacing w:before="240" w:after="0"/>
        <w:jc w:val="both"/>
        <w:rPr>
          <w:rFonts w:cs="Times New Roman"/>
          <w:szCs w:val="24"/>
        </w:rPr>
      </w:pPr>
      <w:r>
        <w:rPr>
          <w:rFonts w:cs="Times New Roman"/>
          <w:szCs w:val="24"/>
          <w:vertAlign w:val="superscript"/>
        </w:rPr>
        <w:t>3</w:t>
      </w:r>
      <w:r>
        <w:rPr>
          <w:rFonts w:cs="Times New Roman"/>
          <w:szCs w:val="24"/>
        </w:rPr>
        <w:t>Disaster Prevention Research Institute, Kyoto University, Gokasho, Uji, Kyoto, 611-0011, Japan</w:t>
      </w:r>
    </w:p>
    <w:p w14:paraId="5A10F56E" w14:textId="77777777" w:rsidR="002E060C" w:rsidRDefault="002E060C" w:rsidP="002E060C">
      <w:pPr>
        <w:spacing w:before="240" w:after="0"/>
        <w:jc w:val="both"/>
        <w:rPr>
          <w:rFonts w:cs="Times New Roman"/>
          <w:szCs w:val="24"/>
        </w:rPr>
      </w:pPr>
      <w:r>
        <w:rPr>
          <w:rFonts w:cs="Times New Roman"/>
          <w:szCs w:val="24"/>
          <w:vertAlign w:val="superscript"/>
        </w:rPr>
        <w:t>4</w:t>
      </w:r>
      <w:r>
        <w:rPr>
          <w:rFonts w:cs="Times New Roman"/>
          <w:szCs w:val="24"/>
        </w:rPr>
        <w:t>Agency for Meteorology, Climatology and Geophysics (BMKG), Jakarta 10610, Indonesia</w:t>
      </w:r>
    </w:p>
    <w:p w14:paraId="63EFF13A" w14:textId="77777777" w:rsidR="00A0295A" w:rsidRDefault="00A0295A" w:rsidP="00A0295A">
      <w:pPr>
        <w:spacing w:before="240" w:after="0"/>
        <w:rPr>
          <w:rFonts w:eastAsia="Times New Roman"/>
        </w:rPr>
      </w:pPr>
      <w:r w:rsidRPr="00376CC5">
        <w:rPr>
          <w:rFonts w:cs="Times New Roman"/>
          <w:b/>
          <w:szCs w:val="24"/>
        </w:rPr>
        <w:t xml:space="preserve">* Correspondence: </w:t>
      </w:r>
      <w:r w:rsidRPr="00376CC5">
        <w:rPr>
          <w:rFonts w:cs="Times New Roman"/>
          <w:b/>
          <w:szCs w:val="24"/>
        </w:rPr>
        <w:br/>
      </w:r>
      <w:r>
        <w:rPr>
          <w:rFonts w:cs="Times New Roman"/>
          <w:szCs w:val="24"/>
        </w:rPr>
        <w:t>Faiz Muttaqy</w:t>
      </w:r>
      <w:r w:rsidRPr="00376CC5">
        <w:rPr>
          <w:rFonts w:cs="Times New Roman"/>
          <w:szCs w:val="24"/>
        </w:rPr>
        <w:br/>
      </w:r>
      <w:hyperlink r:id="rId8" w:history="1">
        <w:r w:rsidRPr="005F6649">
          <w:rPr>
            <w:rStyle w:val="Hyperlink"/>
            <w:rFonts w:eastAsia="Times New Roman"/>
          </w:rPr>
          <w:t>faiz.muttaqy@yahoo.com</w:t>
        </w:r>
      </w:hyperlink>
    </w:p>
    <w:p w14:paraId="07062F2E" w14:textId="77777777" w:rsidR="00A0295A" w:rsidRPr="00376CC5" w:rsidRDefault="00A0295A" w:rsidP="00A0295A">
      <w:pPr>
        <w:spacing w:before="240" w:after="0"/>
        <w:rPr>
          <w:rFonts w:cs="Times New Roman"/>
          <w:b/>
          <w:szCs w:val="24"/>
        </w:rPr>
      </w:pPr>
      <w:r>
        <w:rPr>
          <w:rFonts w:cs="Times New Roman"/>
          <w:szCs w:val="24"/>
        </w:rPr>
        <w:t>Andri Dian Nugraha</w:t>
      </w:r>
      <w:r w:rsidRPr="00376CC5">
        <w:rPr>
          <w:rFonts w:cs="Times New Roman"/>
          <w:szCs w:val="24"/>
        </w:rPr>
        <w:br/>
      </w:r>
      <w:hyperlink r:id="rId9" w:history="1">
        <w:r w:rsidRPr="005F6649">
          <w:rPr>
            <w:rStyle w:val="Hyperlink"/>
            <w:rFonts w:eastAsia="Times New Roman"/>
          </w:rPr>
          <w:t>nugraha@gf.itb.ac.id</w:t>
        </w:r>
      </w:hyperlink>
    </w:p>
    <w:p w14:paraId="0C455804" w14:textId="77777777" w:rsidR="002E060C" w:rsidRDefault="002E060C" w:rsidP="002E060C">
      <w:pPr>
        <w:spacing w:before="240" w:after="0"/>
        <w:rPr>
          <w:rStyle w:val="Hyperlink"/>
          <w:rFonts w:eastAsia="Times New Roman"/>
          <w:lang w:val="id-ID"/>
        </w:rPr>
      </w:pPr>
    </w:p>
    <w:p w14:paraId="4D5E2333" w14:textId="3E7FFB48" w:rsidR="002E060C" w:rsidRDefault="002E060C" w:rsidP="002E060C">
      <w:pPr>
        <w:spacing w:after="120"/>
        <w:jc w:val="center"/>
        <w:rPr>
          <w:b/>
          <w:bCs/>
        </w:rPr>
      </w:pPr>
      <w:r>
        <w:rPr>
          <w:noProof/>
        </w:rPr>
        <w:drawing>
          <wp:inline distT="0" distB="0" distL="0" distR="0" wp14:anchorId="4B0343E7" wp14:editId="29104F96">
            <wp:extent cx="4716120" cy="3209925"/>
            <wp:effectExtent l="0" t="0" r="8890" b="0"/>
            <wp:docPr id="27" name="Picture 2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catt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9330" cy="3218916"/>
                    </a:xfrm>
                    <a:prstGeom prst="rect">
                      <a:avLst/>
                    </a:prstGeom>
                    <a:noFill/>
                    <a:ln>
                      <a:noFill/>
                    </a:ln>
                  </pic:spPr>
                </pic:pic>
              </a:graphicData>
            </a:graphic>
          </wp:inline>
        </w:drawing>
      </w:r>
    </w:p>
    <w:p w14:paraId="3F8F14A2" w14:textId="77777777" w:rsidR="00380712" w:rsidRDefault="00380712" w:rsidP="00380712">
      <w:pPr>
        <w:jc w:val="both"/>
        <w:rPr>
          <w:b/>
          <w:bCs/>
          <w:sz w:val="32"/>
          <w:szCs w:val="28"/>
        </w:rPr>
      </w:pPr>
      <w:r>
        <w:lastRenderedPageBreak/>
        <w:t xml:space="preserve">Figure S1. Wadati diagram showing a linear relationship between picked phases </w:t>
      </w:r>
      <w:r>
        <w:fldChar w:fldCharType="begin"/>
      </w:r>
      <w:r>
        <w:instrText xml:space="preserve"> ADDIN ZOTERO_ITEM CSL_CITATION {"citationID":"Ow6bYqIO","properties":{"formattedCitation":"(Muttaqy et al., 2020)","plainCitation":"(Muttaqy et al., 2020)","dontUpdate":true,"noteIndex":0},"citationItems":[{"id":1271,"uris":["http://zotero.org/users/local/qduiFDqC/items/I8LGXKUP"],"uri":["http://zotero.org/users/local/qduiFDqC/items/I8LGXKUP"],"itemData":{"id":1271,"type":"article-journal","abstract":"The Central and East Java region, which is part of Sunda Arc, has relatively high seismicity rates due to the convergence between two major tectonic plates in Indonesia region, the Indo-Australian plate that subducts under the Eurasian plate. Many devastating earthquakes in the study area occurred as results of these plates interaction, such as the 1994 Banyuwangi earthquake (Mw 7.6) and the 2006 Yogyakarta earthquake (Mw 6.3). This study aims to determine the precise earthquake location and analyze the pattern of seismicity distribution around Central and East Java, Indonesia. We manually re-picked P and S-wave arrival time recorded by Agency for Meteorology, Climatology and Geophysics (BMKG) of Indonesia network for the times period of January 2009-September 2017. We then determined the earthquake location by a non-linear method. To improve the accuracy of earthquakes location, we relocated 1,127 out of 1,529 events using a double-difference algorithm with waveform cross-correlation data. Overall, the seismicity around Central and East Java regions are dominantly distributed in the south of the island, e.g. Kebumen, Yogyakarta, Pacitan, Malang, and Banyuwangi cluster. These clusters are probably related to the subduction activity. Meanwhile, the shallow depth earthquakes that are clustered in mainland indicate the activity of inland faults in the region, e.g. Opak Fault, Kendeng Thrust, and Rembang-Madura-Kangean-Sakala (RMKS) fault zone. Several other active inland faults have not shown significant seismicity over the times period, i.e., Pasuruan Fault, Lasem Fault, Muria Fault, Semarang Thrust, Probolinggo Fault, etc.","container-title":"EarthArXiv","DOI":"https://doi.org/10.31223/X5MS4F","title":"Double-difference earthquake relocation using waveform cross-correlation in Central and East Java, Indonesia (Preprint)","author":[{"family":"Muttaqy","given":"Faiz"},{"family":"Nugraha","given":"Andri Dian"},{"family":"Puspito","given":"Nanang T."},{"family":"Sahara","given":"David P."},{"family":"Zulfakriza","given":"Z"},{"family":"Rohadi","given":"Supriyanto"},{"family":"Supendi","given":"Pepen"}],"issued":{"date-parts":[["2021",11,25]]}}}],"schema":"https://github.com/citation-style-language/schema/raw/master/csl-citation.json"} </w:instrText>
      </w:r>
      <w:r>
        <w:fldChar w:fldCharType="separate"/>
      </w:r>
      <w:r>
        <w:rPr>
          <w:rFonts w:cs="Times New Roman"/>
        </w:rPr>
        <w:t>(Muttaqy et al., 2021 - in review)</w:t>
      </w:r>
      <w:r>
        <w:fldChar w:fldCharType="end"/>
      </w:r>
      <w:r>
        <w:t>. The Vp/Vs ratio of 1.75 was obtained based on the diagram. These data show deviations from a constant Vp/Vs ratio and/or reading data errors.</w:t>
      </w:r>
    </w:p>
    <w:p w14:paraId="5694193E" w14:textId="2DD95481" w:rsidR="002E060C" w:rsidRDefault="000A217F" w:rsidP="000A217F">
      <w:pPr>
        <w:pStyle w:val="Caption"/>
        <w:spacing w:after="120" w:line="480" w:lineRule="auto"/>
        <w:jc w:val="center"/>
        <w:rPr>
          <w:rFonts w:eastAsia="Times New Roman"/>
          <w:b w:val="0"/>
          <w:bCs w:val="0"/>
          <w:color w:val="00000A"/>
          <w:sz w:val="20"/>
          <w:szCs w:val="20"/>
        </w:rPr>
      </w:pPr>
      <w:r>
        <w:rPr>
          <w:noProof/>
        </w:rPr>
        <w:lastRenderedPageBreak/>
        <w:drawing>
          <wp:inline distT="0" distB="0" distL="0" distR="0" wp14:anchorId="786D20DD" wp14:editId="240AF114">
            <wp:extent cx="5191856" cy="7449185"/>
            <wp:effectExtent l="0" t="0" r="889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6220" cy="7455447"/>
                    </a:xfrm>
                    <a:prstGeom prst="rect">
                      <a:avLst/>
                    </a:prstGeom>
                    <a:noFill/>
                    <a:ln>
                      <a:noFill/>
                    </a:ln>
                  </pic:spPr>
                </pic:pic>
              </a:graphicData>
            </a:graphic>
          </wp:inline>
        </w:drawing>
      </w:r>
    </w:p>
    <w:p w14:paraId="0A995191" w14:textId="77777777" w:rsidR="002E060C" w:rsidRDefault="002E060C" w:rsidP="002E060C">
      <w:pPr>
        <w:jc w:val="both"/>
      </w:pPr>
      <w:r>
        <w:t>Figure S2. Grid node parameterization used for the seismic tomography inversion (plus signs) and ray path distribution (gray lines) that connect the hypocenters to the stations (yellow inverted triangles) through the 3-D seismic velocity model of our results.</w:t>
      </w:r>
    </w:p>
    <w:p w14:paraId="36DAECB0" w14:textId="5E63F871" w:rsidR="002E060C" w:rsidRDefault="002E060C" w:rsidP="002E060C">
      <w:pPr>
        <w:pStyle w:val="Caption"/>
        <w:spacing w:before="200" w:line="480" w:lineRule="auto"/>
        <w:jc w:val="both"/>
        <w:rPr>
          <w:rFonts w:eastAsia="Times New Roman"/>
          <w:b w:val="0"/>
          <w:bCs w:val="0"/>
          <w:color w:val="00000A"/>
          <w:sz w:val="20"/>
          <w:szCs w:val="20"/>
          <w:lang w:val="id-ID"/>
        </w:rPr>
      </w:pPr>
      <w:r>
        <w:rPr>
          <w:noProof/>
        </w:rPr>
        <w:lastRenderedPageBreak/>
        <w:drawing>
          <wp:inline distT="0" distB="0" distL="0" distR="0" wp14:anchorId="5506F865" wp14:editId="4F7BE098">
            <wp:extent cx="5943600" cy="2752725"/>
            <wp:effectExtent l="0" t="0" r="0" b="9525"/>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14:paraId="07B6DA95" w14:textId="77777777" w:rsidR="002E060C" w:rsidRDefault="002E060C" w:rsidP="002E060C">
      <w:pPr>
        <w:jc w:val="both"/>
        <w:rPr>
          <w:szCs w:val="24"/>
        </w:rPr>
      </w:pPr>
      <w:r>
        <w:t>Figure S3. Trade-off curves showing model variance versus data variance for selecting optimal damping values in the inversions. Damping value of 50 (red dots) was selected for both Vp and Vp/Vs inversions.</w:t>
      </w:r>
    </w:p>
    <w:p w14:paraId="0CEC33EA" w14:textId="4FCFD35A" w:rsidR="002E060C" w:rsidRDefault="001B66D4" w:rsidP="002E060C">
      <w:pPr>
        <w:jc w:val="center"/>
      </w:pPr>
      <w:r>
        <w:rPr>
          <w:noProof/>
        </w:rPr>
        <w:lastRenderedPageBreak/>
        <w:drawing>
          <wp:inline distT="0" distB="0" distL="0" distR="0" wp14:anchorId="79414693" wp14:editId="6FCBE252">
            <wp:extent cx="4820400" cy="6656400"/>
            <wp:effectExtent l="0" t="0" r="0" b="0"/>
            <wp:docPr id="9" name="Picture 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0400" cy="6656400"/>
                    </a:xfrm>
                    <a:prstGeom prst="rect">
                      <a:avLst/>
                    </a:prstGeom>
                    <a:noFill/>
                    <a:ln>
                      <a:noFill/>
                    </a:ln>
                  </pic:spPr>
                </pic:pic>
              </a:graphicData>
            </a:graphic>
          </wp:inline>
        </w:drawing>
      </w:r>
    </w:p>
    <w:p w14:paraId="5E07A15A" w14:textId="77777777" w:rsidR="00380712" w:rsidRDefault="00380712" w:rsidP="00380712">
      <w:pPr>
        <w:jc w:val="both"/>
        <w:rPr>
          <w:sz w:val="36"/>
          <w:szCs w:val="32"/>
        </w:rPr>
      </w:pPr>
      <w:r>
        <w:t>Figure S4. Horizontal sections of resolution test results for Vp and Vp/Vs ratio at depths of 10-90 km beneath the study area, using (a) checkerboard resolution test (CRT), (b) diagonal resolution element (DRE), (c) derivative weight sum (DWS) and (d) ray hit count (RHC). Blue and red colors represent positive and negative perturbations relative to the initial model, respectively. DWS and RHC are plotted on a logarithmic scale, while DRE value varies from 0 (unresolved) to 1 (resolved). Darker shades denote higher values of RHC, DWS and DRE for both Vp and Vp/Vs ratio. Dashed polygons are the area recovered by this study. Red lines and triangles indicate the fault and volcano distribution, respectively.</w:t>
      </w:r>
    </w:p>
    <w:p w14:paraId="2692C6E2" w14:textId="77777777" w:rsidR="002E060C" w:rsidRDefault="002E060C" w:rsidP="002E060C">
      <w:pPr>
        <w:jc w:val="center"/>
      </w:pPr>
    </w:p>
    <w:p w14:paraId="67E4A437" w14:textId="7D008BD1" w:rsidR="002E060C" w:rsidRDefault="002E060C" w:rsidP="002E060C">
      <w:pPr>
        <w:jc w:val="center"/>
      </w:pPr>
      <w:r>
        <w:rPr>
          <w:noProof/>
        </w:rPr>
        <w:drawing>
          <wp:inline distT="0" distB="0" distL="0" distR="0" wp14:anchorId="0AFC9A51" wp14:editId="621C3937">
            <wp:extent cx="4820400" cy="6656400"/>
            <wp:effectExtent l="0" t="0" r="0" b="0"/>
            <wp:docPr id="23" name="Picture 23"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l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0400" cy="6656400"/>
                    </a:xfrm>
                    <a:prstGeom prst="rect">
                      <a:avLst/>
                    </a:prstGeom>
                    <a:noFill/>
                    <a:ln>
                      <a:noFill/>
                    </a:ln>
                  </pic:spPr>
                </pic:pic>
              </a:graphicData>
            </a:graphic>
          </wp:inline>
        </w:drawing>
      </w:r>
    </w:p>
    <w:p w14:paraId="497CC332" w14:textId="77777777" w:rsidR="002E060C" w:rsidRDefault="002E060C" w:rsidP="002E060C">
      <w:pPr>
        <w:jc w:val="center"/>
      </w:pPr>
      <w:r>
        <w:t>Figure S4. Continued</w:t>
      </w:r>
    </w:p>
    <w:p w14:paraId="5259409C" w14:textId="771E2A30" w:rsidR="002E060C" w:rsidRDefault="009E529F" w:rsidP="009E529F">
      <w:pPr>
        <w:jc w:val="center"/>
      </w:pPr>
      <w:r>
        <w:rPr>
          <w:noProof/>
        </w:rPr>
        <w:lastRenderedPageBreak/>
        <w:drawing>
          <wp:inline distT="0" distB="0" distL="0" distR="0" wp14:anchorId="3B6155EF" wp14:editId="307D7854">
            <wp:extent cx="5996763" cy="7281128"/>
            <wp:effectExtent l="0" t="0" r="4445" b="0"/>
            <wp:docPr id="11" name="Picture 11"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arrow&#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1837" cy="7287289"/>
                    </a:xfrm>
                    <a:prstGeom prst="rect">
                      <a:avLst/>
                    </a:prstGeom>
                    <a:noFill/>
                    <a:ln>
                      <a:noFill/>
                    </a:ln>
                  </pic:spPr>
                </pic:pic>
              </a:graphicData>
            </a:graphic>
          </wp:inline>
        </w:drawing>
      </w:r>
    </w:p>
    <w:p w14:paraId="45108CA5" w14:textId="4212BEEA" w:rsidR="002E060C" w:rsidRDefault="002E060C" w:rsidP="002E060C">
      <w:pPr>
        <w:jc w:val="both"/>
      </w:pPr>
      <w:r>
        <w:t>Figure S5. Vertical sections of resolution test results for Vp and Vp/Vs across Mt. Merapi-Merbabu (A-A’), Mt. Wilis-Pandan (B-B’), Mt. Bromo</w:t>
      </w:r>
      <w:r>
        <w:rPr>
          <w:lang w:val="id-ID"/>
        </w:rPr>
        <w:t xml:space="preserve"> </w:t>
      </w:r>
      <w:r>
        <w:t xml:space="preserve">(C-C’), and Mt. Ijen-Baluran (D-D’), using (a) checkerboard resolution test (CRT), (b) diagonal resolution element (DRE), (c) derivative weight sum (DWS) and (d) ray hit count (RHC). Green line indicates the slab model 2.0 </w:t>
      </w:r>
      <w:r>
        <w:fldChar w:fldCharType="begin"/>
      </w:r>
      <w:r>
        <w:instrText xml:space="preserve"> ADDIN ZOTERO_ITEM CSL_CITATION {"citationID":"77SZfAwo","properties":{"formattedCitation":"(Hayes et al., 2018)","plainCitation":"(Hayes et al., 2018)","noteIndex":0},"citationItems":[{"id":1290,"uris":["http://zotero.org/users/local/qduiFDqC/items/KLS49KJJ"],"uri":["http://zotero.org/users/local/qduiFDqC/items/KLS49KJJ"],"itemData":{"id":1290,"type":"article-journal","abstract":"Subduction zones are home to the most seismically active faults on the planet. The shallow megathrust interfaces of subduction zones host Earth's largest earthquakes and are likely the only faults capable of magnitude 9+ ruptures. Despite these facts, our knowledge of subduction zone geometry-which likely plays a key role in determining the spatial extent and ultimately the size of subduction zone earthquakes-is incomplete. We calculated the three-dimensional geometries of all seismically active global subduction zones. The resulting model, called Slab2, provides a uniform geometrical analysis of all currently subducting slabs.","container-title":"Science","DOI":"10.1126/science.aat4723","issue":"6410","page":"58–61","title":"Slab2, a comprehensive subduction zone geometry model","volume":"362","author":[{"family":"Hayes","given":"Gavin P"},{"family":"Moore","given":"Ginevra L"},{"family":"Portner","given":"Daniel E"},{"family":"Hearne","given":"Mike"},{"family":"Flamme","given":"Hanna"},{"family":"Furtney","given":"Maria"},{"family":"Smoczyk","given":"Gregory M"}],"issued":{"date-parts":[["2018"]]}}}],"schema":"https://github.com/citation-style-language/schema/raw/master/csl-citation.json"} </w:instrText>
      </w:r>
      <w:r>
        <w:fldChar w:fldCharType="separate"/>
      </w:r>
      <w:r>
        <w:t>(Hayes et al., 2018)</w:t>
      </w:r>
      <w:r>
        <w:fldChar w:fldCharType="end"/>
      </w:r>
      <w:r>
        <w:rPr>
          <w:color w:val="FF0000"/>
        </w:rPr>
        <w:t xml:space="preserve">. </w:t>
      </w:r>
      <w:r>
        <w:t>Black triangles show locations of volcanoes.</w:t>
      </w:r>
    </w:p>
    <w:p w14:paraId="6432FD22" w14:textId="6313D917" w:rsidR="002C2369" w:rsidRDefault="002C2369" w:rsidP="002E060C">
      <w:pPr>
        <w:jc w:val="both"/>
      </w:pPr>
    </w:p>
    <w:p w14:paraId="0B7C3760" w14:textId="419D4587" w:rsidR="002C2369" w:rsidRDefault="002C2369" w:rsidP="002C2369">
      <w:pPr>
        <w:jc w:val="center"/>
      </w:pPr>
      <w:r>
        <w:rPr>
          <w:noProof/>
        </w:rPr>
        <w:drawing>
          <wp:inline distT="0" distB="0" distL="0" distR="0" wp14:anchorId="1FE0C49A" wp14:editId="26429EE7">
            <wp:extent cx="2480400" cy="7426800"/>
            <wp:effectExtent l="0" t="0" r="0" b="317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0400" cy="7426800"/>
                    </a:xfrm>
                    <a:prstGeom prst="rect">
                      <a:avLst/>
                    </a:prstGeom>
                    <a:noFill/>
                    <a:ln>
                      <a:noFill/>
                    </a:ln>
                  </pic:spPr>
                </pic:pic>
              </a:graphicData>
            </a:graphic>
          </wp:inline>
        </w:drawing>
      </w:r>
    </w:p>
    <w:p w14:paraId="7B159B14" w14:textId="0E04DDC1" w:rsidR="00DB522F" w:rsidRDefault="00DB522F" w:rsidP="00C74185">
      <w:pPr>
        <w:jc w:val="center"/>
      </w:pPr>
      <w:r>
        <w:t>Figure S6. Same as Figure S4a</w:t>
      </w:r>
      <w:r w:rsidR="00C74185">
        <w:t xml:space="preserve">, but with Gaussian noise of standard deviation </w:t>
      </w:r>
      <w:r w:rsidR="00C74185" w:rsidRPr="00C74185">
        <w:t>0.6149 s</w:t>
      </w:r>
      <w:r w:rsidR="00C74185">
        <w:t>.</w:t>
      </w:r>
    </w:p>
    <w:p w14:paraId="4981292E" w14:textId="77777777" w:rsidR="00DB522F" w:rsidRDefault="00DB522F" w:rsidP="002C2369">
      <w:pPr>
        <w:jc w:val="center"/>
      </w:pPr>
    </w:p>
    <w:p w14:paraId="0E6D0F79" w14:textId="626060E8" w:rsidR="00DB522F" w:rsidRDefault="00DB522F" w:rsidP="002C2369">
      <w:pPr>
        <w:jc w:val="center"/>
      </w:pPr>
      <w:r>
        <w:rPr>
          <w:noProof/>
        </w:rPr>
        <w:drawing>
          <wp:inline distT="0" distB="0" distL="0" distR="0" wp14:anchorId="7F4733AA" wp14:editId="7E224306">
            <wp:extent cx="5112000" cy="6012000"/>
            <wp:effectExtent l="0" t="0" r="0" b="825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000" cy="6012000"/>
                    </a:xfrm>
                    <a:prstGeom prst="rect">
                      <a:avLst/>
                    </a:prstGeom>
                    <a:noFill/>
                    <a:ln>
                      <a:noFill/>
                    </a:ln>
                  </pic:spPr>
                </pic:pic>
              </a:graphicData>
            </a:graphic>
          </wp:inline>
        </w:drawing>
      </w:r>
    </w:p>
    <w:p w14:paraId="57C62CCF" w14:textId="5D6D9AD1" w:rsidR="00C74185" w:rsidRDefault="00C74185" w:rsidP="00C74185">
      <w:pPr>
        <w:jc w:val="center"/>
      </w:pPr>
      <w:r>
        <w:t xml:space="preserve">Figure S7. Same as Figure S5a, but with Gaussian noise of standard deviation </w:t>
      </w:r>
      <w:r w:rsidRPr="00C74185">
        <w:t>0.6149 s</w:t>
      </w:r>
      <w:r>
        <w:t>.</w:t>
      </w:r>
    </w:p>
    <w:p w14:paraId="50D924E2" w14:textId="4C7C4956" w:rsidR="00AA52A4" w:rsidRDefault="00AA52A4" w:rsidP="00C74185">
      <w:pPr>
        <w:jc w:val="center"/>
      </w:pPr>
      <w:r>
        <w:rPr>
          <w:noProof/>
        </w:rPr>
        <w:lastRenderedPageBreak/>
        <w:drawing>
          <wp:inline distT="0" distB="0" distL="0" distR="0" wp14:anchorId="056347B9" wp14:editId="502592C4">
            <wp:extent cx="4781550" cy="3359806"/>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4049" cy="3361562"/>
                    </a:xfrm>
                    <a:prstGeom prst="rect">
                      <a:avLst/>
                    </a:prstGeom>
                    <a:noFill/>
                    <a:ln>
                      <a:noFill/>
                    </a:ln>
                  </pic:spPr>
                </pic:pic>
              </a:graphicData>
            </a:graphic>
          </wp:inline>
        </w:drawing>
      </w:r>
    </w:p>
    <w:p w14:paraId="6276CFD9" w14:textId="07E9EBDD" w:rsidR="00AA52A4" w:rsidRDefault="00AA52A4" w:rsidP="00AA52A4">
      <w:pPr>
        <w:jc w:val="both"/>
      </w:pPr>
      <w:r>
        <w:t>Figure S8. Graph showing the weighted RMS residual time of model for each iteration. The inversion reached the convergence at the 15</w:t>
      </w:r>
      <w:r w:rsidRPr="00AA52A4">
        <w:rPr>
          <w:vertAlign w:val="superscript"/>
        </w:rPr>
        <w:t>th</w:t>
      </w:r>
      <w:r>
        <w:t xml:space="preserve"> iteration with the value of 0.32071 s.</w:t>
      </w:r>
    </w:p>
    <w:p w14:paraId="340A2872" w14:textId="156CD5D5" w:rsidR="0043768C" w:rsidRDefault="0043768C" w:rsidP="0043768C">
      <w:pPr>
        <w:jc w:val="center"/>
      </w:pPr>
      <w:r>
        <w:rPr>
          <w:noProof/>
        </w:rPr>
        <w:lastRenderedPageBreak/>
        <w:drawing>
          <wp:inline distT="0" distB="0" distL="0" distR="0" wp14:anchorId="371AC0E7" wp14:editId="3513BC73">
            <wp:extent cx="5433051" cy="7658100"/>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9353" cy="7666983"/>
                    </a:xfrm>
                    <a:prstGeom prst="rect">
                      <a:avLst/>
                    </a:prstGeom>
                    <a:noFill/>
                    <a:ln>
                      <a:noFill/>
                    </a:ln>
                  </pic:spPr>
                </pic:pic>
              </a:graphicData>
            </a:graphic>
          </wp:inline>
        </w:drawing>
      </w:r>
    </w:p>
    <w:p w14:paraId="29597CD1" w14:textId="77777777" w:rsidR="00380712" w:rsidRDefault="00380712" w:rsidP="00380712">
      <w:pPr>
        <w:jc w:val="both"/>
      </w:pPr>
      <w:r>
        <w:t>Figure S9. Map of seismicity distribution around Central and East Java region before (initial) and after (final) relocation using the determined 3-D seismic velocity model. The blocks A-D are the areas used to plot the vertical cross-sections shown in Figure S10.</w:t>
      </w:r>
    </w:p>
    <w:p w14:paraId="6ED3D80F" w14:textId="061CEBAB" w:rsidR="0043768C" w:rsidRDefault="0043768C" w:rsidP="0043768C">
      <w:pPr>
        <w:jc w:val="center"/>
      </w:pPr>
      <w:r>
        <w:rPr>
          <w:noProof/>
        </w:rPr>
        <w:lastRenderedPageBreak/>
        <w:drawing>
          <wp:inline distT="0" distB="0" distL="0" distR="0" wp14:anchorId="6825A720" wp14:editId="3F0035CE">
            <wp:extent cx="5076825" cy="6048375"/>
            <wp:effectExtent l="0" t="0" r="9525" b="9525"/>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6825" cy="6048375"/>
                    </a:xfrm>
                    <a:prstGeom prst="rect">
                      <a:avLst/>
                    </a:prstGeom>
                    <a:noFill/>
                    <a:ln>
                      <a:noFill/>
                    </a:ln>
                  </pic:spPr>
                </pic:pic>
              </a:graphicData>
            </a:graphic>
          </wp:inline>
        </w:drawing>
      </w:r>
    </w:p>
    <w:p w14:paraId="0A54702A" w14:textId="77777777" w:rsidR="00380712" w:rsidRDefault="00380712" w:rsidP="00380712">
      <w:pPr>
        <w:jc w:val="both"/>
      </w:pPr>
      <w:r>
        <w:t xml:space="preserve">Figure S10. Vertical sections of initial and final seismicity around Central and East Java region for the locations shown in Figure S9. Green line indicates the slab model 2.0 </w:t>
      </w:r>
      <w:r>
        <w:fldChar w:fldCharType="begin"/>
      </w:r>
      <w:r>
        <w:instrText xml:space="preserve"> ADDIN ZOTERO_ITEM CSL_CITATION {"citationID":"77SZfAwo","properties":{"formattedCitation":"(Hayes et al., 2018)","plainCitation":"(Hayes et al., 2018)","noteIndex":0},"citationItems":[{"id":1290,"uris":["http://zotero.org/users/local/qduiFDqC/items/KLS49KJJ"],"uri":["http://zotero.org/users/local/qduiFDqC/items/KLS49KJJ"],"itemData":{"id":1290,"type":"article-journal","abstract":"Subduction zones are home to the most seismically active faults on the planet. The shallow megathrust interfaces of subduction zones host Earth's largest earthquakes and are likely the only faults capable of magnitude 9+ ruptures. Despite these facts, our knowledge of subduction zone geometry-which likely plays a key role in determining the spatial extent and ultimately the size of subduction zone earthquakes-is incomplete. We calculated the three-dimensional geometries of all seismically active global subduction zones. The resulting model, called Slab2, provides a uniform geometrical analysis of all currently subducting slabs.","container-title":"Science","DOI":"10.1126/science.aat4723","issue":"6410","page":"58–61","title":"Slab2, a comprehensive subduction zone geometry model","volume":"362","author":[{"family":"Hayes","given":"Gavin P"},{"family":"Moore","given":"Ginevra L"},{"family":"Portner","given":"Daniel E"},{"family":"Hearne","given":"Mike"},{"family":"Flamme","given":"Hanna"},{"family":"Furtney","given":"Maria"},{"family":"Smoczyk","given":"Gregory M"}],"issued":{"date-parts":[["2018"]]}}}],"schema":"https://github.com/citation-style-language/schema/raw/master/csl-citation.json"} </w:instrText>
      </w:r>
      <w:r>
        <w:fldChar w:fldCharType="separate"/>
      </w:r>
      <w:r>
        <w:t>(Hayes et al., 2018)</w:t>
      </w:r>
      <w:r>
        <w:fldChar w:fldCharType="end"/>
      </w:r>
      <w:r>
        <w:rPr>
          <w:color w:val="FF0000"/>
        </w:rPr>
        <w:t xml:space="preserve">. </w:t>
      </w:r>
      <w:r>
        <w:t>Black triangles show locations of volcanoes.</w:t>
      </w:r>
    </w:p>
    <w:p w14:paraId="0B540F25" w14:textId="77777777" w:rsidR="0043768C" w:rsidRDefault="0043768C" w:rsidP="00AA52A4">
      <w:pPr>
        <w:jc w:val="both"/>
      </w:pPr>
    </w:p>
    <w:p w14:paraId="571643CE" w14:textId="77777777" w:rsidR="00AA52A4" w:rsidRDefault="00AA52A4" w:rsidP="00C74185">
      <w:pPr>
        <w:jc w:val="center"/>
      </w:pPr>
    </w:p>
    <w:p w14:paraId="26F065F7" w14:textId="77777777" w:rsidR="002E060C" w:rsidRDefault="002E060C" w:rsidP="002E060C">
      <w:pPr>
        <w:pStyle w:val="NoSpacing"/>
      </w:pPr>
    </w:p>
    <w:p w14:paraId="6F848E44" w14:textId="6FED7C87" w:rsidR="002E060C" w:rsidRDefault="004F4B7F" w:rsidP="002E060C">
      <w:pPr>
        <w:pStyle w:val="Caption"/>
        <w:spacing w:after="120" w:line="480" w:lineRule="auto"/>
        <w:jc w:val="both"/>
        <w:rPr>
          <w:rFonts w:eastAsia="Times New Roman"/>
          <w:b w:val="0"/>
          <w:bCs w:val="0"/>
          <w:color w:val="00000A"/>
          <w:sz w:val="20"/>
          <w:szCs w:val="20"/>
        </w:rPr>
      </w:pPr>
      <w:r>
        <w:rPr>
          <w:rFonts w:eastAsia="Times New Roman"/>
          <w:b w:val="0"/>
          <w:bCs w:val="0"/>
          <w:noProof/>
          <w:color w:val="00000A"/>
          <w:sz w:val="20"/>
          <w:szCs w:val="20"/>
        </w:rPr>
        <w:lastRenderedPageBreak/>
        <w:drawing>
          <wp:inline distT="0" distB="0" distL="0" distR="0" wp14:anchorId="04CF4C0B" wp14:editId="53457A30">
            <wp:extent cx="6208395" cy="6610985"/>
            <wp:effectExtent l="0" t="0" r="190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8395" cy="6610985"/>
                    </a:xfrm>
                    <a:prstGeom prst="rect">
                      <a:avLst/>
                    </a:prstGeom>
                  </pic:spPr>
                </pic:pic>
              </a:graphicData>
            </a:graphic>
          </wp:inline>
        </w:drawing>
      </w:r>
    </w:p>
    <w:p w14:paraId="597E3C63" w14:textId="77777777" w:rsidR="00380712" w:rsidRDefault="00380712" w:rsidP="00380712">
      <w:pPr>
        <w:pStyle w:val="Caption"/>
        <w:spacing w:after="120"/>
        <w:jc w:val="center"/>
        <w:rPr>
          <w:rFonts w:eastAsia="Times New Roman"/>
          <w:b w:val="0"/>
          <w:bCs w:val="0"/>
          <w:color w:val="00000A"/>
        </w:rPr>
      </w:pPr>
      <w:r>
        <w:rPr>
          <w:rFonts w:eastAsia="Times New Roman"/>
          <w:b w:val="0"/>
          <w:bCs w:val="0"/>
          <w:color w:val="00000A"/>
        </w:rPr>
        <w:t>Figure S11. Histogram of RMS and travel time residuals associated with the initial and final model.</w:t>
      </w:r>
    </w:p>
    <w:p w14:paraId="41FEA018" w14:textId="77777777" w:rsidR="002E060C" w:rsidRDefault="002E060C" w:rsidP="002E060C">
      <w:pPr>
        <w:pStyle w:val="NoSpacing"/>
      </w:pPr>
    </w:p>
    <w:p w14:paraId="60509361" w14:textId="65951CA3" w:rsidR="002E060C" w:rsidRDefault="002E060C" w:rsidP="002E060C">
      <w:pPr>
        <w:spacing w:before="240"/>
        <w:jc w:val="center"/>
        <w:rPr>
          <w:noProof/>
        </w:rPr>
      </w:pPr>
      <w:r>
        <w:rPr>
          <w:noProof/>
        </w:rPr>
        <w:lastRenderedPageBreak/>
        <w:drawing>
          <wp:inline distT="0" distB="0" distL="0" distR="0" wp14:anchorId="6D5A4E3F" wp14:editId="1AD7D863">
            <wp:extent cx="5791200" cy="3724275"/>
            <wp:effectExtent l="0" t="0" r="0" b="9525"/>
            <wp:docPr id="19" name="Picture 19"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3724275"/>
                    </a:xfrm>
                    <a:prstGeom prst="rect">
                      <a:avLst/>
                    </a:prstGeom>
                    <a:noFill/>
                    <a:ln>
                      <a:noFill/>
                    </a:ln>
                  </pic:spPr>
                </pic:pic>
              </a:graphicData>
            </a:graphic>
          </wp:inline>
        </w:drawing>
      </w:r>
    </w:p>
    <w:p w14:paraId="33A24C5A" w14:textId="77777777" w:rsidR="00380712" w:rsidRDefault="00380712" w:rsidP="00380712">
      <w:pPr>
        <w:jc w:val="both"/>
      </w:pPr>
      <w:r>
        <w:t>Figure S12. Map showing the epicenter of 2021 Malang earthquake (Mw 6.1) (red star) and the distribution of recording stations (yellow inverted triangles).</w:t>
      </w:r>
    </w:p>
    <w:p w14:paraId="5202BEF3" w14:textId="77777777" w:rsidR="002E060C" w:rsidRDefault="002E060C" w:rsidP="002E060C">
      <w:pPr>
        <w:pStyle w:val="NoSpacing"/>
      </w:pPr>
    </w:p>
    <w:p w14:paraId="4E64429F" w14:textId="7DB65575" w:rsidR="002E060C" w:rsidRDefault="002E060C" w:rsidP="002E060C">
      <w:pPr>
        <w:pStyle w:val="NoSpacing"/>
      </w:pPr>
      <w:r>
        <w:rPr>
          <w:noProof/>
        </w:rPr>
        <w:lastRenderedPageBreak/>
        <w:drawing>
          <wp:inline distT="0" distB="0" distL="0" distR="0" wp14:anchorId="3C78C5AA" wp14:editId="43D28147">
            <wp:extent cx="6200775" cy="5200650"/>
            <wp:effectExtent l="0" t="0" r="9525"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775" cy="5200650"/>
                    </a:xfrm>
                    <a:prstGeom prst="rect">
                      <a:avLst/>
                    </a:prstGeom>
                    <a:noFill/>
                    <a:ln>
                      <a:noFill/>
                    </a:ln>
                  </pic:spPr>
                </pic:pic>
              </a:graphicData>
            </a:graphic>
          </wp:inline>
        </w:drawing>
      </w:r>
    </w:p>
    <w:p w14:paraId="775CBF80" w14:textId="18F66F5D" w:rsidR="002E060C" w:rsidRDefault="002E060C" w:rsidP="002E060C">
      <w:pPr>
        <w:jc w:val="both"/>
      </w:pPr>
      <w:r>
        <w:t>Figure S</w:t>
      </w:r>
      <w:r w:rsidR="001F3A42">
        <w:t>13</w:t>
      </w:r>
      <w:r>
        <w:t>. Three component seismograms of the 2021 Malang earthquake (Mw 6.1) recorded by 19 stations (shown in Figure S7). Purple lines are the arrival times of P and S-wave identified by manual picking process.</w:t>
      </w:r>
    </w:p>
    <w:p w14:paraId="3C2B875D" w14:textId="77777777" w:rsidR="002E060C" w:rsidRDefault="002E060C" w:rsidP="002E060C">
      <w:pPr>
        <w:pStyle w:val="NoSpacing"/>
      </w:pPr>
    </w:p>
    <w:p w14:paraId="6CF4C9FB" w14:textId="0F1F42BA" w:rsidR="002E060C" w:rsidRDefault="002E060C" w:rsidP="002E060C">
      <w:pPr>
        <w:pStyle w:val="NoSpacing"/>
        <w:jc w:val="center"/>
      </w:pPr>
      <w:r>
        <w:rPr>
          <w:noProof/>
        </w:rPr>
        <w:lastRenderedPageBreak/>
        <w:drawing>
          <wp:inline distT="0" distB="0" distL="0" distR="0" wp14:anchorId="0043F17D" wp14:editId="13506AD6">
            <wp:extent cx="4276725" cy="2971800"/>
            <wp:effectExtent l="0" t="0" r="9525" b="0"/>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catte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6725" cy="2971800"/>
                    </a:xfrm>
                    <a:prstGeom prst="rect">
                      <a:avLst/>
                    </a:prstGeom>
                    <a:noFill/>
                    <a:ln>
                      <a:noFill/>
                    </a:ln>
                  </pic:spPr>
                </pic:pic>
              </a:graphicData>
            </a:graphic>
          </wp:inline>
        </w:drawing>
      </w:r>
    </w:p>
    <w:p w14:paraId="05F5A22A" w14:textId="10135400" w:rsidR="002E060C" w:rsidRDefault="002E060C" w:rsidP="002E060C">
      <w:pPr>
        <w:jc w:val="both"/>
      </w:pPr>
      <w:r>
        <w:t>Figure S</w:t>
      </w:r>
      <w:r w:rsidR="001F3A42">
        <w:t>14</w:t>
      </w:r>
      <w:r>
        <w:t>. Wadati diagram showing a linear relationship between picked phases. Resulting the Vp/Vs ratio of 1.75. Red dashed lines indicate deviations from a constant Vp/Vs ratio and/or reading data errors.</w:t>
      </w:r>
    </w:p>
    <w:p w14:paraId="3B5AE206" w14:textId="77777777" w:rsidR="002E060C" w:rsidRDefault="002E060C" w:rsidP="002E060C">
      <w:pPr>
        <w:pStyle w:val="NoSpacing"/>
      </w:pPr>
    </w:p>
    <w:p w14:paraId="289DE5EF" w14:textId="384D73D4" w:rsidR="002E060C" w:rsidRDefault="002E060C" w:rsidP="002E060C">
      <w:pPr>
        <w:pStyle w:val="NoSpacing"/>
      </w:pPr>
      <w:r>
        <w:rPr>
          <w:noProof/>
        </w:rPr>
        <w:drawing>
          <wp:inline distT="0" distB="0" distL="0" distR="0" wp14:anchorId="4993FD02" wp14:editId="2FF3D55F">
            <wp:extent cx="6200775" cy="3448050"/>
            <wp:effectExtent l="0" t="0" r="9525" b="0"/>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0775" cy="3448050"/>
                    </a:xfrm>
                    <a:prstGeom prst="rect">
                      <a:avLst/>
                    </a:prstGeom>
                    <a:noFill/>
                    <a:ln>
                      <a:noFill/>
                    </a:ln>
                  </pic:spPr>
                </pic:pic>
              </a:graphicData>
            </a:graphic>
          </wp:inline>
        </w:drawing>
      </w:r>
    </w:p>
    <w:p w14:paraId="4C8ACEED" w14:textId="620ECE86" w:rsidR="002E060C" w:rsidRDefault="002E060C" w:rsidP="002E060C">
      <w:pPr>
        <w:jc w:val="both"/>
      </w:pPr>
      <w:r>
        <w:t>Figure S1</w:t>
      </w:r>
      <w:r w:rsidR="001F3A42">
        <w:t>5</w:t>
      </w:r>
      <w:r>
        <w:t xml:space="preserve">. Vertical sections of resolution test results for Vp and Vp/Vs across the 2006 Yogyakarta earthquake (Mw 6.3) (E-E’), the 1994 Banyuwangi earthquake (Mw 7.8) and the 2021 Malang earthquake (Mw 6.1) (F-F’), using diagonal resolution element (DRE), derivative weight sum (DWS) and ray hit count (RHC). Green line indicates the slab model 2.0 </w:t>
      </w:r>
      <w:r>
        <w:fldChar w:fldCharType="begin"/>
      </w:r>
      <w:r>
        <w:instrText xml:space="preserve"> ADDIN ZOTERO_ITEM CSL_CITATION {"citationID":"nof2Ro0j","properties":{"formattedCitation":"(Hayes et al., 2018)","plainCitation":"(Hayes et al., 2018)","noteIndex":0},"citationItems":[{"id":1290,"uris":["http://zotero.org/users/local/qduiFDqC/items/KLS49KJJ"],"uri":["http://zotero.org/users/local/qduiFDqC/items/KLS49KJJ"],"itemData":{"id":1290,"type":"article-journal","abstract":"Subduction zones are home to the most seismically active faults on the planet. The shallow megathrust interfaces of subduction zones host Earth's largest earthquakes and are likely the only faults capable of magnitude 9+ ruptures. Despite these facts, our knowledge of subduction zone geometry-which likely plays a key role in determining the spatial extent and ultimately the size of subduction zone earthquakes-is incomplete. We calculated the three-dimensional geometries of all seismically active global subduction zones. The resulting model, called Slab2, provides a uniform geometrical analysis of all currently subducting slabs.","container-title":"Science","DOI":"10.1126/science.aat4723","issue":"6410","page":"58–61","title":"Slab2, a comprehensive subduction zone geometry model","volume":"362","author":[{"family":"Hayes","given":"Gavin P"},{"family":"Moore","given":"Ginevra L"},{"family":"Portner","given":"Daniel E"},{"family":"Hearne","given":"Mike"},{"family":"Flamme","given":"Hanna"},{"family":"Furtney","given":"Maria"},{"family":"Smoczyk","given":"Gregory M"}],"issued":{"date-parts":[["2018"]]}}}],"schema":"https://github.com/citation-style-language/schema/raw/master/csl-citation.json"} </w:instrText>
      </w:r>
      <w:r>
        <w:fldChar w:fldCharType="separate"/>
      </w:r>
      <w:r>
        <w:t>(Hayes et al., 2018)</w:t>
      </w:r>
      <w:r>
        <w:fldChar w:fldCharType="end"/>
      </w:r>
      <w:r>
        <w:rPr>
          <w:color w:val="FF0000"/>
        </w:rPr>
        <w:t xml:space="preserve">. </w:t>
      </w:r>
      <w:r>
        <w:t>Black triangles show locations of volcanoes.</w:t>
      </w:r>
    </w:p>
    <w:p w14:paraId="421D555A" w14:textId="58E040A4" w:rsidR="002E060C" w:rsidRDefault="00547DDA" w:rsidP="002E060C">
      <w:pPr>
        <w:spacing w:before="240" w:after="0"/>
        <w:rPr>
          <w:rFonts w:cs="Times New Roman"/>
          <w:b/>
          <w:szCs w:val="24"/>
        </w:rPr>
      </w:pPr>
      <w:r>
        <w:rPr>
          <w:noProof/>
        </w:rPr>
        <w:lastRenderedPageBreak/>
        <w:drawing>
          <wp:inline distT="0" distB="0" distL="0" distR="0" wp14:anchorId="1CE1BFD9" wp14:editId="2394AFB0">
            <wp:extent cx="6208395" cy="3010535"/>
            <wp:effectExtent l="0" t="0" r="1905" b="0"/>
            <wp:docPr id="12" name="Picture 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8395" cy="3010535"/>
                    </a:xfrm>
                    <a:prstGeom prst="rect">
                      <a:avLst/>
                    </a:prstGeom>
                    <a:noFill/>
                    <a:ln>
                      <a:noFill/>
                    </a:ln>
                  </pic:spPr>
                </pic:pic>
              </a:graphicData>
            </a:graphic>
          </wp:inline>
        </w:drawing>
      </w:r>
    </w:p>
    <w:p w14:paraId="20B3AB53" w14:textId="5EEEDCD3" w:rsidR="00547DDA" w:rsidRDefault="00547DDA" w:rsidP="00547DDA">
      <w:pPr>
        <w:jc w:val="both"/>
      </w:pPr>
      <w:r>
        <w:t>Figure S16. Bathymetr</w:t>
      </w:r>
      <w:r w:rsidR="00424EFC">
        <w:t>ic map of the Central and East Java from the General Bathymetric Chart of the Oceans (GEBCO) (</w:t>
      </w:r>
      <w:hyperlink r:id="rId27" w:history="1">
        <w:r w:rsidR="00424EFC" w:rsidRPr="00380AD6">
          <w:rPr>
            <w:rStyle w:val="Hyperlink"/>
          </w:rPr>
          <w:t>https://download.gebco.net/</w:t>
        </w:r>
      </w:hyperlink>
      <w:r w:rsidR="00424EFC">
        <w:t>) and vertical profiles across the subducting seamounts (red lines).</w:t>
      </w:r>
    </w:p>
    <w:p w14:paraId="2E1CC4B9" w14:textId="77777777" w:rsidR="00547DDA" w:rsidRDefault="00547DDA" w:rsidP="002E060C">
      <w:pPr>
        <w:spacing w:before="240" w:after="0"/>
        <w:rPr>
          <w:rFonts w:cs="Times New Roman"/>
          <w:b/>
          <w:szCs w:val="24"/>
        </w:rPr>
      </w:pPr>
    </w:p>
    <w:p w14:paraId="7B65BC41" w14:textId="27AD1F2B" w:rsidR="00DE23E8" w:rsidRDefault="00E41AF8" w:rsidP="00654E8F">
      <w:pPr>
        <w:spacing w:before="240"/>
        <w:rPr>
          <w:b/>
          <w:bCs/>
        </w:rPr>
      </w:pPr>
      <w:r>
        <w:rPr>
          <w:b/>
          <w:bCs/>
        </w:rPr>
        <w:t>References</w:t>
      </w:r>
    </w:p>
    <w:p w14:paraId="545492F7" w14:textId="77777777" w:rsidR="00E41AF8" w:rsidRPr="00E41AF8" w:rsidRDefault="00E41AF8" w:rsidP="00E41AF8">
      <w:pPr>
        <w:pStyle w:val="Bibliography"/>
        <w:rPr>
          <w:rFonts w:cs="Times New Roman"/>
        </w:rPr>
      </w:pPr>
      <w:r>
        <w:rPr>
          <w:b/>
          <w:bCs/>
        </w:rPr>
        <w:fldChar w:fldCharType="begin"/>
      </w:r>
      <w:r>
        <w:rPr>
          <w:b/>
          <w:bCs/>
        </w:rPr>
        <w:instrText xml:space="preserve"> ADDIN ZOTERO_BIBL {"uncited":[],"omitted":[],"custom":[]} CSL_BIBLIOGRAPHY </w:instrText>
      </w:r>
      <w:r>
        <w:rPr>
          <w:b/>
          <w:bCs/>
        </w:rPr>
        <w:fldChar w:fldCharType="separate"/>
      </w:r>
      <w:r w:rsidRPr="00E41AF8">
        <w:rPr>
          <w:rFonts w:cs="Times New Roman"/>
        </w:rPr>
        <w:t xml:space="preserve">Hayes, G. P., Moore, G. L., Portner, D. E., Hearne, M., Flamme, H., Furtney, M., et al. (2018). Slab2, a comprehensive subduction zone geometry model. </w:t>
      </w:r>
      <w:r w:rsidRPr="00E41AF8">
        <w:rPr>
          <w:rFonts w:cs="Times New Roman"/>
          <w:i/>
          <w:iCs/>
        </w:rPr>
        <w:t>Science</w:t>
      </w:r>
      <w:r w:rsidRPr="00E41AF8">
        <w:rPr>
          <w:rFonts w:cs="Times New Roman"/>
        </w:rPr>
        <w:t xml:space="preserve"> 362, 58–61. doi:10.1126/science.aat4723.</w:t>
      </w:r>
    </w:p>
    <w:p w14:paraId="4B96FF8C" w14:textId="77777777" w:rsidR="00E41AF8" w:rsidRPr="00E41AF8" w:rsidRDefault="00E41AF8" w:rsidP="00E41AF8">
      <w:pPr>
        <w:pStyle w:val="Bibliography"/>
        <w:rPr>
          <w:rFonts w:cs="Times New Roman"/>
        </w:rPr>
      </w:pPr>
      <w:r w:rsidRPr="00E41AF8">
        <w:rPr>
          <w:rFonts w:cs="Times New Roman"/>
        </w:rPr>
        <w:t xml:space="preserve">Muttaqy, F., Nugraha, A. D., Puspito, N. T., Sahara, D. P., Zulfakriza, Z., Rohadi, S., et al. (2021). Double-difference earthquake relocation using waveform cross-correlation in Central and East Java, Indonesia (Preprint). </w:t>
      </w:r>
      <w:r w:rsidRPr="00E41AF8">
        <w:rPr>
          <w:rFonts w:cs="Times New Roman"/>
          <w:i/>
          <w:iCs/>
        </w:rPr>
        <w:t>EarthArXiv</w:t>
      </w:r>
      <w:r w:rsidRPr="00E41AF8">
        <w:rPr>
          <w:rFonts w:cs="Times New Roman"/>
        </w:rPr>
        <w:t>. doi:https://doi.org/10.31223/X5MS4F.</w:t>
      </w:r>
    </w:p>
    <w:p w14:paraId="379183D2" w14:textId="10398586" w:rsidR="00E41AF8" w:rsidRPr="00E41AF8" w:rsidRDefault="00E41AF8" w:rsidP="00654E8F">
      <w:pPr>
        <w:spacing w:before="240"/>
        <w:rPr>
          <w:b/>
          <w:bCs/>
        </w:rPr>
      </w:pPr>
      <w:r>
        <w:rPr>
          <w:b/>
          <w:bCs/>
        </w:rPr>
        <w:fldChar w:fldCharType="end"/>
      </w:r>
    </w:p>
    <w:sectPr w:rsidR="00E41AF8" w:rsidRPr="00E41AF8" w:rsidSect="0093429D">
      <w:headerReference w:type="even" r:id="rId28"/>
      <w:footerReference w:type="even" r:id="rId29"/>
      <w:footerReference w:type="default" r:id="rId30"/>
      <w:headerReference w:type="first" r:id="rId3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D2A67" w14:textId="77777777" w:rsidR="00B8378D" w:rsidRDefault="00B8378D" w:rsidP="00117666">
      <w:pPr>
        <w:spacing w:after="0"/>
      </w:pPr>
      <w:r>
        <w:separator/>
      </w:r>
    </w:p>
  </w:endnote>
  <w:endnote w:type="continuationSeparator" w:id="0">
    <w:p w14:paraId="1EFDCE0E" w14:textId="77777777" w:rsidR="00B8378D" w:rsidRDefault="00B8378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988E0" w14:textId="77777777" w:rsidR="00B8378D" w:rsidRDefault="00B8378D" w:rsidP="00117666">
      <w:pPr>
        <w:spacing w:after="0"/>
      </w:pPr>
      <w:r>
        <w:separator/>
      </w:r>
    </w:p>
  </w:footnote>
  <w:footnote w:type="continuationSeparator" w:id="0">
    <w:p w14:paraId="3FACBDF4" w14:textId="77777777" w:rsidR="00B8378D" w:rsidRDefault="00B8378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1NbcwtTAxMrUwNDVQ0lEKTi0uzszPAymwrAUAhwjMZiwAAAA="/>
  </w:docVars>
  <w:rsids>
    <w:rsidRoot w:val="00ED20B5"/>
    <w:rsid w:val="0001436A"/>
    <w:rsid w:val="00034304"/>
    <w:rsid w:val="00035434"/>
    <w:rsid w:val="00052A14"/>
    <w:rsid w:val="00077D53"/>
    <w:rsid w:val="000A217F"/>
    <w:rsid w:val="00105FD9"/>
    <w:rsid w:val="00117666"/>
    <w:rsid w:val="001549D3"/>
    <w:rsid w:val="00160065"/>
    <w:rsid w:val="00177D84"/>
    <w:rsid w:val="001B66D4"/>
    <w:rsid w:val="001F3A42"/>
    <w:rsid w:val="00205BB1"/>
    <w:rsid w:val="00267D18"/>
    <w:rsid w:val="00274347"/>
    <w:rsid w:val="002868E2"/>
    <w:rsid w:val="002869C3"/>
    <w:rsid w:val="002936E4"/>
    <w:rsid w:val="002B4A57"/>
    <w:rsid w:val="002C2369"/>
    <w:rsid w:val="002C74CA"/>
    <w:rsid w:val="002E060C"/>
    <w:rsid w:val="003123F4"/>
    <w:rsid w:val="003544FB"/>
    <w:rsid w:val="00380712"/>
    <w:rsid w:val="003D2F2D"/>
    <w:rsid w:val="00401590"/>
    <w:rsid w:val="004169F6"/>
    <w:rsid w:val="00424EFC"/>
    <w:rsid w:val="0043768C"/>
    <w:rsid w:val="00447801"/>
    <w:rsid w:val="00452E9C"/>
    <w:rsid w:val="004735C8"/>
    <w:rsid w:val="004947A6"/>
    <w:rsid w:val="004961FF"/>
    <w:rsid w:val="004F4B7F"/>
    <w:rsid w:val="00517A89"/>
    <w:rsid w:val="005250F2"/>
    <w:rsid w:val="00547DDA"/>
    <w:rsid w:val="00583211"/>
    <w:rsid w:val="00593EEA"/>
    <w:rsid w:val="005A5EEE"/>
    <w:rsid w:val="005D49A3"/>
    <w:rsid w:val="006375C7"/>
    <w:rsid w:val="00640154"/>
    <w:rsid w:val="00654E8F"/>
    <w:rsid w:val="00660D05"/>
    <w:rsid w:val="0066746E"/>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9E529F"/>
    <w:rsid w:val="00A0295A"/>
    <w:rsid w:val="00A174D9"/>
    <w:rsid w:val="00AA4D24"/>
    <w:rsid w:val="00AA52A4"/>
    <w:rsid w:val="00AB6715"/>
    <w:rsid w:val="00B1671E"/>
    <w:rsid w:val="00B25EB8"/>
    <w:rsid w:val="00B37F4D"/>
    <w:rsid w:val="00B8378D"/>
    <w:rsid w:val="00BD2E09"/>
    <w:rsid w:val="00C52A7B"/>
    <w:rsid w:val="00C56BAF"/>
    <w:rsid w:val="00C679AA"/>
    <w:rsid w:val="00C74185"/>
    <w:rsid w:val="00C75972"/>
    <w:rsid w:val="00CD066B"/>
    <w:rsid w:val="00CE4FEE"/>
    <w:rsid w:val="00D060CF"/>
    <w:rsid w:val="00D21061"/>
    <w:rsid w:val="00DA5306"/>
    <w:rsid w:val="00DB522F"/>
    <w:rsid w:val="00DB59C3"/>
    <w:rsid w:val="00DC17BA"/>
    <w:rsid w:val="00DC259A"/>
    <w:rsid w:val="00DE23E8"/>
    <w:rsid w:val="00E41AF8"/>
    <w:rsid w:val="00E52377"/>
    <w:rsid w:val="00E537AD"/>
    <w:rsid w:val="00E64E17"/>
    <w:rsid w:val="00E866C9"/>
    <w:rsid w:val="00EA3D3C"/>
    <w:rsid w:val="00EC090A"/>
    <w:rsid w:val="00ED20B5"/>
    <w:rsid w:val="00F46900"/>
    <w:rsid w:val="00F61D89"/>
    <w:rsid w:val="00FD1AE0"/>
    <w:rsid w:val="00FF3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Bibliography">
    <w:name w:val="Bibliography"/>
    <w:basedOn w:val="Normal"/>
    <w:next w:val="Normal"/>
    <w:uiPriority w:val="37"/>
    <w:unhideWhenUsed/>
    <w:rsid w:val="00E41AF8"/>
    <w:pPr>
      <w:ind w:left="720" w:hanging="720"/>
    </w:pPr>
  </w:style>
  <w:style w:type="character" w:styleId="UnresolvedMention">
    <w:name w:val="Unresolved Mention"/>
    <w:basedOn w:val="DefaultParagraphFont"/>
    <w:uiPriority w:val="99"/>
    <w:semiHidden/>
    <w:unhideWhenUsed/>
    <w:rsid w:val="00424E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5156">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8551087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8788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ugraha@gf.itb.ac.id"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download.gebco.net/" TargetMode="External"/><Relationship Id="rId30" Type="http://schemas.openxmlformats.org/officeDocument/2006/relationships/footer" Target="footer2.xml"/><Relationship Id="rId8" Type="http://schemas.openxmlformats.org/officeDocument/2006/relationships/hyperlink" Target="mailto:faiz.muttaqy@yaho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44</TotalTime>
  <Pages>17</Pages>
  <Words>1956</Words>
  <Characters>11153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Faiz Muttaqy</cp:lastModifiedBy>
  <cp:revision>17</cp:revision>
  <cp:lastPrinted>2013-10-03T12:51:00Z</cp:lastPrinted>
  <dcterms:created xsi:type="dcterms:W3CDTF">2018-11-23T08:58:00Z</dcterms:created>
  <dcterms:modified xsi:type="dcterms:W3CDTF">2021-12-24T02:54:00Z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id="U5wCly26"/&gt;&lt;style id="http://www.zotero.org/styles/frontiers-in-earth-science" hasBibliography="1" bibliographyStyleHasBeenSet="1"/&gt;&lt;prefs&gt;&lt;pref name="fieldType" value="Field"/&gt;&lt;/prefs&gt;&lt;/data&gt;</vt:lpwstr>
  </property>
</Properties>
</file>