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952"/>
        <w:gridCol w:w="1770"/>
        <w:gridCol w:w="1256"/>
        <w:gridCol w:w="1256"/>
        <w:gridCol w:w="7544"/>
      </w:tblGrid>
      <w:tr w:rsidR="00714C0F" w:rsidRPr="00C44B06" w14:paraId="464D3D4C" w14:textId="77777777" w:rsidTr="006D7239">
        <w:trPr>
          <w:trHeight w:val="6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01DE4016" w14:textId="1074A309" w:rsidR="00714C0F" w:rsidRPr="00C44B06" w:rsidRDefault="00714C0F" w:rsidP="00FC64FE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C44B06">
              <w:rPr>
                <w:b/>
                <w:lang w:val="en-US"/>
              </w:rPr>
              <w:t>Supplemental</w:t>
            </w:r>
            <w:r w:rsidR="00441453" w:rsidRPr="00C44B06">
              <w:rPr>
                <w:b/>
                <w:lang w:val="en-US"/>
              </w:rPr>
              <w:t xml:space="preserve"> </w:t>
            </w:r>
            <w:r w:rsidRPr="00C44B06">
              <w:rPr>
                <w:b/>
                <w:lang w:val="en-US"/>
              </w:rPr>
              <w:t>Table</w:t>
            </w:r>
            <w:r w:rsidR="00441453" w:rsidRPr="00C44B06">
              <w:rPr>
                <w:b/>
                <w:lang w:val="en-US"/>
              </w:rPr>
              <w:t xml:space="preserve"> </w:t>
            </w:r>
            <w:r w:rsidRPr="00C44B06">
              <w:rPr>
                <w:b/>
                <w:lang w:val="en-US"/>
              </w:rPr>
              <w:t>2.</w:t>
            </w:r>
            <w:r w:rsidR="00441453" w:rsidRPr="00C44B06">
              <w:rPr>
                <w:b/>
                <w:lang w:val="en-US"/>
              </w:rPr>
              <w:t xml:space="preserve"> </w:t>
            </w:r>
            <w:r w:rsidRPr="00C44B06">
              <w:rPr>
                <w:b/>
                <w:lang w:val="en-US"/>
              </w:rPr>
              <w:t>Development</w:t>
            </w:r>
            <w:r w:rsidR="00441453" w:rsidRPr="00C44B06">
              <w:rPr>
                <w:b/>
                <w:lang w:val="en-US"/>
              </w:rPr>
              <w:t xml:space="preserve"> </w:t>
            </w:r>
            <w:r w:rsidRPr="00C44B06">
              <w:rPr>
                <w:b/>
                <w:lang w:val="en-US"/>
              </w:rPr>
              <w:t>of</w:t>
            </w:r>
            <w:r w:rsidR="00441453" w:rsidRPr="00C44B06">
              <w:rPr>
                <w:b/>
                <w:lang w:val="en-US"/>
              </w:rPr>
              <w:t xml:space="preserve"> </w:t>
            </w:r>
            <w:r w:rsidRPr="00C44B06">
              <w:rPr>
                <w:b/>
                <w:lang w:val="en-US"/>
              </w:rPr>
              <w:t>children</w:t>
            </w:r>
            <w:r w:rsidR="00441453" w:rsidRPr="00C44B06">
              <w:rPr>
                <w:b/>
                <w:lang w:val="en-US"/>
              </w:rPr>
              <w:t xml:space="preserve"> </w:t>
            </w:r>
            <w:r w:rsidRPr="00C44B06">
              <w:rPr>
                <w:b/>
                <w:lang w:val="en-US"/>
              </w:rPr>
              <w:t>with</w:t>
            </w:r>
            <w:r w:rsidR="00441453" w:rsidRPr="00C44B06">
              <w:rPr>
                <w:b/>
                <w:lang w:val="en-US"/>
              </w:rPr>
              <w:t xml:space="preserve"> </w:t>
            </w:r>
            <w:r w:rsidRPr="00C44B06">
              <w:rPr>
                <w:b/>
                <w:lang w:val="en-US"/>
              </w:rPr>
              <w:t>Congenital</w:t>
            </w:r>
            <w:r w:rsidR="00441453" w:rsidRPr="00C44B06">
              <w:rPr>
                <w:b/>
                <w:lang w:val="en-US"/>
              </w:rPr>
              <w:t xml:space="preserve"> </w:t>
            </w:r>
            <w:r w:rsidRPr="00C44B06">
              <w:rPr>
                <w:b/>
                <w:lang w:val="en-US"/>
              </w:rPr>
              <w:t>Zika</w:t>
            </w:r>
            <w:r w:rsidR="00441453" w:rsidRPr="00C44B06">
              <w:rPr>
                <w:b/>
                <w:lang w:val="en-US"/>
              </w:rPr>
              <w:t xml:space="preserve"> </w:t>
            </w:r>
            <w:r w:rsidRPr="00C44B06">
              <w:rPr>
                <w:b/>
                <w:lang w:val="en-US"/>
              </w:rPr>
              <w:t>Syndrome</w:t>
            </w:r>
            <w:r w:rsidR="00441453" w:rsidRPr="00C44B06">
              <w:rPr>
                <w:b/>
                <w:lang w:val="en-US"/>
              </w:rPr>
              <w:t xml:space="preserve"> </w:t>
            </w:r>
            <w:r w:rsidRPr="00C44B06">
              <w:rPr>
                <w:b/>
                <w:lang w:val="en-US"/>
              </w:rPr>
              <w:t>(CZS)</w:t>
            </w:r>
          </w:p>
        </w:tc>
      </w:tr>
      <w:tr w:rsidR="00714C0F" w:rsidRPr="00C44B06" w14:paraId="3D712CF3" w14:textId="77777777" w:rsidTr="00C44B06">
        <w:trPr>
          <w:trHeight w:val="959"/>
        </w:trPr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B04B7" w14:textId="794AC569" w:rsidR="00091993" w:rsidRPr="00C44B06" w:rsidRDefault="00091993" w:rsidP="00FC64FE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C44B06">
              <w:rPr>
                <w:b/>
                <w:sz w:val="21"/>
                <w:szCs w:val="21"/>
                <w:lang w:val="en-US"/>
              </w:rPr>
              <w:t>Type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of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Study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/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sample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size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(n)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/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reference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0D31E" w14:textId="6814A9AA" w:rsidR="00091993" w:rsidRPr="00C44B06" w:rsidRDefault="00091993" w:rsidP="00FC64FE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C44B06">
              <w:rPr>
                <w:b/>
                <w:sz w:val="21"/>
                <w:szCs w:val="21"/>
                <w:lang w:val="en-US"/>
              </w:rPr>
              <w:t>CZS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Sample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size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022A7" w14:textId="2BF18B7E" w:rsidR="00091993" w:rsidRPr="00C44B06" w:rsidRDefault="00091993" w:rsidP="006D72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C44B06">
              <w:rPr>
                <w:b/>
                <w:sz w:val="21"/>
                <w:szCs w:val="21"/>
                <w:lang w:val="en-US"/>
              </w:rPr>
              <w:t>Zika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laboratory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confirmation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E4B12" w14:textId="6A6A7DDD" w:rsidR="00091993" w:rsidRPr="00C44B06" w:rsidRDefault="00091993" w:rsidP="006D7239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C44B06">
              <w:rPr>
                <w:b/>
                <w:sz w:val="21"/>
                <w:szCs w:val="21"/>
                <w:lang w:val="en-US"/>
              </w:rPr>
              <w:t>Age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of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evaluation*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2A252" w14:textId="77777777" w:rsidR="00091993" w:rsidRPr="00C44B06" w:rsidRDefault="00091993" w:rsidP="006D7239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C44B06">
              <w:rPr>
                <w:b/>
                <w:sz w:val="21"/>
                <w:szCs w:val="21"/>
                <w:lang w:val="en-US"/>
              </w:rPr>
              <w:t>Assessment</w:t>
            </w:r>
          </w:p>
        </w:tc>
        <w:tc>
          <w:tcPr>
            <w:tcW w:w="2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9E0C7" w14:textId="3D938DA0" w:rsidR="00091993" w:rsidRPr="00C44B06" w:rsidRDefault="00091993" w:rsidP="00714C0F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C44B06">
              <w:rPr>
                <w:b/>
                <w:sz w:val="21"/>
                <w:szCs w:val="21"/>
                <w:lang w:val="en-US"/>
              </w:rPr>
              <w:t>Main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b/>
                <w:sz w:val="21"/>
                <w:szCs w:val="21"/>
                <w:lang w:val="en-US"/>
              </w:rPr>
              <w:t>Outcomes</w:t>
            </w:r>
          </w:p>
        </w:tc>
      </w:tr>
      <w:tr w:rsidR="00714C0F" w:rsidRPr="00C44B06" w14:paraId="4AD3C58C" w14:textId="77777777" w:rsidTr="00C44B06">
        <w:trPr>
          <w:trHeight w:val="1169"/>
        </w:trPr>
        <w:tc>
          <w:tcPr>
            <w:tcW w:w="647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9D64D74" w14:textId="487E6783" w:rsidR="00091993" w:rsidRPr="00C44B06" w:rsidRDefault="00091993" w:rsidP="00FC64FE">
            <w:pPr>
              <w:spacing w:before="60"/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Case-series.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CZS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with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normal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head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size.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Van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den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Linden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al.</w:t>
            </w:r>
            <w:r w:rsidR="00714C0F" w:rsidRPr="00C44B06">
              <w:rPr>
                <w:sz w:val="20"/>
                <w:szCs w:val="20"/>
                <w:lang w:val="en-US"/>
              </w:rPr>
              <w:t>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(2016)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66398C" w14:textId="77777777" w:rsidR="00091993" w:rsidRPr="00C44B06" w:rsidRDefault="00091993" w:rsidP="00FC64F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44B06"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BAAAF8" w14:textId="32DDB08B" w:rsidR="00091993" w:rsidRPr="00C44B06" w:rsidRDefault="00091993" w:rsidP="006D723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44B06">
              <w:rPr>
                <w:bCs/>
                <w:sz w:val="22"/>
                <w:szCs w:val="22"/>
                <w:lang w:val="en-US"/>
              </w:rPr>
              <w:t>Yes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3DB05A" w14:textId="77777777" w:rsidR="00091993" w:rsidRPr="00C44B06" w:rsidRDefault="00091993" w:rsidP="006D723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44B06">
              <w:rPr>
                <w:bCs/>
                <w:sz w:val="22"/>
                <w:szCs w:val="22"/>
                <w:lang w:val="en-US"/>
              </w:rPr>
              <w:t>5-12m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A358BF" w14:textId="606CE500" w:rsidR="00091993" w:rsidRPr="00C44B06" w:rsidRDefault="00091993" w:rsidP="006D723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Neuro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exam</w:t>
            </w:r>
          </w:p>
        </w:tc>
        <w:tc>
          <w:tcPr>
            <w:tcW w:w="2572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904804" w14:textId="4BCF3BF9" w:rsidR="00091993" w:rsidRPr="00C44B06" w:rsidRDefault="00091993" w:rsidP="006D7239">
            <w:pPr>
              <w:spacing w:before="60" w:after="60"/>
              <w:jc w:val="both"/>
              <w:rPr>
                <w:sz w:val="22"/>
                <w:szCs w:val="22"/>
                <w:lang w:val="en-US" w:eastAsia="en-US"/>
              </w:rPr>
            </w:pPr>
            <w:r w:rsidRPr="00C44B06">
              <w:rPr>
                <w:sz w:val="22"/>
                <w:szCs w:val="22"/>
                <w:lang w:val="en-US" w:eastAsia="en-US"/>
              </w:rPr>
              <w:t>All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(100%)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motor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impairment.</w:t>
            </w:r>
          </w:p>
          <w:p w14:paraId="352796DF" w14:textId="22D0416B" w:rsidR="00091993" w:rsidRPr="00C44B06" w:rsidRDefault="00091993" w:rsidP="006D7239">
            <w:pPr>
              <w:spacing w:before="60" w:after="60"/>
              <w:jc w:val="both"/>
              <w:rPr>
                <w:sz w:val="22"/>
                <w:szCs w:val="22"/>
                <w:lang w:val="en-US" w:eastAsia="en-US"/>
              </w:rPr>
            </w:pPr>
            <w:r w:rsidRPr="00C44B06">
              <w:rPr>
                <w:sz w:val="22"/>
                <w:szCs w:val="22"/>
                <w:lang w:val="en-US" w:eastAsia="en-US"/>
              </w:rPr>
              <w:t>Comorbidities: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dysphagia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11/13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(77%),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epilepsy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7/13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(54%),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3/13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(23%)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chorioretinal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abnormalities,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2/13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abnormal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hearing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evaluation.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Postnatal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development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of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microcephaly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11/13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(77%).</w:t>
            </w:r>
          </w:p>
        </w:tc>
      </w:tr>
      <w:tr w:rsidR="00714C0F" w:rsidRPr="00C44B06" w14:paraId="1A1BA879" w14:textId="77777777" w:rsidTr="00C44B06"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4E7236" w14:textId="77777777" w:rsidR="00091993" w:rsidRPr="00C44B06" w:rsidRDefault="00091993" w:rsidP="00FC64F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Cross-sectional</w:t>
            </w:r>
          </w:p>
          <w:p w14:paraId="1180601B" w14:textId="287CC26A" w:rsidR="00091993" w:rsidRPr="00C44B06" w:rsidRDefault="00091993" w:rsidP="00FC64F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Satterfield-Nash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al</w:t>
            </w:r>
            <w:r w:rsidRPr="00C44B06">
              <w:rPr>
                <w:sz w:val="20"/>
                <w:szCs w:val="20"/>
                <w:lang w:val="en-US"/>
              </w:rPr>
              <w:t>.</w:t>
            </w:r>
            <w:r w:rsidR="00714C0F" w:rsidRPr="00C44B06">
              <w:rPr>
                <w:sz w:val="20"/>
                <w:szCs w:val="20"/>
                <w:lang w:val="en-US"/>
              </w:rPr>
              <w:t>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(2017)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F3A129" w14:textId="77777777" w:rsidR="00091993" w:rsidRPr="00C44B06" w:rsidRDefault="00091993" w:rsidP="00FC64FE">
            <w:pPr>
              <w:jc w:val="center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7A61F6" w14:textId="77777777" w:rsidR="00091993" w:rsidRPr="00C44B06" w:rsidRDefault="00091993" w:rsidP="006D7239">
            <w:pPr>
              <w:jc w:val="center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0CD976" w14:textId="77777777" w:rsidR="00091993" w:rsidRPr="00C44B06" w:rsidRDefault="00091993" w:rsidP="006D7239">
            <w:pPr>
              <w:jc w:val="center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19-24m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FF3518" w14:textId="7DCA9497" w:rsidR="00091993" w:rsidRPr="00C44B06" w:rsidRDefault="00091993" w:rsidP="006D7239">
            <w:pPr>
              <w:jc w:val="center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HINE,</w:t>
            </w:r>
          </w:p>
          <w:p w14:paraId="3BA4C085" w14:textId="77777777" w:rsidR="00091993" w:rsidRPr="00C44B06" w:rsidRDefault="00091993" w:rsidP="006D7239">
            <w:pPr>
              <w:jc w:val="center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ASQ-3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7A9040" w14:textId="2104CCDF" w:rsidR="00091993" w:rsidRPr="00C44B06" w:rsidRDefault="00091993" w:rsidP="006D7239">
            <w:pPr>
              <w:pStyle w:val="p1"/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(79%)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severe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motor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impairment.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patients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(79%)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did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not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pass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the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ASQ-3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age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interval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questionnaire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designed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for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child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aged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months.</w:t>
            </w:r>
          </w:p>
          <w:p w14:paraId="0AFCAA3D" w14:textId="04C2C187" w:rsidR="00091993" w:rsidRPr="00C44B06" w:rsidRDefault="00091993" w:rsidP="006D7239">
            <w:pPr>
              <w:pStyle w:val="p1"/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Comorbidities: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sleeping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disturbances,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(47%)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feeding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difficulties,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11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(58%)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vision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and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(68%)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hearing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abnormalities</w:t>
            </w:r>
            <w:r w:rsidR="006D7239" w:rsidRPr="00C44B06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</w:tr>
      <w:tr w:rsidR="00714C0F" w:rsidRPr="00C44B06" w14:paraId="544CBEC7" w14:textId="77777777" w:rsidTr="00C44B06">
        <w:trPr>
          <w:trHeight w:val="748"/>
        </w:trPr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1AFA48" w14:textId="5F448E4E" w:rsidR="00091993" w:rsidRPr="00C44B06" w:rsidRDefault="00091993" w:rsidP="00FC64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Cross-sectional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</w:p>
          <w:p w14:paraId="50006B34" w14:textId="09F84D67" w:rsidR="00091993" w:rsidRPr="00C44B06" w:rsidRDefault="00091993" w:rsidP="00FC64F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França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al</w:t>
            </w:r>
            <w:r w:rsidRPr="00C44B06">
              <w:rPr>
                <w:sz w:val="20"/>
                <w:szCs w:val="20"/>
                <w:lang w:val="en-US"/>
              </w:rPr>
              <w:t>.</w:t>
            </w:r>
            <w:r w:rsidR="00714C0F" w:rsidRPr="00C44B06">
              <w:rPr>
                <w:sz w:val="20"/>
                <w:szCs w:val="20"/>
                <w:lang w:val="en-US"/>
              </w:rPr>
              <w:t>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(2018)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1D9BEF" w14:textId="77777777" w:rsidR="00091993" w:rsidRPr="00C44B06" w:rsidRDefault="00091993" w:rsidP="00FC64FE">
            <w:pPr>
              <w:jc w:val="center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F3E4D4" w14:textId="77777777" w:rsidR="00091993" w:rsidRPr="00C44B06" w:rsidRDefault="00091993" w:rsidP="006D7239">
            <w:pPr>
              <w:ind w:left="-149" w:right="-52"/>
              <w:jc w:val="center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No</w:t>
            </w:r>
          </w:p>
          <w:p w14:paraId="1C9EA462" w14:textId="39916E3E" w:rsidR="00091993" w:rsidRPr="00C44B06" w:rsidRDefault="00091993" w:rsidP="006D7239">
            <w:pPr>
              <w:ind w:left="-149" w:right="-52"/>
              <w:jc w:val="center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(clinical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criteria)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3CD38C" w14:textId="23F7D181" w:rsidR="00091993" w:rsidRPr="00C44B06" w:rsidRDefault="00091993" w:rsidP="00C44B06">
            <w:pPr>
              <w:jc w:val="center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21±2m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8CA7E9" w14:textId="77777777" w:rsidR="00091993" w:rsidRPr="00C44B06" w:rsidRDefault="00091993" w:rsidP="006D7239">
            <w:pPr>
              <w:jc w:val="center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BSID-I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124779" w14:textId="15E2B9A2" w:rsidR="00091993" w:rsidRPr="00C44B06" w:rsidRDefault="00091993" w:rsidP="006D723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lang w:val="en-US" w:eastAsia="en-US"/>
              </w:rPr>
            </w:pPr>
            <w:r w:rsidRPr="00C44B06">
              <w:rPr>
                <w:sz w:val="22"/>
                <w:szCs w:val="22"/>
                <w:lang w:val="en-US" w:eastAsia="en-US"/>
              </w:rPr>
              <w:t>All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extremely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low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performance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in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the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motor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</w:t>
            </w:r>
            <w:r w:rsidRPr="00C44B06">
              <w:rPr>
                <w:sz w:val="22"/>
                <w:szCs w:val="22"/>
                <w:lang w:val="en-US"/>
              </w:rPr>
              <w:t>47±2)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and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cognitive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</w:t>
            </w:r>
            <w:r w:rsidRPr="00C44B06">
              <w:rPr>
                <w:sz w:val="22"/>
                <w:szCs w:val="22"/>
                <w:lang w:val="en-US"/>
              </w:rPr>
              <w:t>55±0)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development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domains</w:t>
            </w:r>
            <w:r w:rsidRPr="00C44B06">
              <w:rPr>
                <w:sz w:val="22"/>
                <w:szCs w:val="22"/>
                <w:lang w:val="en-US"/>
              </w:rPr>
              <w:t>.</w:t>
            </w:r>
          </w:p>
        </w:tc>
      </w:tr>
      <w:tr w:rsidR="00714C0F" w:rsidRPr="00C44B06" w14:paraId="3072E325" w14:textId="77777777" w:rsidTr="00C44B06"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3FBF9F" w14:textId="0EB22A61" w:rsidR="00091993" w:rsidRPr="00C44B06" w:rsidRDefault="00091993" w:rsidP="00FC64FE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Case-series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</w:p>
          <w:p w14:paraId="6BA6FCBE" w14:textId="19DCCB4D" w:rsidR="00091993" w:rsidRPr="00C44B06" w:rsidRDefault="00091993" w:rsidP="00FC64FE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Alves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al</w:t>
            </w:r>
            <w:r w:rsidRPr="00C44B06">
              <w:rPr>
                <w:sz w:val="20"/>
                <w:szCs w:val="20"/>
                <w:lang w:val="en-US"/>
              </w:rPr>
              <w:t>.</w:t>
            </w:r>
            <w:r w:rsidR="00714C0F" w:rsidRPr="00C44B06">
              <w:rPr>
                <w:sz w:val="20"/>
                <w:szCs w:val="20"/>
                <w:lang w:val="en-US"/>
              </w:rPr>
              <w:t>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(2018)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3AF7E5" w14:textId="77777777" w:rsidR="00091993" w:rsidRPr="00C44B06" w:rsidRDefault="00091993" w:rsidP="00FC64FE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24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44AAD6" w14:textId="77777777" w:rsidR="00091993" w:rsidRPr="00C44B06" w:rsidRDefault="00091993" w:rsidP="006D7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No</w:t>
            </w:r>
          </w:p>
          <w:p w14:paraId="725AB8BF" w14:textId="55A1267E" w:rsidR="00091993" w:rsidRPr="00C44B06" w:rsidRDefault="00091993" w:rsidP="006D7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(clinical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criteria)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6E59EB" w14:textId="77777777" w:rsidR="00091993" w:rsidRPr="00C44B06" w:rsidRDefault="00091993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16-24m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7C60D1" w14:textId="3DD371BD" w:rsidR="00091993" w:rsidRPr="00C44B06" w:rsidRDefault="00091993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DDST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II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9B009A" w14:textId="5459BC16" w:rsidR="00091993" w:rsidRPr="00C44B06" w:rsidRDefault="00091993" w:rsidP="006D723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lang w:val="en-US" w:eastAsia="en-US"/>
              </w:rPr>
            </w:pPr>
            <w:r w:rsidRPr="00C44B06">
              <w:rPr>
                <w:sz w:val="22"/>
                <w:szCs w:val="22"/>
                <w:lang w:val="en-US" w:eastAsia="en-US"/>
              </w:rPr>
              <w:t>All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(100%)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severe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delay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in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language,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motor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(gross,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fine/adaptative)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and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personal/social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domains.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Epilepsy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23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(96%).</w:t>
            </w:r>
          </w:p>
        </w:tc>
      </w:tr>
      <w:tr w:rsidR="00714C0F" w:rsidRPr="00C44B06" w14:paraId="73593E67" w14:textId="77777777" w:rsidTr="00C44B06"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280DC0E" w14:textId="77777777" w:rsidR="00091993" w:rsidRPr="00C44B06" w:rsidRDefault="00091993" w:rsidP="00FC64FE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Cross-sectional</w:t>
            </w:r>
          </w:p>
          <w:p w14:paraId="6486E837" w14:textId="08333653" w:rsidR="00091993" w:rsidRPr="00C44B06" w:rsidRDefault="00AC4039" w:rsidP="00FC64FE">
            <w:pPr>
              <w:rPr>
                <w:sz w:val="20"/>
                <w:szCs w:val="20"/>
                <w:lang w:val="en-US"/>
              </w:rPr>
            </w:pPr>
            <w:hyperlink r:id="rId4" w:history="1">
              <w:r w:rsidR="00091993" w:rsidRPr="00C44B06">
                <w:rPr>
                  <w:sz w:val="20"/>
                  <w:szCs w:val="20"/>
                  <w:lang w:val="en-US"/>
                </w:rPr>
                <w:t>Ferreira</w:t>
              </w:r>
            </w:hyperlink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="00091993" w:rsidRPr="00C44B06">
              <w:rPr>
                <w:i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i/>
                <w:sz w:val="20"/>
                <w:szCs w:val="20"/>
                <w:lang w:val="en-US"/>
              </w:rPr>
              <w:t xml:space="preserve"> </w:t>
            </w:r>
            <w:r w:rsidR="00091993" w:rsidRPr="00C44B06">
              <w:rPr>
                <w:i/>
                <w:sz w:val="20"/>
                <w:szCs w:val="20"/>
                <w:lang w:val="en-US"/>
              </w:rPr>
              <w:t>al</w:t>
            </w:r>
            <w:r w:rsidR="00091993" w:rsidRPr="00C44B06">
              <w:rPr>
                <w:sz w:val="20"/>
                <w:szCs w:val="20"/>
                <w:lang w:val="en-US"/>
              </w:rPr>
              <w:t>.</w:t>
            </w:r>
            <w:r w:rsidR="00714C0F" w:rsidRPr="00C44B06">
              <w:rPr>
                <w:sz w:val="20"/>
                <w:szCs w:val="20"/>
                <w:lang w:val="en-US"/>
              </w:rPr>
              <w:t>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="00091993" w:rsidRPr="00C44B06">
              <w:rPr>
                <w:sz w:val="20"/>
                <w:szCs w:val="20"/>
                <w:lang w:val="en-US"/>
              </w:rPr>
              <w:t>(2018)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876BBC" w14:textId="77777777" w:rsidR="00091993" w:rsidRPr="00C44B06" w:rsidRDefault="00091993" w:rsidP="00FC64FE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C44B06">
              <w:rPr>
                <w:sz w:val="21"/>
                <w:szCs w:val="21"/>
                <w:lang w:val="en-US" w:eastAsia="en-US"/>
              </w:rPr>
              <w:t>34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04B712" w14:textId="77777777" w:rsidR="00714C0F" w:rsidRPr="00C44B06" w:rsidRDefault="00091993" w:rsidP="006D7239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C44B06">
              <w:rPr>
                <w:sz w:val="21"/>
                <w:szCs w:val="21"/>
                <w:lang w:val="en-US" w:eastAsia="en-US"/>
              </w:rPr>
              <w:t>No</w:t>
            </w:r>
          </w:p>
          <w:p w14:paraId="343CD866" w14:textId="37BFCCD5" w:rsidR="00091993" w:rsidRPr="00C44B06" w:rsidRDefault="00091993" w:rsidP="006D7239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C44B06">
              <w:rPr>
                <w:sz w:val="21"/>
                <w:szCs w:val="21"/>
                <w:lang w:val="en-US" w:eastAsia="en-US"/>
              </w:rPr>
              <w:t>(clinical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criteria)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469760" w14:textId="77777777" w:rsidR="00091993" w:rsidRPr="00C44B06" w:rsidRDefault="00091993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 w:eastAsia="en-US"/>
              </w:rPr>
              <w:t>21±7m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29FAF1" w14:textId="5FB36BBA" w:rsidR="00091993" w:rsidRPr="00C44B06" w:rsidRDefault="00091993" w:rsidP="006D7239">
            <w:pPr>
              <w:jc w:val="center"/>
              <w:rPr>
                <w:sz w:val="21"/>
                <w:szCs w:val="22"/>
                <w:lang w:val="en-US" w:eastAsia="en-US"/>
              </w:rPr>
            </w:pPr>
            <w:r w:rsidRPr="00C44B06">
              <w:rPr>
                <w:sz w:val="21"/>
                <w:szCs w:val="22"/>
                <w:lang w:val="en-US" w:eastAsia="en-US"/>
              </w:rPr>
              <w:t>ICF</w:t>
            </w:r>
          </w:p>
          <w:p w14:paraId="3D8CCAD0" w14:textId="5DA0E9C3" w:rsidR="00091993" w:rsidRPr="00C44B06" w:rsidRDefault="00091993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 w:eastAsia="en-US"/>
              </w:rPr>
              <w:t>&amp;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ICF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Core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Set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for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cerebral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palsy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4D708B" w14:textId="7BB8C7F5" w:rsidR="00091993" w:rsidRPr="00C44B06" w:rsidRDefault="00091993" w:rsidP="006D7239">
            <w:pPr>
              <w:pStyle w:val="p1"/>
              <w:ind w:firstLine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All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(100%)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severe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disability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of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mental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functions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of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language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and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&gt;80%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severe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or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complete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disability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in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motor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and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intellectual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functions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as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well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as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personal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interactions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95%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extreme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difficulty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in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performing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age-appropriate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fine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hand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movements.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They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were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unable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to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use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any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type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of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utensils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or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drinking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vessels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</w:p>
          <w:p w14:paraId="7EE35C4F" w14:textId="63860CD1" w:rsidR="00091993" w:rsidRPr="00C44B06" w:rsidRDefault="00091993" w:rsidP="006D7239">
            <w:pPr>
              <w:pStyle w:val="p1"/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Comorbidities: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altered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sleep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20.6%,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sensation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of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pain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11.8%.</w:t>
            </w:r>
          </w:p>
        </w:tc>
      </w:tr>
      <w:tr w:rsidR="00714C0F" w:rsidRPr="00C44B06" w14:paraId="1CF94506" w14:textId="77777777" w:rsidTr="00C44B06"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E47601" w14:textId="77777777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Cross-sectional</w:t>
            </w:r>
          </w:p>
          <w:p w14:paraId="3AA74421" w14:textId="55D31741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Wheeler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al</w:t>
            </w:r>
            <w:r w:rsidRPr="00C44B06">
              <w:rPr>
                <w:sz w:val="20"/>
                <w:szCs w:val="20"/>
                <w:lang w:val="en-US"/>
              </w:rPr>
              <w:t>.,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(2018)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ED8359" w14:textId="5E37756D" w:rsidR="00714C0F" w:rsidRPr="00C44B06" w:rsidRDefault="00714C0F" w:rsidP="00714C0F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C44B06">
              <w:rPr>
                <w:sz w:val="21"/>
                <w:szCs w:val="21"/>
                <w:lang w:val="en-US"/>
              </w:rPr>
              <w:t>47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D4D39C" w14:textId="10A0C39F" w:rsidR="00714C0F" w:rsidRPr="00C44B06" w:rsidRDefault="00714C0F" w:rsidP="006D7239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C44B06">
              <w:rPr>
                <w:sz w:val="21"/>
                <w:lang w:val="en-US"/>
              </w:rPr>
              <w:t>Yes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C6DF31" w14:textId="027D6942" w:rsidR="00714C0F" w:rsidRPr="00C44B06" w:rsidRDefault="00714C0F" w:rsidP="006D7239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C44B06">
              <w:rPr>
                <w:sz w:val="21"/>
                <w:szCs w:val="21"/>
                <w:lang w:val="en-US"/>
              </w:rPr>
              <w:t>16±3m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3BA8D3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ASQ-3</w:t>
            </w:r>
          </w:p>
          <w:p w14:paraId="7E6D1444" w14:textId="2BC861B3" w:rsidR="00714C0F" w:rsidRPr="00C44B06" w:rsidRDefault="00714C0F" w:rsidP="006D7239">
            <w:pPr>
              <w:jc w:val="center"/>
              <w:rPr>
                <w:sz w:val="21"/>
                <w:szCs w:val="22"/>
                <w:lang w:val="en-US" w:eastAsia="en-US"/>
              </w:rPr>
            </w:pPr>
            <w:r w:rsidRPr="00C44B06">
              <w:rPr>
                <w:sz w:val="21"/>
                <w:szCs w:val="22"/>
                <w:lang w:val="en-US"/>
              </w:rPr>
              <w:t>BISQ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AF811F" w14:textId="25A65257" w:rsidR="00714C0F" w:rsidRPr="00C44B06" w:rsidRDefault="00714C0F" w:rsidP="006D7239">
            <w:pPr>
              <w:pStyle w:val="p1"/>
              <w:ind w:firstLine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All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(100%)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well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below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developmental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/>
              </w:rPr>
              <w:t>expectations.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Sleep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problems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in</w:t>
            </w:r>
            <w:r w:rsidR="00441453"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ascii="Times New Roman" w:hAnsi="Times New Roman"/>
                <w:sz w:val="22"/>
                <w:szCs w:val="22"/>
                <w:lang w:val="en-US" w:eastAsia="en-US"/>
              </w:rPr>
              <w:t>18%.</w:t>
            </w:r>
          </w:p>
        </w:tc>
      </w:tr>
      <w:tr w:rsidR="00714C0F" w:rsidRPr="00C44B06" w14:paraId="67189677" w14:textId="77777777" w:rsidTr="00C44B06"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7F1966" w14:textId="4DBA80C0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Case-series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</w:p>
          <w:p w14:paraId="47FE0A56" w14:textId="06385E06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Marques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al</w:t>
            </w:r>
            <w:r w:rsidRPr="00C44B06">
              <w:rPr>
                <w:sz w:val="20"/>
                <w:szCs w:val="20"/>
                <w:lang w:val="en-US"/>
              </w:rPr>
              <w:t>.,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(2019)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DF6C7E" w14:textId="77777777" w:rsidR="00714C0F" w:rsidRPr="00C44B06" w:rsidRDefault="00714C0F" w:rsidP="00714C0F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39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520327" w14:textId="7905A18C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Yes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24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(61.5%)</w:t>
            </w:r>
          </w:p>
          <w:p w14:paraId="71ABC91C" w14:textId="6629194E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No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(clinical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criteria)</w:t>
            </w:r>
          </w:p>
          <w:p w14:paraId="5880732D" w14:textId="4D27A807" w:rsidR="00714C0F" w:rsidRPr="00C44B06" w:rsidRDefault="00714C0F" w:rsidP="006D7239">
            <w:pPr>
              <w:jc w:val="center"/>
              <w:rPr>
                <w:sz w:val="21"/>
                <w:szCs w:val="21"/>
                <w:vertAlign w:val="subscript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15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(38.5%)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CF62C8" w14:textId="77777777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6-18m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0D7FE6" w14:textId="77777777" w:rsidR="00714C0F" w:rsidRPr="00C44B06" w:rsidRDefault="00714C0F" w:rsidP="006D7239">
            <w:pPr>
              <w:spacing w:before="60"/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AIMS</w:t>
            </w:r>
          </w:p>
          <w:p w14:paraId="15F09451" w14:textId="77777777" w:rsidR="00714C0F" w:rsidRPr="00C44B06" w:rsidRDefault="00714C0F" w:rsidP="006D7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BSID-III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76A158" w14:textId="15F2A7ED" w:rsidR="00714C0F" w:rsidRPr="00C44B06" w:rsidRDefault="00714C0F" w:rsidP="006D72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All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(100%)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marked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delay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in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gross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motor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development.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At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the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age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of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18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months,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the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mean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AIMS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corresponding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to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motor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development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equivalent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to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4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to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5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months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of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age.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Gross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motor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function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score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in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BSID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III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at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12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was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10.76±11.77.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 </w:t>
            </w:r>
            <w:r w:rsidRPr="00C44B06">
              <w:rPr>
                <w:sz w:val="22"/>
                <w:szCs w:val="22"/>
                <w:lang w:val="en-US"/>
              </w:rPr>
              <w:t>Cerebral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palsy: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35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(90%).</w:t>
            </w:r>
          </w:p>
        </w:tc>
      </w:tr>
      <w:tr w:rsidR="00714C0F" w:rsidRPr="00C44B06" w14:paraId="58B9FF1C" w14:textId="77777777" w:rsidTr="00C44B06"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5149D8" w14:textId="7A18FEDA" w:rsidR="00714C0F" w:rsidRPr="00C44B06" w:rsidRDefault="00714C0F" w:rsidP="00714C0F">
            <w:pPr>
              <w:rPr>
                <w:rStyle w:val="tlid-translation"/>
                <w:sz w:val="20"/>
                <w:szCs w:val="20"/>
                <w:lang w:val="en-US"/>
              </w:rPr>
            </w:pPr>
            <w:r w:rsidRPr="00C44B06">
              <w:rPr>
                <w:rStyle w:val="tlid-translation"/>
                <w:sz w:val="20"/>
                <w:szCs w:val="20"/>
                <w:lang w:val="en-US"/>
              </w:rPr>
              <w:t>Case-series: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CZS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with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cerebral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palsy</w:t>
            </w:r>
          </w:p>
          <w:p w14:paraId="0A8AAB8E" w14:textId="39D9156A" w:rsidR="00714C0F" w:rsidRPr="00C44B06" w:rsidRDefault="00714C0F" w:rsidP="00714C0F">
            <w:pPr>
              <w:rPr>
                <w:rStyle w:val="tlid-translation"/>
                <w:sz w:val="20"/>
                <w:szCs w:val="20"/>
                <w:lang w:val="en-US"/>
              </w:rPr>
            </w:pPr>
            <w:r w:rsidRPr="00C44B06">
              <w:rPr>
                <w:rStyle w:val="tlid-translation"/>
                <w:sz w:val="20"/>
                <w:szCs w:val="20"/>
                <w:lang w:val="en-US"/>
              </w:rPr>
              <w:t>Carvalho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i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rStyle w:val="tlid-translation"/>
                <w:i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i/>
                <w:sz w:val="20"/>
                <w:szCs w:val="20"/>
                <w:lang w:val="en-US"/>
              </w:rPr>
              <w:t>al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.,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(2019)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E41006" w14:textId="77777777" w:rsidR="00714C0F" w:rsidRPr="00C44B06" w:rsidRDefault="00714C0F" w:rsidP="00714C0F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82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77AD1" w14:textId="1AE269C0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No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(clinical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criteria)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3F6617" w14:textId="0138969D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13±2.1m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3C42BE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BSID-III</w:t>
            </w:r>
          </w:p>
          <w:p w14:paraId="36D94A51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GMFCS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4D05B" w14:textId="3061C912" w:rsidR="00714C0F" w:rsidRPr="00C44B06" w:rsidRDefault="00714C0F" w:rsidP="006D723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lang w:val="en-US" w:eastAsia="en-US"/>
              </w:rPr>
            </w:pPr>
            <w:r w:rsidRPr="00C44B06">
              <w:rPr>
                <w:sz w:val="22"/>
                <w:szCs w:val="22"/>
                <w:lang w:val="en-US" w:eastAsia="en-US"/>
              </w:rPr>
              <w:t>96%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Spastic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cerebral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palsy;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GMFCS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level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IV-V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86%,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absent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expected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postural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reactions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93%,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persistence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of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primitive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reflexes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95%.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Epilepsy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63%.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Extremely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low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performances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on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cognitive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(95%),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language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(98%)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and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motor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(98%)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developmental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lastRenderedPageBreak/>
              <w:t>scores.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Positive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correlation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between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the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cognitive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score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and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birth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head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circumference.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Abnormalities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in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evoked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visual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potentials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7%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and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brainstem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auditory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evoked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potentials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13%.</w:t>
            </w:r>
          </w:p>
        </w:tc>
      </w:tr>
      <w:tr w:rsidR="00714C0F" w:rsidRPr="00C44B06" w14:paraId="0BE89AF8" w14:textId="77777777" w:rsidTr="00C44B06"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7CBD05" w14:textId="5FB099C9" w:rsidR="00714C0F" w:rsidRPr="00C44B06" w:rsidRDefault="00714C0F" w:rsidP="00714C0F">
            <w:pPr>
              <w:rPr>
                <w:rStyle w:val="tlid-translation"/>
                <w:sz w:val="20"/>
                <w:szCs w:val="20"/>
                <w:lang w:val="en-US"/>
              </w:rPr>
            </w:pPr>
            <w:r w:rsidRPr="00C44B06">
              <w:rPr>
                <w:rStyle w:val="tlid-translation"/>
                <w:sz w:val="20"/>
                <w:szCs w:val="20"/>
                <w:lang w:val="en-US"/>
              </w:rPr>
              <w:lastRenderedPageBreak/>
              <w:t>Case-series.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CZS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with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cerebral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palsy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</w:p>
          <w:p w14:paraId="366C5F94" w14:textId="24428799" w:rsidR="00714C0F" w:rsidRPr="00C44B06" w:rsidRDefault="00714C0F" w:rsidP="00714C0F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C44B06">
              <w:rPr>
                <w:rStyle w:val="tlid-translation"/>
                <w:sz w:val="20"/>
                <w:szCs w:val="20"/>
                <w:lang w:val="en-US"/>
              </w:rPr>
              <w:t>Carvalho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i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rStyle w:val="tlid-translation"/>
                <w:i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i/>
                <w:sz w:val="20"/>
                <w:szCs w:val="20"/>
                <w:lang w:val="en-US"/>
              </w:rPr>
              <w:t>al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.,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(2019)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9B86DB" w14:textId="77777777" w:rsidR="00714C0F" w:rsidRPr="00C44B06" w:rsidRDefault="00714C0F" w:rsidP="00714C0F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69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6D36EC" w14:textId="77777777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No</w:t>
            </w:r>
          </w:p>
          <w:p w14:paraId="47917472" w14:textId="13DE1E4F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(clinical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criteria)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595E7E" w14:textId="0A9ADF07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Median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24m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(23-32)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8AC3CA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BSDI-III</w:t>
            </w:r>
          </w:p>
          <w:p w14:paraId="5186092E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GMFCS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1AF9A9" w14:textId="5CD54015" w:rsidR="00714C0F" w:rsidRPr="00C44B06" w:rsidRDefault="00714C0F" w:rsidP="006D72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 w:eastAsia="en-US"/>
              </w:rPr>
              <w:t>All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(100%)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spastic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cerebral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palsy;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quadriplegic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91%,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hemiplegic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6%,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diplegic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3%.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GMFCS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level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IV-V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in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93%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of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the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patients.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Epilepsy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73%.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Practically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all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had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extremely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low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performances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in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each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domain: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 </w:t>
            </w:r>
            <w:r w:rsidRPr="00C44B06">
              <w:rPr>
                <w:sz w:val="22"/>
                <w:szCs w:val="22"/>
                <w:lang w:val="en-US"/>
              </w:rPr>
              <w:t>cognitive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(57.0±7.6),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language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(49.4±6.9)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and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motor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(47.8±6.7).</w:t>
            </w:r>
          </w:p>
        </w:tc>
      </w:tr>
      <w:tr w:rsidR="00714C0F" w:rsidRPr="00C44B06" w14:paraId="0DA10210" w14:textId="77777777" w:rsidTr="00C44B06"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8DD603" w14:textId="63804FE0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Case-series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</w:p>
          <w:p w14:paraId="5D581A96" w14:textId="2FC8B3ED" w:rsidR="00714C0F" w:rsidRPr="00C44B06" w:rsidRDefault="00714C0F" w:rsidP="00714C0F">
            <w:pPr>
              <w:rPr>
                <w:sz w:val="20"/>
                <w:szCs w:val="20"/>
                <w:highlight w:val="yellow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Lima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al</w:t>
            </w:r>
            <w:r w:rsidRPr="00C44B06">
              <w:rPr>
                <w:sz w:val="20"/>
                <w:szCs w:val="20"/>
                <w:lang w:val="en-US"/>
              </w:rPr>
              <w:t>.,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(2019)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00E31B" w14:textId="77777777" w:rsidR="00714C0F" w:rsidRPr="00C44B06" w:rsidRDefault="00714C0F" w:rsidP="00714C0F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16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D66E4E" w14:textId="77777777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No</w:t>
            </w:r>
          </w:p>
          <w:p w14:paraId="75154AE3" w14:textId="669FA49E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(clinical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criteria)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E6DCA0" w14:textId="77777777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6-24m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AAD132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PEDI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285AA8" w14:textId="41F68422" w:rsidR="00714C0F" w:rsidRPr="00C44B06" w:rsidRDefault="00714C0F" w:rsidP="006D7239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Delay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in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the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domains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of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self-care,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social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function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and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mobility.</w:t>
            </w:r>
          </w:p>
          <w:p w14:paraId="122AC3AA" w14:textId="7CC4641A" w:rsidR="00714C0F" w:rsidRPr="00C44B06" w:rsidRDefault="00714C0F" w:rsidP="006D7239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Comorbidities: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ophthalmologic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alterations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69%,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hearing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alterations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19%,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seizures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75%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and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gastroesophageal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reflux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25%.</w:t>
            </w:r>
          </w:p>
        </w:tc>
      </w:tr>
      <w:tr w:rsidR="00714C0F" w:rsidRPr="00C44B06" w14:paraId="17EEDC30" w14:textId="77777777" w:rsidTr="00C44B06">
        <w:trPr>
          <w:trHeight w:val="860"/>
        </w:trPr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D8E737" w14:textId="77777777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Case-series</w:t>
            </w:r>
          </w:p>
          <w:p w14:paraId="402B2D27" w14:textId="717E0E01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Vianna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al</w:t>
            </w:r>
            <w:r w:rsidRPr="00C44B06">
              <w:rPr>
                <w:sz w:val="20"/>
                <w:szCs w:val="20"/>
                <w:lang w:val="en-US"/>
              </w:rPr>
              <w:t>.,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(2019)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701AE4" w14:textId="77777777" w:rsidR="00714C0F" w:rsidRPr="00C44B06" w:rsidRDefault="00714C0F" w:rsidP="00714C0F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26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C481FC" w14:textId="77777777" w:rsidR="00714C0F" w:rsidRPr="00C44B06" w:rsidRDefault="00714C0F" w:rsidP="006D7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Yes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BB5C44" w14:textId="77777777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18m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CF6DA0" w14:textId="7CD186FA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DDST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II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AD738E" w14:textId="6828B302" w:rsidR="00714C0F" w:rsidRPr="00C44B06" w:rsidRDefault="00714C0F" w:rsidP="006D723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lang w:val="en-US" w:eastAsia="en-US"/>
              </w:rPr>
            </w:pPr>
            <w:r w:rsidRPr="00C44B06">
              <w:rPr>
                <w:sz w:val="22"/>
                <w:szCs w:val="22"/>
                <w:lang w:val="en-US" w:eastAsia="en-US"/>
              </w:rPr>
              <w:t>All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(100%)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motor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abnormalities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and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developmental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delay.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Epilepsy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69%</w:t>
            </w:r>
            <w:r w:rsidR="006D7239" w:rsidRPr="00C44B06">
              <w:rPr>
                <w:sz w:val="22"/>
                <w:szCs w:val="22"/>
                <w:lang w:val="en-US" w:eastAsia="en-US"/>
              </w:rPr>
              <w:t>.</w:t>
            </w:r>
          </w:p>
          <w:p w14:paraId="56370605" w14:textId="3279BAAD" w:rsidR="00714C0F" w:rsidRPr="00C44B06" w:rsidRDefault="00714C0F" w:rsidP="006D723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 w:eastAsia="en-US"/>
              </w:rPr>
              <w:t>Comorbidities: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dysphagia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92%.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Ophthalmologic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disorders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46%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(optic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nerve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hypoplasia,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macular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scarring,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pigmentary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retinal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mottling,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coloboma).</w:t>
            </w:r>
          </w:p>
        </w:tc>
      </w:tr>
      <w:tr w:rsidR="00714C0F" w:rsidRPr="00C44B06" w14:paraId="36AE5351" w14:textId="77777777" w:rsidTr="00C44B06">
        <w:trPr>
          <w:trHeight w:val="857"/>
        </w:trPr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181E645" w14:textId="4991B00C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Cohort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study.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</w:p>
          <w:p w14:paraId="2F6BADD3" w14:textId="2BEE323D" w:rsidR="00714C0F" w:rsidRPr="00C44B06" w:rsidRDefault="00714C0F" w:rsidP="00714C0F">
            <w:pPr>
              <w:rPr>
                <w:sz w:val="20"/>
                <w:szCs w:val="20"/>
                <w:highlight w:val="yellow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35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CZS,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76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prenatally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exposed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to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ZKV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without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CZS,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and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333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control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group.</w:t>
            </w:r>
            <w:r w:rsidR="00441453" w:rsidRPr="00C44B06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50F83970" w14:textId="3A71340B" w:rsidR="00714C0F" w:rsidRPr="00C44B06" w:rsidRDefault="00714C0F" w:rsidP="00714C0F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Einspieler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al</w:t>
            </w:r>
            <w:r w:rsidRPr="00C44B06">
              <w:rPr>
                <w:sz w:val="20"/>
                <w:szCs w:val="20"/>
                <w:lang w:val="en-US"/>
              </w:rPr>
              <w:t>.,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(2019)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ADC7E7" w14:textId="18406729" w:rsidR="00714C0F" w:rsidRPr="00C44B06" w:rsidRDefault="00714C0F" w:rsidP="00714C0F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35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E8651" w14:textId="77777777" w:rsidR="00714C0F" w:rsidRPr="00C44B06" w:rsidRDefault="00714C0F" w:rsidP="006D7239">
            <w:pPr>
              <w:jc w:val="center"/>
              <w:rPr>
                <w:sz w:val="21"/>
                <w:lang w:val="en-US"/>
              </w:rPr>
            </w:pPr>
            <w:r w:rsidRPr="00C44B06">
              <w:rPr>
                <w:sz w:val="21"/>
                <w:lang w:val="en-US"/>
              </w:rPr>
              <w:t>No</w:t>
            </w:r>
          </w:p>
          <w:p w14:paraId="5ADAB1F9" w14:textId="551002C3" w:rsidR="00714C0F" w:rsidRPr="00C44B06" w:rsidRDefault="00714C0F" w:rsidP="006D7239">
            <w:pPr>
              <w:jc w:val="center"/>
              <w:rPr>
                <w:sz w:val="21"/>
                <w:lang w:val="en-US"/>
              </w:rPr>
            </w:pPr>
            <w:r w:rsidRPr="00C44B06">
              <w:rPr>
                <w:sz w:val="21"/>
                <w:lang w:val="en-US"/>
              </w:rPr>
              <w:t>(clinical</w:t>
            </w:r>
            <w:r w:rsidR="00441453" w:rsidRPr="00C44B06">
              <w:rPr>
                <w:sz w:val="21"/>
                <w:lang w:val="en-US"/>
              </w:rPr>
              <w:t xml:space="preserve"> </w:t>
            </w:r>
            <w:r w:rsidRPr="00C44B06">
              <w:rPr>
                <w:sz w:val="21"/>
                <w:lang w:val="en-US"/>
              </w:rPr>
              <w:t>criteria)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EA7B1F" w14:textId="540C9F84" w:rsidR="00714C0F" w:rsidRPr="00C44B06" w:rsidRDefault="00714C0F" w:rsidP="006D7239">
            <w:pPr>
              <w:jc w:val="center"/>
              <w:rPr>
                <w:sz w:val="21"/>
                <w:lang w:val="en-US"/>
              </w:rPr>
            </w:pPr>
            <w:r w:rsidRPr="00C44B06">
              <w:rPr>
                <w:sz w:val="21"/>
                <w:lang w:val="en-US"/>
              </w:rPr>
              <w:t>9-20</w:t>
            </w:r>
            <w:r w:rsidR="00441453" w:rsidRPr="00C44B06">
              <w:rPr>
                <w:sz w:val="21"/>
                <w:lang w:val="en-US"/>
              </w:rPr>
              <w:t xml:space="preserve"> </w:t>
            </w:r>
            <w:r w:rsidRPr="00C44B06">
              <w:rPr>
                <w:sz w:val="21"/>
                <w:lang w:val="en-US"/>
              </w:rPr>
              <w:t>wk</w:t>
            </w:r>
          </w:p>
          <w:p w14:paraId="3FBA6BF8" w14:textId="3FC9FF50" w:rsidR="00714C0F" w:rsidRPr="00C44B06" w:rsidRDefault="00714C0F" w:rsidP="006D7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lang w:val="en-US"/>
              </w:rPr>
              <w:t>12</w:t>
            </w:r>
            <w:r w:rsidR="00441453" w:rsidRPr="00C44B06">
              <w:rPr>
                <w:sz w:val="21"/>
                <w:lang w:val="en-US"/>
              </w:rPr>
              <w:t xml:space="preserve"> </w:t>
            </w:r>
            <w:r w:rsidRPr="00C44B06">
              <w:rPr>
                <w:sz w:val="21"/>
                <w:lang w:val="en-US"/>
              </w:rPr>
              <w:t>mo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CCEA6C" w14:textId="5C25EC46" w:rsidR="00714C0F" w:rsidRPr="00C44B06" w:rsidRDefault="00714C0F" w:rsidP="006D7239">
            <w:pPr>
              <w:spacing w:after="120"/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General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movements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assessment</w:t>
            </w:r>
          </w:p>
          <w:p w14:paraId="694A2F90" w14:textId="77777777" w:rsidR="00714C0F" w:rsidRPr="00C44B06" w:rsidRDefault="00714C0F" w:rsidP="006D7239">
            <w:pPr>
              <w:spacing w:after="120"/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MOS</w:t>
            </w:r>
          </w:p>
          <w:p w14:paraId="5E0F8ABE" w14:textId="77777777" w:rsidR="00714C0F" w:rsidRPr="00C44B06" w:rsidRDefault="00714C0F" w:rsidP="006D7239">
            <w:pPr>
              <w:spacing w:after="120"/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BSID-III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A8B17F" w14:textId="32BBC866" w:rsidR="00714C0F" w:rsidRPr="00C44B06" w:rsidRDefault="00714C0F" w:rsidP="006D7239">
            <w:pPr>
              <w:autoSpaceDE w:val="0"/>
              <w:autoSpaceDN w:val="0"/>
              <w:adjustRightInd w:val="0"/>
              <w:spacing w:before="60"/>
              <w:jc w:val="both"/>
              <w:rPr>
                <w:sz w:val="22"/>
                <w:szCs w:val="22"/>
                <w:lang w:val="en-US" w:eastAsia="en-US"/>
              </w:rPr>
            </w:pPr>
            <w:r w:rsidRPr="00C44B06">
              <w:rPr>
                <w:sz w:val="22"/>
                <w:szCs w:val="22"/>
                <w:lang w:val="en-US" w:eastAsia="en-US"/>
              </w:rPr>
              <w:t>CZS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cohort.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Altered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general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movements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100%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at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9-20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weeks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of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age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and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all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scored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in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the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lowest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range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of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the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MOS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and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its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5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subscales.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B06">
              <w:rPr>
                <w:sz w:val="22"/>
                <w:szCs w:val="22"/>
                <w:lang w:val="en-US" w:eastAsia="en-US"/>
              </w:rPr>
              <w:t>All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(100%)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had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cerebral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palsy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with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GMFCS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level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V.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Epilepsy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79.4%</w:t>
            </w:r>
            <w:r w:rsidR="006D7239" w:rsidRPr="00C44B06">
              <w:rPr>
                <w:sz w:val="22"/>
                <w:szCs w:val="22"/>
                <w:lang w:val="en-US" w:eastAsia="en-US"/>
              </w:rPr>
              <w:t>.</w:t>
            </w:r>
          </w:p>
        </w:tc>
      </w:tr>
      <w:tr w:rsidR="00714C0F" w:rsidRPr="00C44B06" w14:paraId="0C285B58" w14:textId="77777777" w:rsidTr="00C44B06">
        <w:trPr>
          <w:trHeight w:val="1584"/>
        </w:trPr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BF1FC5" w14:textId="77777777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Case-series</w:t>
            </w:r>
          </w:p>
          <w:p w14:paraId="37329E23" w14:textId="16565719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rStyle w:val="tlid-translation"/>
                <w:sz w:val="20"/>
                <w:szCs w:val="20"/>
                <w:lang w:val="en-US"/>
              </w:rPr>
              <w:t>Wheeler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al.,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(2020)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E968D4" w14:textId="77777777" w:rsidR="00714C0F" w:rsidRPr="00C44B06" w:rsidRDefault="00714C0F" w:rsidP="00714C0F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 w:eastAsia="en-US"/>
              </w:rPr>
              <w:t>121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6744C3" w14:textId="77777777" w:rsidR="00714C0F" w:rsidRPr="00C44B06" w:rsidRDefault="00714C0F" w:rsidP="006D7239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C44B06">
              <w:rPr>
                <w:sz w:val="21"/>
                <w:szCs w:val="21"/>
                <w:lang w:val="en-US" w:eastAsia="en-US"/>
              </w:rPr>
              <w:t>Yes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C5CC12" w14:textId="72F6C8EB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 w:eastAsia="en-US"/>
              </w:rPr>
              <w:t>31±1.9m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32C992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BSID-III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6BC9C5" w14:textId="113D52B1" w:rsidR="00714C0F" w:rsidRPr="00C44B06" w:rsidRDefault="00441453" w:rsidP="006D723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  <w:lang w:val="en-US" w:eastAsia="en-US"/>
              </w:rPr>
            </w:pPr>
            <w:r w:rsidRPr="00C44B06">
              <w:rPr>
                <w:sz w:val="20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97.5%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severe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developmental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delays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in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all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domains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of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functioning;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mean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developmental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age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equivalent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to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approximately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2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to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4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months.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Cognitive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domain: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55.3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±1.8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(range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55-70).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Motor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domain: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46.3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±1.83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(range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46-64).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Language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domain: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47.7.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±2.89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(range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47-71).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Receptive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language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age-equivalent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scores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were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significantly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higher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than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most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other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domains.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Head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circumference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at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birth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was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the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single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strongest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factor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associated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with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outcomes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across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all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developmental</w:t>
            </w:r>
            <w:r w:rsidRPr="00C44B06">
              <w:rPr>
                <w:sz w:val="21"/>
                <w:szCs w:val="20"/>
                <w:lang w:val="en-US"/>
              </w:rPr>
              <w:t xml:space="preserve"> </w:t>
            </w:r>
            <w:r w:rsidR="00714C0F" w:rsidRPr="00C44B06">
              <w:rPr>
                <w:sz w:val="21"/>
                <w:szCs w:val="20"/>
                <w:lang w:val="en-US"/>
              </w:rPr>
              <w:t>domains.</w:t>
            </w:r>
          </w:p>
        </w:tc>
      </w:tr>
      <w:tr w:rsidR="00714C0F" w:rsidRPr="00C44B06" w14:paraId="50E49769" w14:textId="77777777" w:rsidTr="00C44B06">
        <w:trPr>
          <w:trHeight w:val="959"/>
        </w:trPr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44EB1B" w14:textId="77777777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Case-series</w:t>
            </w:r>
          </w:p>
          <w:p w14:paraId="05FC1DC4" w14:textId="08CCA182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Melo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i/>
                <w:sz w:val="20"/>
                <w:szCs w:val="20"/>
                <w:lang w:val="en-US"/>
              </w:rPr>
              <w:t>al</w:t>
            </w:r>
            <w:r w:rsidRPr="00C44B06">
              <w:rPr>
                <w:sz w:val="20"/>
                <w:szCs w:val="20"/>
                <w:lang w:val="en-US"/>
              </w:rPr>
              <w:t>.,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(2020)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0E891A" w14:textId="77777777" w:rsidR="00714C0F" w:rsidRPr="00C44B06" w:rsidRDefault="00714C0F" w:rsidP="00714C0F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59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AE6AF3" w14:textId="59DA4B8A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Yes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27</w:t>
            </w:r>
          </w:p>
          <w:p w14:paraId="3A49C5EE" w14:textId="0BFA3907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No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(clinical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criteria)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32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3B0EE5" w14:textId="77777777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14.7±3.9m</w:t>
            </w:r>
          </w:p>
          <w:p w14:paraId="63B737AA" w14:textId="77777777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(5-29)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DF51BF" w14:textId="24AD9744" w:rsidR="00714C0F" w:rsidRPr="00C44B06" w:rsidRDefault="00714C0F" w:rsidP="006D7239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C44B06">
              <w:rPr>
                <w:sz w:val="21"/>
                <w:szCs w:val="21"/>
                <w:lang w:val="en-US" w:eastAsia="en-US"/>
              </w:rPr>
              <w:t>GMFM-66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GMFCS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4FCFD3" w14:textId="7264FB37" w:rsidR="00714C0F" w:rsidRPr="00C44B06" w:rsidRDefault="00714C0F" w:rsidP="006D723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 w:eastAsia="en-US"/>
              </w:rPr>
              <w:t>All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(100%)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cerebral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palsy;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93%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GMFCS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level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IV-V.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Severe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malformations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of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cortex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and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small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head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circumference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at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birth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were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predictors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of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lower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scores.</w:t>
            </w:r>
          </w:p>
        </w:tc>
      </w:tr>
      <w:tr w:rsidR="00714C0F" w:rsidRPr="00C44B06" w14:paraId="3F54BACB" w14:textId="77777777" w:rsidTr="00C44B06">
        <w:trPr>
          <w:trHeight w:val="1196"/>
        </w:trPr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91751A" w14:textId="77777777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lastRenderedPageBreak/>
              <w:t>Case-series</w:t>
            </w:r>
          </w:p>
          <w:p w14:paraId="23465E1C" w14:textId="28534AF7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rStyle w:val="tlid-translation"/>
                <w:sz w:val="20"/>
                <w:szCs w:val="20"/>
                <w:lang w:val="en-US"/>
              </w:rPr>
              <w:t>Ventura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i/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rStyle w:val="tlid-translation"/>
                <w:i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i/>
                <w:sz w:val="20"/>
                <w:szCs w:val="20"/>
                <w:lang w:val="en-US"/>
              </w:rPr>
              <w:t>al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.</w:t>
            </w:r>
            <w:r w:rsidR="00441453" w:rsidRPr="00C44B06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rStyle w:val="tlid-translation"/>
                <w:sz w:val="20"/>
                <w:szCs w:val="20"/>
                <w:lang w:val="en-US"/>
              </w:rPr>
              <w:t>(2020)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950ECB" w14:textId="77777777" w:rsidR="00714C0F" w:rsidRPr="00C44B06" w:rsidRDefault="00714C0F" w:rsidP="00714C0F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77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35E9E6" w14:textId="77777777" w:rsidR="00714C0F" w:rsidRPr="00C44B06" w:rsidRDefault="00714C0F" w:rsidP="006D7239">
            <w:pPr>
              <w:jc w:val="center"/>
              <w:rPr>
                <w:sz w:val="21"/>
                <w:szCs w:val="15"/>
                <w:lang w:val="en-US"/>
              </w:rPr>
            </w:pPr>
            <w:r w:rsidRPr="00C44B06">
              <w:rPr>
                <w:sz w:val="21"/>
                <w:szCs w:val="15"/>
                <w:lang w:val="en-US"/>
              </w:rPr>
              <w:t>No</w:t>
            </w:r>
          </w:p>
          <w:p w14:paraId="5FDB9F9E" w14:textId="3B15EF43" w:rsidR="00714C0F" w:rsidRPr="00C44B06" w:rsidRDefault="00714C0F" w:rsidP="006D7239">
            <w:pPr>
              <w:jc w:val="center"/>
              <w:rPr>
                <w:sz w:val="15"/>
                <w:szCs w:val="15"/>
                <w:lang w:val="en-US"/>
              </w:rPr>
            </w:pPr>
            <w:r w:rsidRPr="00C44B06">
              <w:rPr>
                <w:sz w:val="21"/>
                <w:szCs w:val="15"/>
                <w:lang w:val="en-US"/>
              </w:rPr>
              <w:t>(clinical</w:t>
            </w:r>
            <w:r w:rsidR="00441453" w:rsidRPr="00C44B06">
              <w:rPr>
                <w:sz w:val="21"/>
                <w:szCs w:val="15"/>
                <w:lang w:val="en-US"/>
              </w:rPr>
              <w:t xml:space="preserve"> </w:t>
            </w:r>
            <w:r w:rsidRPr="00C44B06">
              <w:rPr>
                <w:sz w:val="21"/>
                <w:szCs w:val="15"/>
                <w:lang w:val="en-US"/>
              </w:rPr>
              <w:t>criteria)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874E5D" w14:textId="77777777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24m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D5F0B7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 w:eastAsia="en-US"/>
              </w:rPr>
            </w:pPr>
            <w:r w:rsidRPr="00C44B06">
              <w:rPr>
                <w:sz w:val="21"/>
                <w:szCs w:val="22"/>
                <w:lang w:val="en-US" w:eastAsia="en-US"/>
              </w:rPr>
              <w:t>GMFM-66</w:t>
            </w:r>
          </w:p>
          <w:p w14:paraId="66809FC1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 w:eastAsia="en-US"/>
              </w:rPr>
              <w:t>GMFCS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7D91F1" w14:textId="61219D48" w:rsidR="00714C0F" w:rsidRPr="00C44B06" w:rsidRDefault="00714C0F" w:rsidP="006D723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  <w:lang w:val="en-US"/>
              </w:rPr>
            </w:pPr>
            <w:r w:rsidRPr="00C44B06">
              <w:rPr>
                <w:sz w:val="21"/>
                <w:szCs w:val="20"/>
                <w:lang w:val="en-US" w:eastAsia="en-US"/>
              </w:rPr>
              <w:t>Cerebral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palsy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(100%),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96%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with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GMFCS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level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V: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quadriplegia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95%.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Neuroimaging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of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children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with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hemiplegia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and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diplegia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showed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asymmetric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and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localized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lesions,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respectively,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whereas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children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with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quadriplegia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presented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diffuse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lesions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and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severe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malformations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of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cortical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development.</w:t>
            </w:r>
          </w:p>
        </w:tc>
      </w:tr>
      <w:tr w:rsidR="00714C0F" w:rsidRPr="00C44B06" w14:paraId="5F4AA347" w14:textId="77777777" w:rsidTr="00C44B06"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8EDB7C" w14:textId="62D3DBE6" w:rsidR="00714C0F" w:rsidRPr="00C44B06" w:rsidRDefault="00714C0F" w:rsidP="00714C0F">
            <w:pPr>
              <w:spacing w:before="60"/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Cohort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study.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</w:p>
          <w:p w14:paraId="7386E070" w14:textId="25CFB2FD" w:rsidR="00714C0F" w:rsidRPr="00C44B06" w:rsidRDefault="00714C0F" w:rsidP="00714C0F">
            <w:pPr>
              <w:spacing w:after="60"/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Bertolli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al.,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(2020)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5D11F7" w14:textId="77777777" w:rsidR="00714C0F" w:rsidRPr="00C44B06" w:rsidRDefault="00714C0F" w:rsidP="00714C0F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43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86EC26" w14:textId="2D542BEF" w:rsidR="00714C0F" w:rsidRPr="00C44B06" w:rsidRDefault="00714C0F" w:rsidP="006D7239">
            <w:pPr>
              <w:jc w:val="center"/>
              <w:rPr>
                <w:sz w:val="20"/>
                <w:szCs w:val="20"/>
                <w:lang w:val="en-US"/>
              </w:rPr>
            </w:pPr>
            <w:r w:rsidRPr="00C44B06">
              <w:rPr>
                <w:sz w:val="21"/>
                <w:szCs w:val="14"/>
                <w:lang w:val="en-US"/>
              </w:rPr>
              <w:t>Yes</w:t>
            </w:r>
            <w:r w:rsidR="00441453" w:rsidRPr="00C44B06">
              <w:rPr>
                <w:sz w:val="21"/>
                <w:szCs w:val="14"/>
                <w:lang w:val="en-US"/>
              </w:rPr>
              <w:t xml:space="preserve"> </w:t>
            </w:r>
            <w:r w:rsidRPr="00C44B06">
              <w:rPr>
                <w:sz w:val="21"/>
                <w:szCs w:val="14"/>
                <w:lang w:val="en-US"/>
              </w:rPr>
              <w:t>43</w:t>
            </w:r>
            <w:r w:rsidR="00441453" w:rsidRPr="00C44B06">
              <w:rPr>
                <w:rFonts w:ascii="Helvetica" w:hAnsi="Helvetica"/>
                <w:sz w:val="21"/>
                <w:szCs w:val="14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(anthropometric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and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laboratory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criteria).</w:t>
            </w:r>
          </w:p>
          <w:p w14:paraId="641E4937" w14:textId="7CA0440E" w:rsidR="00714C0F" w:rsidRPr="00C44B06" w:rsidRDefault="00714C0F" w:rsidP="006D7239">
            <w:pPr>
              <w:jc w:val="center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77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only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lab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criteria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or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anthropometric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BB3E5" w14:textId="1CB0B8AD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Median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age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23m</w:t>
            </w:r>
          </w:p>
          <w:p w14:paraId="05614E22" w14:textId="77777777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(19-26)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FF1E3C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HINE</w:t>
            </w:r>
          </w:p>
          <w:p w14:paraId="563799E5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ASQ3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17C594" w14:textId="1A31194D" w:rsidR="00714C0F" w:rsidRPr="00C44B06" w:rsidRDefault="00714C0F" w:rsidP="006D7239">
            <w:pPr>
              <w:spacing w:before="60"/>
              <w:jc w:val="both"/>
              <w:rPr>
                <w:sz w:val="21"/>
                <w:szCs w:val="20"/>
                <w:lang w:val="en-US" w:eastAsia="en-US"/>
              </w:rPr>
            </w:pPr>
            <w:r w:rsidRPr="00C44B06">
              <w:rPr>
                <w:sz w:val="21"/>
                <w:szCs w:val="20"/>
                <w:lang w:val="en-US"/>
              </w:rPr>
              <w:t>Infants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with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anthropometric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and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laboratory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criteria: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severe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motor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impairment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(61%),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cerebral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palsy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(58%).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Developmental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delay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(79%).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Impaired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response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to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auditory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and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visual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stimuli: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54%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and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49,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respectively.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Ocular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abnormalities: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retinal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(16%);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abnormal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fixation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and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following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(37%).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Seizure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screening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positive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(43%)</w:t>
            </w:r>
            <w:r w:rsidR="006D7239" w:rsidRPr="00C44B06">
              <w:rPr>
                <w:sz w:val="21"/>
                <w:szCs w:val="20"/>
                <w:lang w:val="en-US" w:eastAsia="en-US"/>
              </w:rPr>
              <w:t>.</w:t>
            </w:r>
          </w:p>
          <w:p w14:paraId="61038678" w14:textId="7AB8571D" w:rsidR="00714C0F" w:rsidRPr="00C44B06" w:rsidRDefault="00714C0F" w:rsidP="006D7239">
            <w:pPr>
              <w:jc w:val="both"/>
              <w:rPr>
                <w:sz w:val="21"/>
                <w:szCs w:val="20"/>
                <w:lang w:val="en-US"/>
              </w:rPr>
            </w:pPr>
            <w:r w:rsidRPr="00C44B06">
              <w:rPr>
                <w:sz w:val="21"/>
                <w:szCs w:val="20"/>
                <w:lang w:val="en-US" w:eastAsia="en-US"/>
              </w:rPr>
              <w:t>Infants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with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only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laboratory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criteria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or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anthropometric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criteria:</w:t>
            </w:r>
            <w:r w:rsidR="00441453" w:rsidRPr="00C44B06">
              <w:rPr>
                <w:sz w:val="21"/>
                <w:szCs w:val="20"/>
                <w:u w:val="single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Developmental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delay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mild/moderate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(46%);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severe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(5%)</w:t>
            </w:r>
            <w:r w:rsidR="006D7239" w:rsidRPr="00C44B06">
              <w:rPr>
                <w:sz w:val="21"/>
                <w:szCs w:val="20"/>
                <w:lang w:val="en-US"/>
              </w:rPr>
              <w:t>.</w:t>
            </w:r>
          </w:p>
        </w:tc>
      </w:tr>
      <w:tr w:rsidR="00714C0F" w:rsidRPr="00C44B06" w14:paraId="7E1B32ED" w14:textId="77777777" w:rsidTr="00C44B06">
        <w:trPr>
          <w:trHeight w:val="619"/>
        </w:trPr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66B408" w14:textId="5FA8898A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Cross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sectional</w:t>
            </w:r>
          </w:p>
          <w:p w14:paraId="78157D8E" w14:textId="6B3DA6E3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Souza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Pereira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al.,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(2020)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7EAAF1" w14:textId="77777777" w:rsidR="00714C0F" w:rsidRPr="00C44B06" w:rsidRDefault="00714C0F" w:rsidP="00714C0F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75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70D137" w14:textId="06A5BD6C" w:rsidR="00714C0F" w:rsidRPr="00C44B06" w:rsidRDefault="00714C0F" w:rsidP="006D7239">
            <w:pPr>
              <w:jc w:val="center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Yes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15</w:t>
            </w:r>
          </w:p>
          <w:p w14:paraId="041719F4" w14:textId="71EA5F82" w:rsidR="00714C0F" w:rsidRPr="00C44B06" w:rsidRDefault="00714C0F" w:rsidP="006D7239">
            <w:pPr>
              <w:jc w:val="center"/>
              <w:rPr>
                <w:sz w:val="22"/>
                <w:szCs w:val="22"/>
                <w:lang w:val="en-US"/>
              </w:rPr>
            </w:pPr>
            <w:r w:rsidRPr="00C44B06">
              <w:rPr>
                <w:sz w:val="22"/>
                <w:szCs w:val="22"/>
                <w:lang w:val="en-US"/>
              </w:rPr>
              <w:t>No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(Clinical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criteria)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60.</w:t>
            </w:r>
          </w:p>
          <w:p w14:paraId="054B5992" w14:textId="2A8B1931" w:rsidR="00714C0F" w:rsidRPr="00C44B06" w:rsidRDefault="00714C0F" w:rsidP="006D7239">
            <w:pPr>
              <w:jc w:val="center"/>
              <w:rPr>
                <w:sz w:val="22"/>
                <w:szCs w:val="22"/>
                <w:lang w:val="en-US"/>
              </w:rPr>
            </w:pPr>
            <w:r w:rsidRPr="00C44B06">
              <w:rPr>
                <w:sz w:val="21"/>
                <w:szCs w:val="20"/>
                <w:lang w:val="en-US" w:eastAsia="en-US"/>
              </w:rPr>
              <w:t>(All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recruited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infants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had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neuroimaging</w:t>
            </w:r>
            <w:r w:rsidR="00441453" w:rsidRPr="00C44B06">
              <w:rPr>
                <w:sz w:val="21"/>
                <w:szCs w:val="20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0"/>
                <w:lang w:val="en-US" w:eastAsia="en-US"/>
              </w:rPr>
              <w:t>anomalies)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B7E4CC" w14:textId="076B04DD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Median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age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33m</w:t>
            </w:r>
          </w:p>
          <w:p w14:paraId="47D126C6" w14:textId="17312E23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(26-40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IQR)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C94A67" w14:textId="77777777" w:rsidR="00714C0F" w:rsidRPr="00C44B06" w:rsidRDefault="00714C0F" w:rsidP="006D7239">
            <w:pPr>
              <w:jc w:val="center"/>
              <w:rPr>
                <w:rStyle w:val="tlid-translation"/>
                <w:sz w:val="21"/>
                <w:szCs w:val="22"/>
                <w:lang w:val="en-US"/>
              </w:rPr>
            </w:pPr>
            <w:r w:rsidRPr="00C44B06">
              <w:rPr>
                <w:rStyle w:val="tlid-translation"/>
                <w:sz w:val="21"/>
                <w:szCs w:val="22"/>
                <w:lang w:val="en-US"/>
              </w:rPr>
              <w:t>GMA</w:t>
            </w:r>
          </w:p>
          <w:p w14:paraId="6E382E67" w14:textId="77777777" w:rsidR="00714C0F" w:rsidRPr="00C44B06" w:rsidRDefault="00714C0F" w:rsidP="006D7239">
            <w:pPr>
              <w:jc w:val="center"/>
              <w:rPr>
                <w:rStyle w:val="tlid-translation"/>
                <w:sz w:val="21"/>
                <w:szCs w:val="22"/>
                <w:lang w:val="en-US"/>
              </w:rPr>
            </w:pPr>
            <w:r w:rsidRPr="00C44B06">
              <w:rPr>
                <w:rStyle w:val="tlid-translation"/>
                <w:sz w:val="21"/>
                <w:szCs w:val="22"/>
                <w:lang w:val="en-US"/>
              </w:rPr>
              <w:t>GMFM66</w:t>
            </w:r>
          </w:p>
          <w:p w14:paraId="7C590F37" w14:textId="77777777" w:rsidR="00714C0F" w:rsidRPr="00C44B06" w:rsidRDefault="00714C0F" w:rsidP="006D7239">
            <w:pPr>
              <w:jc w:val="center"/>
              <w:rPr>
                <w:rStyle w:val="tlid-translation"/>
                <w:sz w:val="21"/>
                <w:szCs w:val="22"/>
                <w:lang w:val="en-US"/>
              </w:rPr>
            </w:pPr>
            <w:r w:rsidRPr="00C44B06">
              <w:rPr>
                <w:rStyle w:val="tlid-translation"/>
                <w:sz w:val="21"/>
                <w:szCs w:val="22"/>
                <w:lang w:val="en-US"/>
              </w:rPr>
              <w:t>MACS</w:t>
            </w:r>
          </w:p>
          <w:p w14:paraId="7FA99D19" w14:textId="77777777" w:rsidR="00714C0F" w:rsidRPr="00C44B06" w:rsidRDefault="00714C0F" w:rsidP="006D7239">
            <w:pPr>
              <w:jc w:val="center"/>
              <w:rPr>
                <w:rStyle w:val="tlid-translation"/>
                <w:sz w:val="21"/>
                <w:szCs w:val="22"/>
                <w:lang w:val="en-US"/>
              </w:rPr>
            </w:pPr>
            <w:r w:rsidRPr="00C44B06">
              <w:rPr>
                <w:rStyle w:val="tlid-translation"/>
                <w:sz w:val="21"/>
                <w:szCs w:val="22"/>
                <w:lang w:val="en-US"/>
              </w:rPr>
              <w:t>EADCS</w:t>
            </w:r>
          </w:p>
          <w:p w14:paraId="28FCCC7B" w14:textId="77777777" w:rsidR="00714C0F" w:rsidRPr="00C44B06" w:rsidRDefault="00714C0F" w:rsidP="006D7239">
            <w:pPr>
              <w:jc w:val="center"/>
              <w:rPr>
                <w:rStyle w:val="tlid-translation"/>
                <w:sz w:val="21"/>
                <w:szCs w:val="22"/>
                <w:lang w:val="en-US"/>
              </w:rPr>
            </w:pPr>
            <w:r w:rsidRPr="00C44B06">
              <w:rPr>
                <w:rStyle w:val="tlid-translation"/>
                <w:sz w:val="21"/>
                <w:szCs w:val="22"/>
                <w:lang w:val="en-US"/>
              </w:rPr>
              <w:t>CFCS</w:t>
            </w:r>
          </w:p>
          <w:p w14:paraId="053D6307" w14:textId="77777777" w:rsidR="00714C0F" w:rsidRPr="00C44B06" w:rsidRDefault="00714C0F" w:rsidP="006D7239">
            <w:pPr>
              <w:jc w:val="center"/>
              <w:rPr>
                <w:rStyle w:val="tlid-translation"/>
                <w:sz w:val="21"/>
                <w:szCs w:val="22"/>
                <w:lang w:val="en-US"/>
              </w:rPr>
            </w:pPr>
            <w:r w:rsidRPr="00C44B06">
              <w:rPr>
                <w:rStyle w:val="tlid-translation"/>
                <w:sz w:val="21"/>
                <w:szCs w:val="22"/>
                <w:lang w:val="en-US"/>
              </w:rPr>
              <w:t>GMFCS</w:t>
            </w:r>
          </w:p>
          <w:p w14:paraId="1F0CBCF1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B92245" w14:textId="20AB03BE" w:rsidR="00714C0F" w:rsidRPr="00C44B06" w:rsidRDefault="00714C0F" w:rsidP="006D7239">
            <w:pPr>
              <w:autoSpaceDE w:val="0"/>
              <w:autoSpaceDN w:val="0"/>
              <w:adjustRightInd w:val="0"/>
              <w:spacing w:before="60"/>
              <w:jc w:val="both"/>
              <w:rPr>
                <w:sz w:val="21"/>
                <w:szCs w:val="22"/>
                <w:lang w:val="en-US" w:eastAsia="en-US"/>
              </w:rPr>
            </w:pPr>
            <w:r w:rsidRPr="00C44B06">
              <w:rPr>
                <w:sz w:val="21"/>
                <w:szCs w:val="22"/>
                <w:lang w:val="en-US" w:eastAsia="en-US"/>
              </w:rPr>
              <w:t>According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to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the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clinical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picture,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children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divided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in: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corticospinal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group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(predominance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of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pyramidal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signs)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48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(64%),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neuromuscular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group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(predominance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of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hypotonia)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23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(31%)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and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a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group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with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only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dyscinetic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signs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4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(5%).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However,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dyskinesia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was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associated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in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19/48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(39.6%)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in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the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corticospinal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group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and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in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7/23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(30.4%)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in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the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neuromuscular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group.</w:t>
            </w:r>
          </w:p>
          <w:p w14:paraId="47649E29" w14:textId="20F263B0" w:rsidR="00714C0F" w:rsidRPr="00C44B06" w:rsidRDefault="00714C0F" w:rsidP="006D7239">
            <w:pPr>
              <w:autoSpaceDE w:val="0"/>
              <w:autoSpaceDN w:val="0"/>
              <w:adjustRightInd w:val="0"/>
              <w:spacing w:after="60"/>
              <w:jc w:val="both"/>
              <w:rPr>
                <w:sz w:val="21"/>
                <w:szCs w:val="22"/>
                <w:lang w:val="en-US" w:eastAsia="en-US"/>
              </w:rPr>
            </w:pPr>
            <w:r w:rsidRPr="00C44B06">
              <w:rPr>
                <w:sz w:val="21"/>
                <w:szCs w:val="22"/>
                <w:lang w:val="en-US" w:eastAsia="en-US"/>
              </w:rPr>
              <w:t>Cerebral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palsy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GMFCS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Level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5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in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80%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of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corticospinal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group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and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in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100%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of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neuromuscular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group.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All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functional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scales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showed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predominance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of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severe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impairment.</w:t>
            </w:r>
          </w:p>
          <w:p w14:paraId="7A1476B7" w14:textId="790DDBF2" w:rsidR="00714C0F" w:rsidRPr="00C44B06" w:rsidRDefault="00714C0F" w:rsidP="006D7239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  <w:lang w:val="en-US" w:eastAsia="en-US"/>
              </w:rPr>
            </w:pPr>
            <w:r w:rsidRPr="00C44B06">
              <w:rPr>
                <w:sz w:val="21"/>
                <w:szCs w:val="22"/>
                <w:lang w:val="en-US"/>
              </w:rPr>
              <w:t>Comorbidities: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69%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Epilepsy,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60%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dysphagia;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37%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sleep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disorders,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43%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hip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dislocation.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Hearing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affected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in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11%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and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vision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in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39%.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Pneumonia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47%,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urinary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tract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infection</w:t>
            </w:r>
            <w:r w:rsidR="00441453" w:rsidRPr="00C44B06">
              <w:rPr>
                <w:sz w:val="21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2"/>
                <w:lang w:val="en-US" w:eastAsia="en-US"/>
              </w:rPr>
              <w:t>44%</w:t>
            </w:r>
            <w:r w:rsidR="006D7239" w:rsidRPr="00C44B06">
              <w:rPr>
                <w:sz w:val="21"/>
                <w:szCs w:val="22"/>
                <w:lang w:val="en-US" w:eastAsia="en-US"/>
              </w:rPr>
              <w:t>.</w:t>
            </w:r>
          </w:p>
        </w:tc>
      </w:tr>
      <w:tr w:rsidR="00714C0F" w:rsidRPr="00C44B06" w14:paraId="42B67D64" w14:textId="77777777" w:rsidTr="00C44B06">
        <w:trPr>
          <w:trHeight w:val="647"/>
        </w:trPr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7DB664" w14:textId="77777777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Cross-Sectional.</w:t>
            </w:r>
          </w:p>
          <w:p w14:paraId="15CB03C1" w14:textId="4A88EF70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-Group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1: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Severe</w:t>
            </w:r>
          </w:p>
          <w:p w14:paraId="285BCC78" w14:textId="483B40FC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microcephaly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114;</w:t>
            </w:r>
          </w:p>
          <w:p w14:paraId="64BFEAC3" w14:textId="05AA6487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-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Group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2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moderate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microcephaly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20;</w:t>
            </w:r>
          </w:p>
          <w:p w14:paraId="319E2C82" w14:textId="2EB048A3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-Group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3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prenatal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ZIKV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no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microcephaly;</w:t>
            </w:r>
          </w:p>
          <w:p w14:paraId="1C1E3FC2" w14:textId="45D32019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-Group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4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control-group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46.</w:t>
            </w:r>
          </w:p>
          <w:p w14:paraId="4F80C8B9" w14:textId="56985DEE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Sobral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da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Silva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et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al.,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(2020)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A1337B" w14:textId="77777777" w:rsidR="00714C0F" w:rsidRPr="00C44B06" w:rsidRDefault="00714C0F" w:rsidP="00714C0F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134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40BA18" w14:textId="77777777" w:rsidR="00714C0F" w:rsidRPr="00C44B06" w:rsidRDefault="00714C0F" w:rsidP="006D7239">
            <w:pPr>
              <w:jc w:val="center"/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FFE58" w14:textId="77777777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 w:eastAsia="en-US"/>
              </w:rPr>
              <w:t>10-45m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3D1E5B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SWYC</w:t>
            </w:r>
          </w:p>
          <w:p w14:paraId="26C25F3A" w14:textId="77777777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BPSC</w:t>
            </w:r>
          </w:p>
          <w:p w14:paraId="09CC0991" w14:textId="77777777" w:rsidR="00714C0F" w:rsidRPr="00C44B06" w:rsidRDefault="00714C0F" w:rsidP="006D7239">
            <w:pPr>
              <w:jc w:val="center"/>
              <w:rPr>
                <w:rStyle w:val="tlid-translation"/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PPSC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97BCD0" w14:textId="76A61C7D" w:rsidR="00714C0F" w:rsidRPr="00C44B06" w:rsidRDefault="00714C0F" w:rsidP="006D7239">
            <w:pPr>
              <w:jc w:val="both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Group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1.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Significant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higher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frequency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of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abnormal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neurological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findings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(98.2%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vs)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and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neuroradiological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(97%)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alterations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than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the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other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groups.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Pyramidal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syndrome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89.2%,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inadequate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responses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to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visual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stimuli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57%,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and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inadequate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responses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to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auditory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stimuli14%.</w:t>
            </w:r>
          </w:p>
          <w:p w14:paraId="1F338029" w14:textId="31B45D00" w:rsidR="00714C0F" w:rsidRPr="00C44B06" w:rsidRDefault="00714C0F" w:rsidP="006D7239">
            <w:pPr>
              <w:jc w:val="both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The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frequency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of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seizures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differed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across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the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ZIKV-exposed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groups: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67.9%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in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Group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1,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17.6%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in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Group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2,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and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2.2%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in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Group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3.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None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of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the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children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in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Group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1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were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able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to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perform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the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milestone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skills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expected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for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their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chronological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age.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For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Group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2,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SWYC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screening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indicated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risks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of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developmental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delay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in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65%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of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the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children.</w:t>
            </w:r>
          </w:p>
          <w:p w14:paraId="15C85D78" w14:textId="66771538" w:rsidR="00714C0F" w:rsidRPr="00C44B06" w:rsidRDefault="00714C0F" w:rsidP="006D7239">
            <w:pPr>
              <w:jc w:val="both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Group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3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and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Group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4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had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similar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frequencies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of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children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at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risk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of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development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delay.</w:t>
            </w:r>
          </w:p>
        </w:tc>
      </w:tr>
      <w:tr w:rsidR="00714C0F" w:rsidRPr="00C44B06" w14:paraId="7C495E66" w14:textId="77777777" w:rsidTr="00C44B06">
        <w:trPr>
          <w:trHeight w:val="945"/>
        </w:trPr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53307" w14:textId="374891A6" w:rsidR="00714C0F" w:rsidRPr="00C44B06" w:rsidRDefault="00714C0F" w:rsidP="00714C0F">
            <w:pPr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</w:pP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Case-Series: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CZS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with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cerebral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palsy</w:t>
            </w:r>
          </w:p>
          <w:p w14:paraId="72B37B3E" w14:textId="198197D0" w:rsidR="00714C0F" w:rsidRPr="00C44B06" w:rsidRDefault="00714C0F" w:rsidP="00714C0F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Takahasi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et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al.,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(2020)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8BE259" w14:textId="77777777" w:rsidR="00714C0F" w:rsidRPr="00C44B06" w:rsidRDefault="00714C0F" w:rsidP="00714C0F">
            <w:pPr>
              <w:jc w:val="center"/>
              <w:rPr>
                <w:rFonts w:eastAsia="Times New Roman"/>
                <w:sz w:val="22"/>
                <w:lang w:val="en-US"/>
              </w:rPr>
            </w:pPr>
            <w:r w:rsidRPr="00C44B06">
              <w:rPr>
                <w:rFonts w:eastAsia="Times New Roman"/>
                <w:sz w:val="22"/>
                <w:shd w:val="clear" w:color="auto" w:fill="FFFFFF"/>
                <w:lang w:val="en-US"/>
              </w:rPr>
              <w:t>100</w:t>
            </w:r>
          </w:p>
          <w:p w14:paraId="13774EAB" w14:textId="77777777" w:rsidR="00714C0F" w:rsidRPr="00C44B06" w:rsidRDefault="00714C0F" w:rsidP="00714C0F">
            <w:pPr>
              <w:spacing w:after="12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4F14D3" w14:textId="5A165A82" w:rsidR="00714C0F" w:rsidRPr="00C44B06" w:rsidRDefault="00714C0F" w:rsidP="006D7239">
            <w:pPr>
              <w:pStyle w:val="p1"/>
              <w:ind w:firstLine="0"/>
              <w:jc w:val="center"/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</w:pPr>
            <w:r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>Yes</w:t>
            </w:r>
            <w:r w:rsidR="00441453"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>36</w:t>
            </w:r>
          </w:p>
          <w:p w14:paraId="6311C3E5" w14:textId="0E7534BE" w:rsidR="00714C0F" w:rsidRPr="00C44B06" w:rsidRDefault="00714C0F" w:rsidP="006D7239">
            <w:pPr>
              <w:pStyle w:val="p1"/>
              <w:ind w:firstLine="0"/>
              <w:jc w:val="center"/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</w:pPr>
            <w:r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>No</w:t>
            </w:r>
            <w:r w:rsidR="00441453"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>(clinical</w:t>
            </w:r>
            <w:r w:rsidR="00441453"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>criteria)</w:t>
            </w:r>
            <w:r w:rsidR="00441453"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>64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9516DC" w14:textId="0ECBF430" w:rsidR="00714C0F" w:rsidRPr="00C44B06" w:rsidRDefault="00714C0F" w:rsidP="006D7239">
            <w:pPr>
              <w:jc w:val="center"/>
              <w:rPr>
                <w:rFonts w:eastAsia="Times New Roman"/>
                <w:sz w:val="21"/>
                <w:lang w:val="en-US"/>
              </w:rPr>
            </w:pPr>
            <w:r w:rsidRPr="00C44B06">
              <w:rPr>
                <w:rFonts w:eastAsia="Times New Roman"/>
                <w:sz w:val="21"/>
                <w:shd w:val="clear" w:color="auto" w:fill="FFFFFF"/>
                <w:lang w:val="en-US"/>
              </w:rPr>
              <w:t>25.6</w:t>
            </w:r>
            <w:r w:rsidR="00441453" w:rsidRPr="00C44B06">
              <w:rPr>
                <w:rFonts w:eastAsia="Times New Roman"/>
                <w:sz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hd w:val="clear" w:color="auto" w:fill="FFFFFF"/>
                <w:lang w:val="en-US"/>
              </w:rPr>
              <w:t>±</w:t>
            </w:r>
            <w:r w:rsidR="00441453" w:rsidRPr="00C44B06">
              <w:rPr>
                <w:rFonts w:eastAsia="Times New Roman"/>
                <w:sz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hd w:val="clear" w:color="auto" w:fill="FFFFFF"/>
                <w:lang w:val="en-US"/>
              </w:rPr>
              <w:t>5.5m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9ADAA0" w14:textId="77777777" w:rsidR="00714C0F" w:rsidRPr="00C44B06" w:rsidRDefault="00714C0F" w:rsidP="006D7239">
            <w:pPr>
              <w:pStyle w:val="p1"/>
              <w:jc w:val="center"/>
              <w:rPr>
                <w:rFonts w:ascii="Times New Roman" w:hAnsi="Times New Roman"/>
                <w:sz w:val="21"/>
                <w:szCs w:val="22"/>
                <w:lang w:val="en-US"/>
              </w:rPr>
            </w:pP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GMFCS</w:t>
            </w:r>
          </w:p>
          <w:p w14:paraId="0CC20AC3" w14:textId="77777777" w:rsidR="00714C0F" w:rsidRPr="00C44B06" w:rsidRDefault="00714C0F" w:rsidP="006D7239">
            <w:pPr>
              <w:pStyle w:val="p1"/>
              <w:jc w:val="center"/>
              <w:rPr>
                <w:rFonts w:ascii="Times New Roman" w:hAnsi="Times New Roman"/>
                <w:sz w:val="21"/>
                <w:szCs w:val="22"/>
                <w:lang w:val="en-US"/>
              </w:rPr>
            </w:pP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GMFM-88</w:t>
            </w:r>
          </w:p>
          <w:p w14:paraId="0B239E21" w14:textId="77777777" w:rsidR="00714C0F" w:rsidRPr="00C44B06" w:rsidRDefault="00714C0F" w:rsidP="006D7239">
            <w:pPr>
              <w:pStyle w:val="p1"/>
              <w:jc w:val="center"/>
              <w:rPr>
                <w:rFonts w:ascii="Times New Roman" w:hAnsi="Times New Roman"/>
                <w:sz w:val="21"/>
                <w:szCs w:val="22"/>
                <w:lang w:val="en-US"/>
              </w:rPr>
            </w:pP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GMFM-66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60FCF" w14:textId="4D8BE7B0" w:rsidR="00714C0F" w:rsidRPr="00C44B06" w:rsidRDefault="00714C0F" w:rsidP="006D7239">
            <w:pPr>
              <w:jc w:val="both"/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</w:pP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89%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severe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cerebral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palsy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(GMFCS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level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V).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Low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economic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class,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microcephaly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at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birth,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epilepsy,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and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brain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parenchymal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volume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loss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associated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with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low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GMFM-66</w:t>
            </w:r>
            <w:r w:rsidR="00441453"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0"/>
                <w:shd w:val="clear" w:color="auto" w:fill="FFFFFF"/>
                <w:lang w:val="en-US"/>
              </w:rPr>
              <w:t>scores.</w:t>
            </w:r>
          </w:p>
        </w:tc>
      </w:tr>
      <w:tr w:rsidR="00714C0F" w:rsidRPr="00C44B06" w14:paraId="4A8A88E7" w14:textId="77777777" w:rsidTr="00C44B06">
        <w:trPr>
          <w:trHeight w:val="1705"/>
        </w:trPr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B765F8" w14:textId="77777777" w:rsidR="00714C0F" w:rsidRPr="00C44B06" w:rsidRDefault="00714C0F" w:rsidP="00714C0F">
            <w:pPr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</w:pP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Case-Series</w:t>
            </w:r>
          </w:p>
          <w:p w14:paraId="07CF98C3" w14:textId="1143D2AC" w:rsidR="00714C0F" w:rsidRPr="00C44B06" w:rsidRDefault="00714C0F" w:rsidP="00714C0F">
            <w:pPr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</w:pP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Da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costa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Pinheiro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Frota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et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al.,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(2020)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24371F" w14:textId="77777777" w:rsidR="00714C0F" w:rsidRPr="00C44B06" w:rsidRDefault="00714C0F" w:rsidP="00714C0F">
            <w:pPr>
              <w:jc w:val="center"/>
              <w:rPr>
                <w:rFonts w:eastAsia="Times New Roman"/>
                <w:sz w:val="22"/>
                <w:shd w:val="clear" w:color="auto" w:fill="FFFFFF"/>
                <w:lang w:val="en-US"/>
              </w:rPr>
            </w:pPr>
            <w:r w:rsidRPr="00C44B06">
              <w:rPr>
                <w:rFonts w:eastAsia="Times New Roman"/>
                <w:sz w:val="22"/>
                <w:shd w:val="clear" w:color="auto" w:fill="FFFFFF"/>
                <w:lang w:val="en-US"/>
              </w:rPr>
              <w:t>50</w:t>
            </w:r>
            <w:r w:rsidRPr="00C44B06">
              <w:rPr>
                <w:rFonts w:ascii="Times" w:hAnsi="Times"/>
                <w:sz w:val="12"/>
                <w:szCs w:val="12"/>
                <w:lang w:val="en-US"/>
              </w:rPr>
              <w:t>.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0D3E28" w14:textId="77777777" w:rsidR="00714C0F" w:rsidRPr="00C44B06" w:rsidRDefault="00714C0F" w:rsidP="006D7239">
            <w:pPr>
              <w:pStyle w:val="p1"/>
              <w:ind w:firstLine="0"/>
              <w:jc w:val="center"/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</w:pPr>
            <w:r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>No</w:t>
            </w:r>
          </w:p>
          <w:p w14:paraId="026388A4" w14:textId="7ADED7E2" w:rsidR="00714C0F" w:rsidRPr="00C44B06" w:rsidRDefault="00714C0F" w:rsidP="006D7239">
            <w:pPr>
              <w:pStyle w:val="p1"/>
              <w:ind w:firstLine="0"/>
              <w:jc w:val="center"/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</w:pPr>
            <w:r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>(clinical</w:t>
            </w:r>
            <w:r w:rsidR="00441453"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ascii="Times New Roman" w:eastAsia="Times New Roman" w:hAnsi="Times New Roman"/>
                <w:sz w:val="22"/>
                <w:shd w:val="clear" w:color="auto" w:fill="FFFFFF"/>
                <w:lang w:val="en-US"/>
              </w:rPr>
              <w:t>criteria)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7DB007" w14:textId="55B1037F" w:rsidR="00714C0F" w:rsidRPr="00C44B06" w:rsidRDefault="00714C0F" w:rsidP="006D7239">
            <w:pPr>
              <w:jc w:val="center"/>
              <w:rPr>
                <w:rFonts w:eastAsia="Times New Roman"/>
                <w:sz w:val="22"/>
                <w:shd w:val="clear" w:color="auto" w:fill="FFFFFF"/>
                <w:lang w:val="en-US"/>
              </w:rPr>
            </w:pPr>
            <w:r w:rsidRPr="00C44B06">
              <w:rPr>
                <w:rFonts w:eastAsia="Times New Roman"/>
                <w:sz w:val="22"/>
                <w:shd w:val="clear" w:color="auto" w:fill="FFFFFF"/>
                <w:lang w:val="en-US"/>
              </w:rPr>
              <w:t>24</w:t>
            </w:r>
            <w:r w:rsidR="00441453" w:rsidRPr="00C44B06">
              <w:rPr>
                <w:rFonts w:eastAsia="Times New Roman"/>
                <w:sz w:val="22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2"/>
                <w:shd w:val="clear" w:color="auto" w:fill="FFFFFF"/>
                <w:lang w:val="en-US"/>
              </w:rPr>
              <w:t>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D6DC14" w14:textId="77777777" w:rsidR="00714C0F" w:rsidRPr="00C44B06" w:rsidRDefault="00714C0F" w:rsidP="006D7239">
            <w:pPr>
              <w:pStyle w:val="p1"/>
              <w:jc w:val="center"/>
              <w:rPr>
                <w:rFonts w:ascii="Times New Roman" w:hAnsi="Times New Roman"/>
                <w:sz w:val="21"/>
                <w:szCs w:val="22"/>
                <w:lang w:val="en-US"/>
              </w:rPr>
            </w:pP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GMFCS</w:t>
            </w:r>
          </w:p>
          <w:p w14:paraId="74C5CC72" w14:textId="77777777" w:rsidR="00714C0F" w:rsidRPr="00C44B06" w:rsidRDefault="00714C0F" w:rsidP="006D7239">
            <w:pPr>
              <w:pStyle w:val="p1"/>
              <w:jc w:val="center"/>
              <w:rPr>
                <w:rFonts w:ascii="Times New Roman" w:hAnsi="Times New Roman"/>
                <w:sz w:val="21"/>
                <w:szCs w:val="22"/>
                <w:lang w:val="en-US"/>
              </w:rPr>
            </w:pP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GMFM-88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4121CE" w14:textId="374E8DC4" w:rsidR="00714C0F" w:rsidRPr="00C44B06" w:rsidRDefault="00714C0F" w:rsidP="006D7239">
            <w:pPr>
              <w:jc w:val="both"/>
              <w:rPr>
                <w:sz w:val="21"/>
                <w:szCs w:val="20"/>
                <w:lang w:val="en-US"/>
              </w:rPr>
            </w:pPr>
            <w:r w:rsidRPr="00C44B06">
              <w:rPr>
                <w:sz w:val="21"/>
                <w:szCs w:val="20"/>
                <w:lang w:val="en-US"/>
              </w:rPr>
              <w:t>100%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cerebral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palsy: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GMFCS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level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V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71.7%,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level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IV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23.9%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and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levels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I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or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II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4.3%.</w:t>
            </w:r>
          </w:p>
          <w:p w14:paraId="54BAC75B" w14:textId="6993734C" w:rsidR="00714C0F" w:rsidRPr="00C44B06" w:rsidRDefault="00714C0F" w:rsidP="006D7239">
            <w:pPr>
              <w:jc w:val="both"/>
              <w:rPr>
                <w:sz w:val="21"/>
                <w:szCs w:val="20"/>
                <w:lang w:val="en-US"/>
              </w:rPr>
            </w:pPr>
            <w:r w:rsidRPr="00C44B06">
              <w:rPr>
                <w:sz w:val="21"/>
                <w:szCs w:val="20"/>
                <w:lang w:val="en-US"/>
              </w:rPr>
              <w:t>Comorbidities.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Dysphagia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(90%),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visual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impairment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(58%),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epilepsy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(48%),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hip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dislocation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(20%)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and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arthrogryposis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(14%).</w:t>
            </w:r>
          </w:p>
          <w:p w14:paraId="1C7EE100" w14:textId="0444934D" w:rsidR="00714C0F" w:rsidRPr="00C44B06" w:rsidRDefault="00714C0F" w:rsidP="006D7239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4B06">
              <w:rPr>
                <w:sz w:val="21"/>
                <w:szCs w:val="20"/>
                <w:lang w:val="en-US"/>
              </w:rPr>
              <w:t>The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combination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of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dysphagia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and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epilepsy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in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children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with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CZS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was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associated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with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worst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gross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motor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function.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Head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circumference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was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not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associated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with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poorer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gross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motor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skills</w:t>
            </w:r>
            <w:r w:rsidR="00441453" w:rsidRPr="00C44B06">
              <w:rPr>
                <w:sz w:val="21"/>
                <w:szCs w:val="20"/>
                <w:lang w:val="en-US"/>
              </w:rPr>
              <w:t xml:space="preserve"> </w:t>
            </w:r>
            <w:r w:rsidRPr="00C44B06">
              <w:rPr>
                <w:sz w:val="21"/>
                <w:szCs w:val="20"/>
                <w:lang w:val="en-US"/>
              </w:rPr>
              <w:t>repertoire.</w:t>
            </w:r>
          </w:p>
        </w:tc>
      </w:tr>
      <w:tr w:rsidR="00714C0F" w:rsidRPr="00C44B06" w14:paraId="03A10C3E" w14:textId="77777777" w:rsidTr="00C44B06">
        <w:trPr>
          <w:trHeight w:val="1835"/>
        </w:trPr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B2DFD5" w14:textId="33F3DA77" w:rsidR="00714C0F" w:rsidRPr="00C44B06" w:rsidRDefault="00714C0F" w:rsidP="00714C0F">
            <w:pPr>
              <w:rPr>
                <w:sz w:val="20"/>
                <w:szCs w:val="20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Case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Series.</w:t>
            </w:r>
          </w:p>
          <w:p w14:paraId="127CE017" w14:textId="7CAB34CB" w:rsidR="00714C0F" w:rsidRPr="00C44B06" w:rsidRDefault="00714C0F" w:rsidP="00714C0F">
            <w:pPr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García-Boyano,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(2020)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AD7A97" w14:textId="7DCBC47D" w:rsidR="00714C0F" w:rsidRPr="00C44B06" w:rsidRDefault="00714C0F" w:rsidP="00714C0F">
            <w:pPr>
              <w:spacing w:after="120"/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16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CZS</w:t>
            </w:r>
          </w:p>
          <w:p w14:paraId="2944E174" w14:textId="5948E1DE" w:rsidR="00714C0F" w:rsidRPr="00C44B06" w:rsidRDefault="00714C0F" w:rsidP="00714C0F">
            <w:pPr>
              <w:spacing w:after="120"/>
              <w:jc w:val="center"/>
              <w:rPr>
                <w:rFonts w:eastAsia="Times New Roman"/>
                <w:sz w:val="22"/>
                <w:shd w:val="clear" w:color="auto" w:fill="FFFFFF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5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no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CZS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89D683" w14:textId="77777777" w:rsidR="00714C0F" w:rsidRPr="00C44B06" w:rsidRDefault="00714C0F" w:rsidP="006D7239">
            <w:pPr>
              <w:pStyle w:val="p1"/>
              <w:ind w:firstLine="0"/>
              <w:jc w:val="center"/>
              <w:rPr>
                <w:rFonts w:ascii="Times New Roman" w:hAnsi="Times New Roman"/>
                <w:sz w:val="21"/>
                <w:shd w:val="clear" w:color="auto" w:fill="FFFFFF"/>
                <w:lang w:val="en-US"/>
              </w:rPr>
            </w:pPr>
            <w:r w:rsidRPr="00C44B06">
              <w:rPr>
                <w:rFonts w:ascii="Times New Roman" w:hAnsi="Times New Roman"/>
                <w:sz w:val="21"/>
                <w:shd w:val="clear" w:color="auto" w:fill="FFFFFF"/>
                <w:lang w:val="en-US"/>
              </w:rPr>
              <w:t>Yes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F74259" w14:textId="77777777" w:rsidR="00714C0F" w:rsidRPr="00C44B06" w:rsidRDefault="00714C0F" w:rsidP="006D7239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C44B06">
              <w:rPr>
                <w:sz w:val="21"/>
                <w:szCs w:val="21"/>
                <w:lang w:val="en-US" w:eastAsia="en-US"/>
              </w:rPr>
              <w:t>23.6±4.5m</w:t>
            </w:r>
          </w:p>
          <w:p w14:paraId="04B9133F" w14:textId="0C74489B" w:rsidR="00714C0F" w:rsidRPr="00C44B06" w:rsidRDefault="00714C0F" w:rsidP="006D7239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C44B06">
              <w:rPr>
                <w:sz w:val="21"/>
                <w:szCs w:val="21"/>
                <w:lang w:val="en-US" w:eastAsia="en-US"/>
              </w:rPr>
              <w:t>3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not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follow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(2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died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and</w:t>
            </w:r>
          </w:p>
          <w:p w14:paraId="4B24133B" w14:textId="261C8335" w:rsidR="00714C0F" w:rsidRPr="00C44B06" w:rsidRDefault="00714C0F" w:rsidP="006D7239">
            <w:pPr>
              <w:jc w:val="center"/>
              <w:rPr>
                <w:rFonts w:eastAsia="Times New Roman"/>
                <w:sz w:val="22"/>
                <w:shd w:val="clear" w:color="auto" w:fill="FFFFFF"/>
                <w:lang w:val="en-US"/>
              </w:rPr>
            </w:pPr>
            <w:r w:rsidRPr="00C44B06">
              <w:rPr>
                <w:sz w:val="21"/>
                <w:szCs w:val="21"/>
                <w:lang w:val="en-US" w:eastAsia="en-US"/>
              </w:rPr>
              <w:t>1</w:t>
            </w:r>
            <w:r w:rsidR="00441453" w:rsidRPr="00C44B06">
              <w:rPr>
                <w:sz w:val="21"/>
                <w:szCs w:val="21"/>
                <w:lang w:val="en-US" w:eastAsia="en-US"/>
              </w:rPr>
              <w:t xml:space="preserve"> </w:t>
            </w:r>
            <w:r w:rsidRPr="00C44B06">
              <w:rPr>
                <w:sz w:val="21"/>
                <w:szCs w:val="21"/>
                <w:lang w:val="en-US" w:eastAsia="en-US"/>
              </w:rPr>
              <w:t>lost)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C99069" w14:textId="4E75019C" w:rsidR="00714C0F" w:rsidRPr="00C44B06" w:rsidRDefault="00714C0F" w:rsidP="006D7239">
            <w:pPr>
              <w:jc w:val="center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Haizea–Llevant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screening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test</w:t>
            </w:r>
          </w:p>
          <w:p w14:paraId="0AB601B6" w14:textId="77777777" w:rsidR="00714C0F" w:rsidRPr="00C44B06" w:rsidRDefault="00714C0F" w:rsidP="006D7239">
            <w:pPr>
              <w:pStyle w:val="p1"/>
              <w:jc w:val="center"/>
              <w:rPr>
                <w:rFonts w:ascii="Times New Roman" w:hAnsi="Times New Roman"/>
                <w:sz w:val="21"/>
                <w:szCs w:val="22"/>
                <w:highlight w:val="yellow"/>
                <w:lang w:val="en-US"/>
              </w:rPr>
            </w:pP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6C5672" w14:textId="7727F365" w:rsidR="00714C0F" w:rsidRPr="00C44B06" w:rsidRDefault="00714C0F" w:rsidP="006D7239">
            <w:pPr>
              <w:pStyle w:val="p1"/>
              <w:ind w:firstLine="0"/>
              <w:rPr>
                <w:rFonts w:ascii="Times New Roman" w:hAnsi="Times New Roman"/>
                <w:sz w:val="21"/>
                <w:szCs w:val="22"/>
                <w:lang w:val="en-US"/>
              </w:rPr>
            </w:pP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100%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neurodevelopmental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delay,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spasticity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and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hyperreflexia.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</w:p>
          <w:p w14:paraId="6E3D1726" w14:textId="6757DB91" w:rsidR="00714C0F" w:rsidRPr="00C44B06" w:rsidRDefault="00714C0F" w:rsidP="006D7239">
            <w:pPr>
              <w:pStyle w:val="p1"/>
              <w:ind w:firstLine="0"/>
              <w:rPr>
                <w:rFonts w:ascii="Times New Roman" w:hAnsi="Times New Roman"/>
                <w:sz w:val="21"/>
                <w:szCs w:val="22"/>
                <w:lang w:val="en-US"/>
              </w:rPr>
            </w:pP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Comorbidities.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Most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of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them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(14/15)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recurrent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epileptic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seizures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(12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epileptic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spasms)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and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dysphagia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(12/13).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Abnormal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visual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evoked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potential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and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EABR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responses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abnormal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in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50%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and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37.5%,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respectively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of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CZS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cases.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Hip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dysplasia</w:t>
            </w:r>
            <w:r w:rsidR="00441453" w:rsidRPr="00C44B06">
              <w:rPr>
                <w:rFonts w:ascii="Times New Roman" w:hAnsi="Times New Roman"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2"/>
                <w:lang w:val="en-US"/>
              </w:rPr>
              <w:t>19%.</w:t>
            </w:r>
          </w:p>
          <w:p w14:paraId="38ADEE70" w14:textId="06DCF4AD" w:rsidR="00714C0F" w:rsidRPr="00C44B06" w:rsidRDefault="00714C0F" w:rsidP="006D7239">
            <w:pPr>
              <w:jc w:val="both"/>
              <w:rPr>
                <w:sz w:val="21"/>
                <w:szCs w:val="22"/>
                <w:lang w:val="en-US"/>
              </w:rPr>
            </w:pPr>
            <w:r w:rsidRPr="00C44B06">
              <w:rPr>
                <w:sz w:val="21"/>
                <w:szCs w:val="22"/>
                <w:lang w:val="en-US"/>
              </w:rPr>
              <w:t>5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cases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without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CZS.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Not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clinical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impairment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at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23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months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of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age.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All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were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considered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normal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during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follow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up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until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23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months.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In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4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with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neuroimaging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studies: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1"/>
                <w:szCs w:val="22"/>
                <w:lang w:val="en-US"/>
              </w:rPr>
              <w:t>normal.</w:t>
            </w:r>
          </w:p>
        </w:tc>
      </w:tr>
      <w:tr w:rsidR="00714C0F" w:rsidRPr="00C44B06" w14:paraId="38417A34" w14:textId="77777777" w:rsidTr="00C44B06">
        <w:trPr>
          <w:trHeight w:val="1025"/>
        </w:trPr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5F59EC" w14:textId="45BA1C38" w:rsidR="00714C0F" w:rsidRPr="00C44B06" w:rsidRDefault="00714C0F" w:rsidP="00714C0F">
            <w:pPr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</w:pP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Qualitative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study</w:t>
            </w:r>
          </w:p>
          <w:p w14:paraId="6909A3CD" w14:textId="150A23FE" w:rsidR="00714C0F" w:rsidRPr="00C44B06" w:rsidRDefault="00714C0F" w:rsidP="00714C0F">
            <w:pPr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</w:pP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Correia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Campos,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2020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DDCCFC" w14:textId="77777777" w:rsidR="00714C0F" w:rsidRPr="00C44B06" w:rsidRDefault="00714C0F" w:rsidP="00714C0F">
            <w:pPr>
              <w:jc w:val="center"/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32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30576D" w14:textId="77777777" w:rsidR="00441453" w:rsidRPr="00C44B06" w:rsidRDefault="00714C0F" w:rsidP="006D7239">
            <w:pPr>
              <w:pStyle w:val="p1"/>
              <w:ind w:firstLine="0"/>
              <w:jc w:val="center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</w:pPr>
            <w:r w:rsidRPr="00C44B0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  <w:t>Yes</w:t>
            </w:r>
            <w:r w:rsidR="00441453" w:rsidRPr="00C44B0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  <w:t>(number</w:t>
            </w:r>
            <w:r w:rsidR="00441453" w:rsidRPr="00C44B0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  <w:t>not</w:t>
            </w:r>
            <w:r w:rsidR="00441453" w:rsidRPr="00C44B0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  <w:t>reported)</w:t>
            </w:r>
          </w:p>
          <w:p w14:paraId="250DAD66" w14:textId="1938DAD8" w:rsidR="00714C0F" w:rsidRPr="00C44B06" w:rsidRDefault="00714C0F" w:rsidP="006D7239">
            <w:pPr>
              <w:pStyle w:val="p1"/>
              <w:ind w:firstLine="0"/>
              <w:jc w:val="center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</w:pPr>
            <w:r w:rsidRPr="00C44B0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  <w:t>No</w:t>
            </w:r>
            <w:r w:rsidR="00441453" w:rsidRPr="00C44B0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  <w:t>(clinical</w:t>
            </w:r>
            <w:r w:rsidR="00441453" w:rsidRPr="00C44B0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  <w:t>criteria)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C1F155" w14:textId="1911A69C" w:rsidR="00714C0F" w:rsidRPr="00C44B06" w:rsidRDefault="00714C0F" w:rsidP="006D7239">
            <w:pPr>
              <w:jc w:val="center"/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</w:pPr>
            <w:r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>0-4</w:t>
            </w:r>
            <w:r w:rsidR="00441453"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>y</w:t>
            </w:r>
          </w:p>
          <w:p w14:paraId="63540419" w14:textId="62628F7B" w:rsidR="00714C0F" w:rsidRPr="00C44B06" w:rsidRDefault="00714C0F" w:rsidP="006D7239">
            <w:pPr>
              <w:jc w:val="center"/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</w:pPr>
            <w:r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>32.5</w:t>
            </w:r>
            <w:r w:rsidR="00441453"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>±6.2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E1218" w14:textId="3B73B51B" w:rsidR="00714C0F" w:rsidRPr="00C44B06" w:rsidRDefault="00714C0F" w:rsidP="006D7239">
            <w:pPr>
              <w:pStyle w:val="Pr-formataoHTM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44B0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Qualitative</w:t>
            </w:r>
            <w:r w:rsidR="00441453" w:rsidRPr="00C44B0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study.</w:t>
            </w:r>
            <w:r w:rsidR="00441453" w:rsidRPr="00C44B0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GMFCS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78E27B" w14:textId="7936A9EE" w:rsidR="00714C0F" w:rsidRPr="00C44B06" w:rsidRDefault="00714C0F" w:rsidP="006D7239">
            <w:pPr>
              <w:pStyle w:val="p1"/>
              <w:ind w:left="40" w:firstLine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44B06">
              <w:rPr>
                <w:rFonts w:ascii="Times New Roman" w:hAnsi="Times New Roman"/>
                <w:sz w:val="21"/>
                <w:szCs w:val="21"/>
                <w:lang w:val="en-US"/>
              </w:rPr>
              <w:t>All</w:t>
            </w:r>
            <w:r w:rsidR="00441453" w:rsidRPr="00C44B0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1"/>
                <w:lang w:val="en-US"/>
              </w:rPr>
              <w:t>(100%)</w:t>
            </w:r>
            <w:r w:rsidR="00441453" w:rsidRPr="00C44B0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1"/>
                <w:lang w:val="en-US"/>
              </w:rPr>
              <w:t>severe</w:t>
            </w:r>
            <w:r w:rsidR="00441453" w:rsidRPr="00C44B0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1"/>
                <w:lang w:val="en-US"/>
              </w:rPr>
              <w:t>motor</w:t>
            </w:r>
            <w:r w:rsidR="00441453" w:rsidRPr="00C44B0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1"/>
                <w:lang w:val="en-US"/>
              </w:rPr>
              <w:t>impairment</w:t>
            </w:r>
            <w:r w:rsidR="00441453" w:rsidRPr="00C44B0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1"/>
                <w:lang w:val="en-US"/>
              </w:rPr>
              <w:t>(all</w:t>
            </w:r>
            <w:r w:rsidR="00441453" w:rsidRPr="00C44B0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1"/>
                <w:lang w:val="en-US"/>
              </w:rPr>
              <w:t>GMFCS</w:t>
            </w:r>
            <w:r w:rsidR="00441453" w:rsidRPr="00C44B0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1"/>
                <w:lang w:val="en-US"/>
              </w:rPr>
              <w:t>level</w:t>
            </w:r>
            <w:r w:rsidR="00441453" w:rsidRPr="00C44B0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Fonts w:ascii="Times New Roman" w:hAnsi="Times New Roman"/>
                <w:sz w:val="21"/>
                <w:szCs w:val="21"/>
                <w:lang w:val="en-US"/>
              </w:rPr>
              <w:t>V).</w:t>
            </w:r>
          </w:p>
          <w:p w14:paraId="239578A1" w14:textId="08D536FB" w:rsidR="00714C0F" w:rsidRPr="00C44B06" w:rsidRDefault="00714C0F" w:rsidP="006D7239">
            <w:pPr>
              <w:ind w:firstLine="40"/>
              <w:jc w:val="both"/>
              <w:rPr>
                <w:b/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Comorbidities: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Vision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problems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69%,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Hearing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31%</w:t>
            </w:r>
            <w:r w:rsidRPr="00C44B06">
              <w:rPr>
                <w:b/>
                <w:sz w:val="21"/>
                <w:szCs w:val="21"/>
                <w:lang w:val="en-US"/>
              </w:rPr>
              <w:t>,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Sleep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problems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31%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and</w:t>
            </w:r>
            <w:r w:rsidR="00441453" w:rsidRPr="00C44B06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Epilepsy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34%</w:t>
            </w:r>
            <w:r w:rsidR="006D7239" w:rsidRPr="00C44B06">
              <w:rPr>
                <w:sz w:val="21"/>
                <w:szCs w:val="21"/>
                <w:lang w:val="en-US"/>
              </w:rPr>
              <w:t>.</w:t>
            </w:r>
          </w:p>
        </w:tc>
      </w:tr>
      <w:tr w:rsidR="00714C0F" w:rsidRPr="00C44B06" w14:paraId="4CB81750" w14:textId="77777777" w:rsidTr="00C44B06">
        <w:trPr>
          <w:trHeight w:val="619"/>
        </w:trPr>
        <w:tc>
          <w:tcPr>
            <w:tcW w:w="647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2F9DBD5" w14:textId="2BB4EA36" w:rsidR="00714C0F" w:rsidRPr="00C44B06" w:rsidRDefault="00714C0F" w:rsidP="00714C0F">
            <w:pPr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</w:pPr>
            <w:r w:rsidRPr="00C44B06">
              <w:rPr>
                <w:sz w:val="20"/>
                <w:szCs w:val="20"/>
                <w:lang w:val="en-US"/>
              </w:rPr>
              <w:t>Prospective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cohort</w:t>
            </w:r>
            <w:r w:rsidR="00441453" w:rsidRPr="00C44B06">
              <w:rPr>
                <w:sz w:val="20"/>
                <w:szCs w:val="20"/>
                <w:lang w:val="en-US"/>
              </w:rPr>
              <w:t xml:space="preserve"> </w:t>
            </w:r>
            <w:r w:rsidRPr="00C44B06">
              <w:rPr>
                <w:sz w:val="20"/>
                <w:szCs w:val="20"/>
                <w:lang w:val="en-US"/>
              </w:rPr>
              <w:t>study.</w:t>
            </w:r>
          </w:p>
          <w:p w14:paraId="0673440A" w14:textId="028A80FE" w:rsidR="00714C0F" w:rsidRPr="00C44B06" w:rsidRDefault="00714C0F" w:rsidP="00714C0F">
            <w:pPr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</w:pP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Cavalcante,</w:t>
            </w:r>
            <w:r w:rsidR="00441453"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0"/>
                <w:szCs w:val="20"/>
                <w:shd w:val="clear" w:color="auto" w:fill="FFFFFF"/>
                <w:lang w:val="en-US"/>
              </w:rPr>
              <w:t>2021</w:t>
            </w:r>
          </w:p>
        </w:tc>
        <w:tc>
          <w:tcPr>
            <w:tcW w:w="324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0F05D5F4" w14:textId="77777777" w:rsidR="00714C0F" w:rsidRPr="00C44B06" w:rsidRDefault="00714C0F" w:rsidP="00714C0F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93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6DEDAC75" w14:textId="77777777" w:rsidR="00714C0F" w:rsidRPr="00C44B06" w:rsidRDefault="00714C0F" w:rsidP="006D7239">
            <w:pPr>
              <w:pStyle w:val="p1"/>
              <w:ind w:firstLine="0"/>
              <w:jc w:val="center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</w:pPr>
            <w:r w:rsidRPr="00C44B0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en-US"/>
              </w:rPr>
              <w:t>Yes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51FDF4E5" w14:textId="5056442B" w:rsidR="00714C0F" w:rsidRPr="00C44B06" w:rsidRDefault="00714C0F" w:rsidP="006D7239">
            <w:pPr>
              <w:jc w:val="center"/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</w:pPr>
            <w:r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>Up</w:t>
            </w:r>
            <w:r w:rsidR="00441453"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>to</w:t>
            </w:r>
            <w:r w:rsidR="00441453"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>36</w:t>
            </w:r>
            <w:r w:rsidR="00441453"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>m</w:t>
            </w:r>
          </w:p>
        </w:tc>
        <w:tc>
          <w:tcPr>
            <w:tcW w:w="428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16A8E0B7" w14:textId="77777777" w:rsidR="00714C0F" w:rsidRPr="00C44B06" w:rsidRDefault="00714C0F" w:rsidP="006D7239">
            <w:pPr>
              <w:pStyle w:val="Pr-formataoHTM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44B0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GMFCS</w:t>
            </w:r>
          </w:p>
          <w:p w14:paraId="67C1990E" w14:textId="503A6C21" w:rsidR="00714C0F" w:rsidRPr="00C44B06" w:rsidRDefault="00714C0F" w:rsidP="006D7239">
            <w:pPr>
              <w:jc w:val="center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Ocular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examination</w:t>
            </w:r>
          </w:p>
        </w:tc>
        <w:tc>
          <w:tcPr>
            <w:tcW w:w="2572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0919A05B" w14:textId="2EEBE585" w:rsidR="00714C0F" w:rsidRPr="00C44B06" w:rsidRDefault="00714C0F" w:rsidP="006D7239">
            <w:pPr>
              <w:jc w:val="both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Sixty-one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cases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(66%)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presented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with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microcephaly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at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birth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whereas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32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(34%)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were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born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without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microcephaly.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Maternal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ZIKV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infection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was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most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frequently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reported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in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the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first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trimester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of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pregnancy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among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those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born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with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microcephaly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(79.2%)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compared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with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those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born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without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microcephaly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(46.1%).</w:t>
            </w:r>
          </w:p>
          <w:p w14:paraId="3729769C" w14:textId="05976721" w:rsidR="00714C0F" w:rsidRPr="00C44B06" w:rsidRDefault="00714C0F" w:rsidP="006D7239">
            <w:pPr>
              <w:jc w:val="both"/>
              <w:rPr>
                <w:sz w:val="21"/>
                <w:szCs w:val="21"/>
                <w:lang w:val="en-US"/>
              </w:rPr>
            </w:pPr>
            <w:r w:rsidRPr="00C44B06">
              <w:rPr>
                <w:sz w:val="21"/>
                <w:szCs w:val="21"/>
                <w:lang w:val="en-US"/>
              </w:rPr>
              <w:t>Spasticity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(97%),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epileptic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seizures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(90.7%).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Difficulty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sleeping,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irritability,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continuous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crying,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and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dysphagia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were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present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in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most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cases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with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or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without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microcephaly.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However,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Style w:val="y2iqfc"/>
                <w:lang w:val="en-US"/>
              </w:rPr>
              <w:t>d</w:t>
            </w:r>
            <w:r w:rsidRPr="00C44B06">
              <w:rPr>
                <w:rStyle w:val="y2iqfc"/>
                <w:sz w:val="21"/>
                <w:lang w:val="en-US"/>
              </w:rPr>
              <w:t>rug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resistant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epilepsy,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spasticity,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and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continuous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crying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were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less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common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among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those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without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microcephaly.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In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addition,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the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severity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of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the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motor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disability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lang w:val="en-US"/>
              </w:rPr>
              <w:t>was</w:t>
            </w:r>
            <w:r w:rsidR="00441453" w:rsidRPr="00C44B06">
              <w:rPr>
                <w:rStyle w:val="y2iqfc"/>
                <w:sz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szCs w:val="21"/>
                <w:lang w:val="en-US"/>
              </w:rPr>
              <w:t>significantly</w:t>
            </w:r>
            <w:r w:rsidR="00441453" w:rsidRPr="00C44B06">
              <w:rPr>
                <w:rStyle w:val="y2iqfc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szCs w:val="21"/>
                <w:lang w:val="en-US"/>
              </w:rPr>
              <w:t>higher</w:t>
            </w:r>
            <w:r w:rsidR="00441453" w:rsidRPr="00C44B06">
              <w:rPr>
                <w:rStyle w:val="y2iqfc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szCs w:val="21"/>
                <w:lang w:val="en-US"/>
              </w:rPr>
              <w:t>in</w:t>
            </w:r>
            <w:r w:rsidR="00441453" w:rsidRPr="00C44B06">
              <w:rPr>
                <w:rStyle w:val="y2iqfc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szCs w:val="21"/>
                <w:lang w:val="en-US"/>
              </w:rPr>
              <w:t>those</w:t>
            </w:r>
            <w:r w:rsidR="00441453" w:rsidRPr="00C44B06">
              <w:rPr>
                <w:rStyle w:val="y2iqfc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szCs w:val="21"/>
                <w:lang w:val="en-US"/>
              </w:rPr>
              <w:t>with</w:t>
            </w:r>
            <w:r w:rsidR="00441453" w:rsidRPr="00C44B06">
              <w:rPr>
                <w:rStyle w:val="y2iqfc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szCs w:val="21"/>
                <w:lang w:val="en-US"/>
              </w:rPr>
              <w:t>microcephaly</w:t>
            </w:r>
            <w:r w:rsidR="00441453" w:rsidRPr="00C44B06">
              <w:rPr>
                <w:rStyle w:val="y2iqfc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szCs w:val="21"/>
                <w:lang w:val="en-US"/>
              </w:rPr>
              <w:t>at</w:t>
            </w:r>
            <w:r w:rsidR="00441453" w:rsidRPr="00C44B06">
              <w:rPr>
                <w:rStyle w:val="y2iqfc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szCs w:val="21"/>
                <w:lang w:val="en-US"/>
              </w:rPr>
              <w:t>birth.</w:t>
            </w:r>
            <w:r w:rsidR="00441453" w:rsidRPr="00C44B06">
              <w:rPr>
                <w:rStyle w:val="y2iqfc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rStyle w:val="y2iqfc"/>
                <w:sz w:val="21"/>
                <w:szCs w:val="21"/>
                <w:lang w:val="en-US"/>
              </w:rPr>
              <w:t>Furthermore,</w:t>
            </w:r>
            <w:r w:rsidR="00441453" w:rsidRPr="00C44B06">
              <w:rPr>
                <w:rStyle w:val="y2iqfc"/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any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ophthalmic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damage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and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bilateral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retina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damage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were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also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more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frequently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among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those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with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microcephaly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at</w:t>
            </w:r>
            <w:r w:rsidR="00441453" w:rsidRPr="00C44B06">
              <w:rPr>
                <w:sz w:val="21"/>
                <w:szCs w:val="21"/>
                <w:lang w:val="en-US"/>
              </w:rPr>
              <w:t xml:space="preserve"> </w:t>
            </w:r>
            <w:r w:rsidRPr="00C44B06">
              <w:rPr>
                <w:sz w:val="21"/>
                <w:szCs w:val="21"/>
                <w:lang w:val="en-US"/>
              </w:rPr>
              <w:t>birth</w:t>
            </w:r>
            <w:r w:rsidR="006D7239" w:rsidRPr="00C44B06">
              <w:rPr>
                <w:sz w:val="21"/>
                <w:szCs w:val="21"/>
                <w:lang w:val="en-US"/>
              </w:rPr>
              <w:t>.</w:t>
            </w:r>
          </w:p>
        </w:tc>
      </w:tr>
      <w:tr w:rsidR="00714C0F" w:rsidRPr="00C44B06" w14:paraId="70CEE47A" w14:textId="77777777" w:rsidTr="006D7239">
        <w:trPr>
          <w:trHeight w:val="195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4D632D55" w14:textId="7399F1AE" w:rsidR="00714C0F" w:rsidRPr="00C44B06" w:rsidRDefault="00714C0F" w:rsidP="006D7239">
            <w:pPr>
              <w:jc w:val="both"/>
              <w:rPr>
                <w:rFonts w:eastAsia="Times New Roman"/>
                <w:lang w:val="en-US"/>
              </w:rPr>
            </w:pPr>
            <w:r w:rsidRPr="00C44B06">
              <w:rPr>
                <w:rStyle w:val="tlid-translation"/>
                <w:sz w:val="22"/>
                <w:szCs w:val="22"/>
                <w:lang w:val="en-US"/>
              </w:rPr>
              <w:lastRenderedPageBreak/>
              <w:t>Age</w:t>
            </w:r>
            <w:r w:rsidR="00441453" w:rsidRPr="00C44B06">
              <w:rPr>
                <w:rStyle w:val="tlid-translatio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Style w:val="tlid-translation"/>
                <w:sz w:val="22"/>
                <w:szCs w:val="22"/>
                <w:lang w:val="en-US"/>
              </w:rPr>
              <w:t>of</w:t>
            </w:r>
            <w:r w:rsidR="00441453" w:rsidRPr="00C44B06">
              <w:rPr>
                <w:rStyle w:val="tlid-translatio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Style w:val="tlid-translation"/>
                <w:sz w:val="22"/>
                <w:szCs w:val="22"/>
                <w:lang w:val="en-US"/>
              </w:rPr>
              <w:t>evaluation:</w:t>
            </w:r>
            <w:r w:rsidR="00441453" w:rsidRPr="00C44B06">
              <w:rPr>
                <w:rStyle w:val="tlid-translatio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mean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±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standard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deviation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or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mediam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(range).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m=months,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wks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=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weeks,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y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=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years.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Style w:val="tlid-translation"/>
                <w:sz w:val="22"/>
                <w:szCs w:val="22"/>
                <w:lang w:val="en-US"/>
              </w:rPr>
              <w:t>AIMS</w:t>
            </w:r>
            <w:r w:rsidR="00441453" w:rsidRPr="00C44B06">
              <w:rPr>
                <w:rStyle w:val="tlid-translatio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Style w:val="tlid-translation"/>
                <w:sz w:val="22"/>
                <w:szCs w:val="22"/>
                <w:lang w:val="en-US"/>
              </w:rPr>
              <w:t>-</w:t>
            </w:r>
            <w:r w:rsidR="00441453" w:rsidRPr="00C44B06">
              <w:rPr>
                <w:rStyle w:val="tlid-translation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Alberta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Infant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Motor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Scale;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Cs/>
                <w:sz w:val="22"/>
                <w:szCs w:val="22"/>
                <w:lang w:val="en-US"/>
              </w:rPr>
              <w:t>ICF:</w:t>
            </w:r>
            <w:r w:rsidR="00441453" w:rsidRPr="00C44B06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The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International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Classification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of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Functioning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Disability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and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Health</w:t>
            </w:r>
            <w:r w:rsidRPr="00C44B06">
              <w:rPr>
                <w:sz w:val="22"/>
                <w:szCs w:val="22"/>
                <w:lang w:val="en-US" w:eastAsia="en-US"/>
              </w:rPr>
              <w:t>;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ASQ-3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Ages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and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Stages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Questionnaire,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3rd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edition</w:t>
            </w:r>
            <w:r w:rsidRPr="00C44B06">
              <w:rPr>
                <w:sz w:val="22"/>
                <w:szCs w:val="22"/>
                <w:lang w:val="en-US" w:eastAsia="en-US"/>
              </w:rPr>
              <w:t>;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lang w:val="en-US"/>
              </w:rPr>
              <w:t>BSID-III</w:t>
            </w:r>
            <w:r w:rsidRPr="00C44B06">
              <w:rPr>
                <w:sz w:val="22"/>
                <w:szCs w:val="22"/>
                <w:lang w:val="en-US" w:eastAsia="en-US"/>
              </w:rPr>
              <w:t>: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Bayley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Scales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of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Infants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and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Toddler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Development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–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3rd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edition</w:t>
            </w:r>
            <w:r w:rsidRPr="00C44B06">
              <w:rPr>
                <w:iCs/>
                <w:sz w:val="22"/>
                <w:szCs w:val="22"/>
                <w:lang w:val="en-US"/>
              </w:rPr>
              <w:t>;</w:t>
            </w:r>
            <w:r w:rsidR="00441453" w:rsidRPr="00C44B06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BISQ: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Brief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Infant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Sleep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Questionnaire;</w:t>
            </w:r>
            <w:r w:rsidR="00441453" w:rsidRPr="00C44B06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Cs/>
                <w:sz w:val="22"/>
                <w:szCs w:val="22"/>
                <w:lang w:val="en-US"/>
              </w:rPr>
              <w:t>BPSC:</w:t>
            </w:r>
            <w:r w:rsidR="00441453" w:rsidRPr="00C44B06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1"/>
                <w:szCs w:val="22"/>
                <w:lang w:val="en-US"/>
              </w:rPr>
              <w:t>Baby</w:t>
            </w:r>
            <w:r w:rsidR="00441453" w:rsidRPr="00C44B06">
              <w:rPr>
                <w:i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1"/>
                <w:szCs w:val="22"/>
                <w:lang w:val="en-US"/>
              </w:rPr>
              <w:t>Pediatric</w:t>
            </w:r>
            <w:r w:rsidR="00441453" w:rsidRPr="00C44B06">
              <w:rPr>
                <w:i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1"/>
                <w:szCs w:val="22"/>
                <w:lang w:val="en-US"/>
              </w:rPr>
              <w:t>Symptom</w:t>
            </w:r>
            <w:r w:rsidR="00441453" w:rsidRPr="00C44B06">
              <w:rPr>
                <w:i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1"/>
                <w:szCs w:val="22"/>
                <w:lang w:val="en-US"/>
              </w:rPr>
              <w:t>Checklist</w:t>
            </w:r>
            <w:r w:rsidRPr="00C44B06">
              <w:rPr>
                <w:sz w:val="21"/>
                <w:szCs w:val="22"/>
                <w:lang w:val="en-US"/>
              </w:rPr>
              <w:t>;</w:t>
            </w:r>
            <w:r w:rsidR="00441453" w:rsidRPr="00C44B06">
              <w:rPr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CFCS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=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communication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function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classification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scale</w:t>
            </w:r>
            <w:r w:rsidRPr="00C44B06">
              <w:rPr>
                <w:iCs/>
                <w:sz w:val="22"/>
                <w:szCs w:val="22"/>
                <w:lang w:val="en-US"/>
              </w:rPr>
              <w:t>;</w:t>
            </w:r>
            <w:r w:rsidR="00441453" w:rsidRPr="00C44B06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Cs/>
                <w:sz w:val="22"/>
                <w:szCs w:val="22"/>
                <w:lang w:val="en-US"/>
              </w:rPr>
              <w:t>DDST:</w:t>
            </w:r>
            <w:r w:rsidR="00441453" w:rsidRPr="00C44B06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Denver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Developmental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/>
              </w:rPr>
              <w:t>Screening</w:t>
            </w:r>
            <w:r w:rsidR="00441453" w:rsidRPr="00C44B0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/>
              </w:rPr>
              <w:t>Test</w:t>
            </w:r>
            <w:r w:rsidR="00441453" w:rsidRPr="00C44B0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/>
              </w:rPr>
              <w:t>II;</w:t>
            </w:r>
            <w:r w:rsidR="00441453" w:rsidRPr="00C44B0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Cs/>
                <w:sz w:val="22"/>
                <w:szCs w:val="22"/>
                <w:lang w:val="en-US"/>
              </w:rPr>
              <w:t>EABR:</w:t>
            </w:r>
            <w:r w:rsidR="00441453" w:rsidRPr="00C44B0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>Electrical</w:t>
            </w:r>
            <w:r w:rsidR="00441453"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>Auditory</w:t>
            </w:r>
            <w:r w:rsidR="00441453"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>Brainstem</w:t>
            </w:r>
            <w:r w:rsidR="00441453"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>Response;</w:t>
            </w:r>
            <w:r w:rsidR="00441453" w:rsidRPr="00C44B06">
              <w:rPr>
                <w:rFonts w:eastAsia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C44B06">
              <w:rPr>
                <w:iCs/>
                <w:sz w:val="22"/>
                <w:szCs w:val="22"/>
                <w:lang w:val="en-US" w:eastAsia="en-US"/>
              </w:rPr>
              <w:t>EADCS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=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eating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and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drinking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ability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classification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scale;</w:t>
            </w:r>
            <w:r w:rsidR="00441453" w:rsidRPr="00C44B06">
              <w:rPr>
                <w:rFonts w:cs="Adobe Caslon Pro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cs="Adobe Caslon Pro"/>
                <w:sz w:val="22"/>
                <w:szCs w:val="22"/>
                <w:lang w:val="en-US"/>
              </w:rPr>
              <w:t>GMA:</w:t>
            </w:r>
            <w:r w:rsidR="00441453" w:rsidRPr="00C44B06">
              <w:rPr>
                <w:rFonts w:cs="Adobe Caslon Pro"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>General</w:t>
            </w:r>
            <w:r w:rsidR="00441453"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>Movements</w:t>
            </w:r>
            <w:r w:rsidR="00441453"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>Assessment;</w:t>
            </w:r>
            <w:r w:rsidR="00441453"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GMFM-66:</w:t>
            </w:r>
            <w:r w:rsidR="00441453" w:rsidRPr="00C44B06">
              <w:rPr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Gross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Motor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Function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Measure;</w:t>
            </w:r>
            <w:r w:rsidR="00441453" w:rsidRPr="00C44B06">
              <w:rPr>
                <w:lang w:val="en-US" w:eastAsia="en-US"/>
              </w:rPr>
              <w:t xml:space="preserve"> </w:t>
            </w:r>
            <w:r w:rsidRPr="00C44B06">
              <w:rPr>
                <w:rFonts w:cs="Adobe Caslon Pro"/>
                <w:sz w:val="22"/>
                <w:szCs w:val="22"/>
                <w:lang w:val="en-US"/>
              </w:rPr>
              <w:t>GMFCS:</w:t>
            </w:r>
            <w:r w:rsidR="00441453" w:rsidRPr="00C44B06">
              <w:rPr>
                <w:rFonts w:cs="Adobe Caslon Pro"/>
                <w:lang w:val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Gross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Motor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Function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Classification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System;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HINE: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/>
              </w:rPr>
              <w:t>Hammersmith</w:t>
            </w:r>
            <w:r w:rsidR="00441453" w:rsidRPr="00C44B0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/>
              </w:rPr>
              <w:t>Infant</w:t>
            </w:r>
            <w:r w:rsidR="00441453" w:rsidRPr="00C44B0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/>
              </w:rPr>
              <w:t>Neurological</w:t>
            </w:r>
            <w:r w:rsidR="00441453" w:rsidRPr="00C44B0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/>
              </w:rPr>
              <w:t>Examination</w:t>
            </w:r>
            <w:r w:rsidRPr="00C44B06">
              <w:rPr>
                <w:sz w:val="22"/>
                <w:szCs w:val="22"/>
                <w:lang w:val="en-US" w:eastAsia="en-US"/>
              </w:rPr>
              <w:t>;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Cs/>
                <w:sz w:val="22"/>
                <w:szCs w:val="22"/>
                <w:lang w:val="en-US" w:eastAsia="en-US"/>
              </w:rPr>
              <w:t>MACS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: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manual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ability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classification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scale</w:t>
            </w:r>
            <w:r w:rsidRPr="00C44B06">
              <w:rPr>
                <w:iCs/>
                <w:sz w:val="22"/>
                <w:szCs w:val="22"/>
                <w:lang w:val="en-US" w:eastAsia="en-US"/>
              </w:rPr>
              <w:t>,</w:t>
            </w:r>
            <w:r w:rsidR="00441453" w:rsidRPr="00C44B06">
              <w:rPr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Cs/>
                <w:sz w:val="22"/>
                <w:szCs w:val="22"/>
                <w:lang w:val="en-US" w:eastAsia="en-US"/>
              </w:rPr>
              <w:t>MOS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: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sz w:val="21"/>
                <w:szCs w:val="22"/>
                <w:lang w:val="en-US"/>
              </w:rPr>
              <w:t>Motor</w:t>
            </w:r>
            <w:r w:rsidR="00441453" w:rsidRPr="00C44B06">
              <w:rPr>
                <w:i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1"/>
                <w:szCs w:val="22"/>
                <w:lang w:val="en-US"/>
              </w:rPr>
              <w:t>Optimality</w:t>
            </w:r>
            <w:r w:rsidR="00441453" w:rsidRPr="00C44B06">
              <w:rPr>
                <w:i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1"/>
                <w:szCs w:val="22"/>
                <w:lang w:val="en-US"/>
              </w:rPr>
              <w:t>Score;</w:t>
            </w:r>
            <w:r w:rsidR="00441453" w:rsidRPr="00C44B06">
              <w:rPr>
                <w:i/>
                <w:sz w:val="21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MSEL: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Mullen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Scales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of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Early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Learning;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PEDI: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>Pediatric</w:t>
            </w:r>
            <w:r w:rsidR="00441453"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>Evaluation</w:t>
            </w:r>
            <w:r w:rsidR="00441453"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>of</w:t>
            </w:r>
            <w:r w:rsidR="00441453"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>Disability</w:t>
            </w:r>
            <w:r w:rsidR="00441453"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rFonts w:cs="Adobe Caslon Pro"/>
                <w:i/>
                <w:iCs/>
                <w:sz w:val="22"/>
                <w:szCs w:val="22"/>
                <w:lang w:val="en-US"/>
              </w:rPr>
              <w:t>Inventory</w:t>
            </w:r>
            <w:r w:rsidRPr="00C44B06">
              <w:rPr>
                <w:rFonts w:cs="Adobe Caslon Pro"/>
                <w:sz w:val="22"/>
                <w:szCs w:val="22"/>
                <w:lang w:val="en-US"/>
              </w:rPr>
              <w:t>;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Cs/>
                <w:sz w:val="22"/>
                <w:szCs w:val="22"/>
                <w:lang w:val="en-US" w:eastAsia="en-US"/>
              </w:rPr>
              <w:t>PPSC: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Preschool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Pediatric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Symptom</w:t>
            </w:r>
            <w:r w:rsidR="00441453" w:rsidRPr="00C44B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i/>
                <w:sz w:val="22"/>
                <w:szCs w:val="22"/>
                <w:lang w:val="en-US"/>
              </w:rPr>
              <w:t>Checklist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;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Cs/>
                <w:sz w:val="22"/>
                <w:szCs w:val="22"/>
                <w:lang w:val="en-US" w:eastAsia="en-US"/>
              </w:rPr>
              <w:t>SD: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standard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deviation;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SWYC: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Survey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of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Wellbeing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of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Young</w:t>
            </w:r>
            <w:r w:rsidR="00441453" w:rsidRPr="00C44B06">
              <w:rPr>
                <w:sz w:val="22"/>
                <w:szCs w:val="22"/>
                <w:lang w:val="en-US"/>
              </w:rPr>
              <w:t xml:space="preserve"> </w:t>
            </w:r>
            <w:r w:rsidRPr="00C44B06">
              <w:rPr>
                <w:sz w:val="22"/>
                <w:szCs w:val="22"/>
                <w:lang w:val="en-US"/>
              </w:rPr>
              <w:t>Children.</w:t>
            </w:r>
            <w:r w:rsidR="00441453" w:rsidRPr="00C44B06">
              <w:rPr>
                <w:lang w:val="en-US"/>
              </w:rPr>
              <w:t xml:space="preserve"> 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sz w:val="22"/>
                <w:szCs w:val="22"/>
                <w:lang w:val="en-US" w:eastAsia="en-US"/>
              </w:rPr>
              <w:t>WIDEA:</w:t>
            </w:r>
            <w:r w:rsidR="00441453" w:rsidRPr="00C44B06">
              <w:rPr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Warner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Initial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Developmental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Evaluation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of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Adaptive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and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Functional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44B06">
              <w:rPr>
                <w:i/>
                <w:iCs/>
                <w:sz w:val="22"/>
                <w:szCs w:val="22"/>
                <w:lang w:val="en-US" w:eastAsia="en-US"/>
              </w:rPr>
              <w:t>Skills.</w:t>
            </w:r>
            <w:r w:rsidR="00441453" w:rsidRPr="00C44B06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14:paraId="602F0144" w14:textId="4507BBAF" w:rsidR="003259D3" w:rsidRPr="00C44B06" w:rsidRDefault="003259D3">
      <w:pPr>
        <w:rPr>
          <w:lang w:val="en-US"/>
        </w:rPr>
      </w:pPr>
    </w:p>
    <w:p w14:paraId="184FF2B1" w14:textId="77777777" w:rsidR="00441453" w:rsidRPr="00C44B06" w:rsidRDefault="00441453" w:rsidP="00091993">
      <w:pPr>
        <w:rPr>
          <w:lang w:val="en-US"/>
        </w:rPr>
      </w:pPr>
    </w:p>
    <w:p w14:paraId="3EB5B2C1" w14:textId="118E39E6" w:rsidR="00091993" w:rsidRPr="00C44B06" w:rsidRDefault="00091993" w:rsidP="00091993">
      <w:pPr>
        <w:rPr>
          <w:b/>
          <w:bCs/>
          <w:lang w:val="en-US"/>
        </w:rPr>
      </w:pPr>
      <w:r w:rsidRPr="00C44B06">
        <w:rPr>
          <w:b/>
          <w:bCs/>
          <w:lang w:val="en-US"/>
        </w:rPr>
        <w:t>References</w:t>
      </w:r>
    </w:p>
    <w:p w14:paraId="5B976F5A" w14:textId="77777777" w:rsidR="00091993" w:rsidRPr="00C44B06" w:rsidRDefault="00091993" w:rsidP="00091993">
      <w:pPr>
        <w:rPr>
          <w:lang w:val="en-US"/>
        </w:rPr>
      </w:pPr>
    </w:p>
    <w:p w14:paraId="134F6C40" w14:textId="4395DE68" w:rsidR="00441453" w:rsidRPr="00C44B06" w:rsidRDefault="00441453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 xml:space="preserve">van der Linden, V., Pessoa, A., Dobyns, W., Barkovich, A. J., Júnior, H. V., Filho, E. L., et al. (2016). Description of 13 Infants Born During October 2015-January 2016 With Congenital Zika Virus Infection Without Microcephaly at Birth - Brazil. </w:t>
      </w:r>
      <w:r w:rsidRPr="00C44B06">
        <w:rPr>
          <w:i/>
          <w:iCs/>
          <w:color w:val="212121"/>
          <w:shd w:val="clear" w:color="auto" w:fill="FFFFFF"/>
          <w:lang w:val="en-US"/>
        </w:rPr>
        <w:t>MMWR. Morbidity and mortality weekly report</w:t>
      </w:r>
      <w:r w:rsidRPr="00C44B06">
        <w:rPr>
          <w:color w:val="212121"/>
          <w:shd w:val="clear" w:color="auto" w:fill="FFFFFF"/>
          <w:lang w:val="en-US"/>
        </w:rPr>
        <w:t xml:space="preserve">, </w:t>
      </w:r>
      <w:r w:rsidRPr="00C44B06">
        <w:rPr>
          <w:i/>
          <w:iCs/>
          <w:color w:val="212121"/>
          <w:shd w:val="clear" w:color="auto" w:fill="FFFFFF"/>
          <w:lang w:val="en-US"/>
        </w:rPr>
        <w:t>65</w:t>
      </w:r>
      <w:r w:rsidRPr="00C44B06">
        <w:rPr>
          <w:color w:val="212121"/>
          <w:shd w:val="clear" w:color="auto" w:fill="FFFFFF"/>
          <w:lang w:val="en-US"/>
        </w:rPr>
        <w:t>(47), 1343–1348. doi: 10.15585/mmwr.mm6547e2</w:t>
      </w:r>
    </w:p>
    <w:p w14:paraId="787B25F2" w14:textId="5B46993F" w:rsidR="00091993" w:rsidRPr="00C44B06" w:rsidRDefault="00441453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 xml:space="preserve">Satterfield-Nash, A., Kotzky, K., Allen, J., Bertolli, J., Moore, C. A., Pereira, I. O., et al. (2017). Health and Development at Age 19-24 Months of 19 Children Who Were Born with Microcephaly and Laboratory Evidence of Congenital Zika Virus Infection During the 2015 Zika Virus Outbreak - Brazil, 2017. </w:t>
      </w:r>
      <w:r w:rsidRPr="00C44B06">
        <w:rPr>
          <w:i/>
          <w:iCs/>
          <w:color w:val="212121"/>
          <w:shd w:val="clear" w:color="auto" w:fill="FFFFFF"/>
          <w:lang w:val="en-US"/>
        </w:rPr>
        <w:t>MMWR. Morbidity and mortality weekly report</w:t>
      </w:r>
      <w:r w:rsidRPr="00C44B06">
        <w:rPr>
          <w:color w:val="212121"/>
          <w:shd w:val="clear" w:color="auto" w:fill="FFFFFF"/>
          <w:lang w:val="en-US"/>
        </w:rPr>
        <w:t>, 66(49), 1347–1351. doi: 10.15585/mmwr.mm6649a2</w:t>
      </w:r>
    </w:p>
    <w:p w14:paraId="69B135FC" w14:textId="18F87160" w:rsidR="00091993" w:rsidRPr="00C44B06" w:rsidRDefault="00441453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 xml:space="preserve">França, T., Medeiros, W. R., Souza, N. L., Longo, E., Pereira, S. A., França, T., et al. (2018). Growth and Development of Children with Microcephaly Associated with Congenital Zika Virus Syndrome in Brazil. </w:t>
      </w:r>
      <w:r w:rsidRPr="00C44B06">
        <w:rPr>
          <w:i/>
          <w:iCs/>
          <w:color w:val="212121"/>
          <w:shd w:val="clear" w:color="auto" w:fill="FFFFFF"/>
          <w:lang w:val="en-US"/>
        </w:rPr>
        <w:t>International journal of environmental research and public health</w:t>
      </w:r>
      <w:r w:rsidRPr="00C44B06">
        <w:rPr>
          <w:color w:val="212121"/>
          <w:shd w:val="clear" w:color="auto" w:fill="FFFFFF"/>
          <w:lang w:val="en-US"/>
        </w:rPr>
        <w:t>, 15(9), 1990. doi: 10.3390/ijerph15091990</w:t>
      </w:r>
    </w:p>
    <w:p w14:paraId="491E1237" w14:textId="1A68E292" w:rsidR="00441453" w:rsidRPr="00C44B06" w:rsidRDefault="00441453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 xml:space="preserve">Alves, L. V., Paredes, C. E., Silva, G. C., Mello, J. G., &amp; Alves, J. G. (2018). Neurodevelopment of 24 children born in Brazil with congenital Zika syndrome in 2015: a case series study. </w:t>
      </w:r>
      <w:r w:rsidRPr="00C44B06">
        <w:rPr>
          <w:i/>
          <w:iCs/>
          <w:color w:val="212121"/>
          <w:shd w:val="clear" w:color="auto" w:fill="FFFFFF"/>
          <w:lang w:val="en-US"/>
        </w:rPr>
        <w:t>BMJ open</w:t>
      </w:r>
      <w:r w:rsidRPr="00C44B06">
        <w:rPr>
          <w:color w:val="212121"/>
          <w:shd w:val="clear" w:color="auto" w:fill="FFFFFF"/>
          <w:lang w:val="en-US"/>
        </w:rPr>
        <w:t xml:space="preserve">, </w:t>
      </w:r>
      <w:r w:rsidRPr="00C44B06">
        <w:rPr>
          <w:i/>
          <w:iCs/>
          <w:color w:val="212121"/>
          <w:shd w:val="clear" w:color="auto" w:fill="FFFFFF"/>
          <w:lang w:val="en-US"/>
        </w:rPr>
        <w:t>8</w:t>
      </w:r>
      <w:r w:rsidRPr="00C44B06">
        <w:rPr>
          <w:color w:val="212121"/>
          <w:shd w:val="clear" w:color="auto" w:fill="FFFFFF"/>
          <w:lang w:val="en-US"/>
        </w:rPr>
        <w:t>(7), e021304. doi: 10.1136/bmjopen-2017-021304</w:t>
      </w:r>
    </w:p>
    <w:p w14:paraId="658BB89A" w14:textId="7CF41EED" w:rsidR="00091993" w:rsidRPr="00C44B06" w:rsidRDefault="00DA4B06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Ferreira,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H.,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Schiariti,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Regalado,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Sousa,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K.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Pereira,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Fechine,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C.,</w:t>
      </w:r>
      <w:r w:rsidR="00441453" w:rsidRPr="00C44B06">
        <w:rPr>
          <w:color w:val="212121"/>
          <w:shd w:val="clear" w:color="auto" w:fill="FFFFFF"/>
          <w:lang w:val="en-US"/>
        </w:rPr>
        <w:t xml:space="preserve"> et al</w:t>
      </w:r>
      <w:r w:rsidRPr="00C44B06">
        <w:rPr>
          <w:color w:val="212121"/>
          <w:shd w:val="clear" w:color="auto" w:fill="FFFFFF"/>
          <w:lang w:val="en-US"/>
        </w:rPr>
        <w:t>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(2018).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Functioning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and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Disability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Profile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of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Children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Microcephaly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Associated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Virus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Infection.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International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journal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of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environmental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research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and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public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health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15(6),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1107.</w:t>
      </w:r>
      <w:r w:rsidR="00441453" w:rsidRPr="00C44B06">
        <w:rPr>
          <w:color w:val="212121"/>
          <w:shd w:val="clear" w:color="auto" w:fill="FFFFFF"/>
          <w:lang w:val="en-US"/>
        </w:rPr>
        <w:t xml:space="preserve"> doi: </w:t>
      </w:r>
      <w:r w:rsidRPr="00C44B06">
        <w:rPr>
          <w:color w:val="212121"/>
          <w:shd w:val="clear" w:color="auto" w:fill="FFFFFF"/>
          <w:lang w:val="en-US"/>
        </w:rPr>
        <w:t>10.3390/ijerph15061107</w:t>
      </w:r>
    </w:p>
    <w:p w14:paraId="78CE80B6" w14:textId="1483CAD9" w:rsidR="00091993" w:rsidRPr="00C44B06" w:rsidRDefault="00DA4B06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Wheeler,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Ventura,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Ridenour,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Toth,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Nobrega,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Silva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Souza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Dantas,</w:t>
      </w:r>
      <w:r w:rsidR="00441453" w:rsidRPr="00C44B06">
        <w:rPr>
          <w:color w:val="212121"/>
          <w:shd w:val="clear" w:color="auto" w:fill="FFFFFF"/>
          <w:lang w:val="en-US"/>
        </w:rPr>
        <w:t xml:space="preserve"> et al</w:t>
      </w:r>
      <w:r w:rsidRPr="00C44B06">
        <w:rPr>
          <w:color w:val="212121"/>
          <w:shd w:val="clear" w:color="auto" w:fill="FFFFFF"/>
          <w:lang w:val="en-US"/>
        </w:rPr>
        <w:t>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(2018).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Skills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attained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infants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syndrome: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Pilot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data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from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Brazil.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PloS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one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13(7),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e0201495.</w:t>
      </w:r>
      <w:r w:rsidR="00441453" w:rsidRPr="00C44B06">
        <w:rPr>
          <w:color w:val="212121"/>
          <w:shd w:val="clear" w:color="auto" w:fill="FFFFFF"/>
          <w:lang w:val="en-US"/>
        </w:rPr>
        <w:t xml:space="preserve"> doi: </w:t>
      </w:r>
      <w:r w:rsidRPr="00C44B06">
        <w:rPr>
          <w:color w:val="212121"/>
          <w:shd w:val="clear" w:color="auto" w:fill="FFFFFF"/>
          <w:lang w:val="en-US"/>
        </w:rPr>
        <w:t>10.1371/journal.pone.0201495</w:t>
      </w:r>
    </w:p>
    <w:p w14:paraId="74955A80" w14:textId="791F4606" w:rsidR="00DA4B06" w:rsidRPr="00C44B06" w:rsidRDefault="00DA4B06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lastRenderedPageBreak/>
        <w:t>Marques,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Teixeira,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Barra,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Lima,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Dias,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Pupe,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(2019).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Children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Born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Syndrome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Display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Atypical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Gross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Motor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Development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and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Higher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Risk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for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Cerebral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Palsy.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Journal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of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child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neurology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34</w:t>
      </w:r>
      <w:r w:rsidRPr="00C44B06">
        <w:rPr>
          <w:color w:val="212121"/>
          <w:shd w:val="clear" w:color="auto" w:fill="FFFFFF"/>
          <w:lang w:val="en-US"/>
        </w:rPr>
        <w:t>(2),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81–85.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doi: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10.1177/0883073818811234</w:t>
      </w:r>
    </w:p>
    <w:p w14:paraId="0F6977EF" w14:textId="0FBBFD45" w:rsidR="00DA4B06" w:rsidRPr="00C44B06" w:rsidRDefault="00DA4B06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Carvalho,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Brites,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Mochida,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Ventura,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Fernandes,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Lage,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(2019).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Clinical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and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neurodevelopmental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features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children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cerebral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palsy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and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probable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Brain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&amp;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development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41</w:t>
      </w:r>
      <w:r w:rsidRPr="00C44B06">
        <w:rPr>
          <w:color w:val="212121"/>
          <w:shd w:val="clear" w:color="auto" w:fill="FFFFFF"/>
          <w:lang w:val="en-US"/>
        </w:rPr>
        <w:t>(7),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587–594.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doi: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10.1016/j.braindev.2019.03.005</w:t>
      </w:r>
    </w:p>
    <w:p w14:paraId="3C828D28" w14:textId="4D7CF586" w:rsidR="00091993" w:rsidRPr="00C44B06" w:rsidRDefault="00DA4B06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Carvalho,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Ventura,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Taguchi,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Brandi,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Brites,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&amp;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Lucena,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(2020).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Cerebral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Palsy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Children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Syndrome: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2-Year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Neurodevelopmental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Follow-up.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Journal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of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child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neurology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35(3),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202–207.</w:t>
      </w:r>
      <w:r w:rsidR="00441453" w:rsidRPr="00C44B06">
        <w:rPr>
          <w:color w:val="212121"/>
          <w:shd w:val="clear" w:color="auto" w:fill="FFFFFF"/>
          <w:lang w:val="en-US"/>
        </w:rPr>
        <w:t xml:space="preserve"> doi: </w:t>
      </w:r>
      <w:r w:rsidRPr="00C44B06">
        <w:rPr>
          <w:color w:val="212121"/>
          <w:shd w:val="clear" w:color="auto" w:fill="FFFFFF"/>
          <w:lang w:val="en-US"/>
        </w:rPr>
        <w:t>10.1177/0883073819885724</w:t>
      </w:r>
    </w:p>
    <w:p w14:paraId="776E102B" w14:textId="3C1AF67B" w:rsidR="00091993" w:rsidRPr="00C44B06" w:rsidRDefault="00091993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Lima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DLP,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Correia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MLGCD,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Monteiro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MG,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Ferraz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KM,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Wiesiolek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CC.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="00DA4B06" w:rsidRPr="00C44B06">
        <w:rPr>
          <w:color w:val="212121"/>
          <w:shd w:val="clear" w:color="auto" w:fill="FFFFFF"/>
          <w:lang w:val="en-US"/>
        </w:rPr>
        <w:t>(2019)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Analysis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of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the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functional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performance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of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infants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syndrome: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longitudinal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study.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Fisioter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Pesqui</w:t>
      </w:r>
      <w:r w:rsidRPr="00C44B06">
        <w:rPr>
          <w:color w:val="212121"/>
          <w:shd w:val="clear" w:color="auto" w:fill="FFFFFF"/>
          <w:lang w:val="en-US"/>
        </w:rPr>
        <w:t>;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26(2):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145–50.</w:t>
      </w:r>
      <w:r w:rsidR="00441453" w:rsidRPr="00C44B06">
        <w:rPr>
          <w:color w:val="212121"/>
          <w:shd w:val="clear" w:color="auto" w:fill="FFFFFF"/>
          <w:lang w:val="en-US"/>
        </w:rPr>
        <w:t xml:space="preserve"> doi: </w:t>
      </w:r>
      <w:r w:rsidR="00DA4B06" w:rsidRPr="00C44B06">
        <w:rPr>
          <w:color w:val="212121"/>
          <w:shd w:val="clear" w:color="auto" w:fill="FFFFFF"/>
          <w:lang w:val="en-US"/>
        </w:rPr>
        <w:t>10.1590/1809-2950/18001626022019</w:t>
      </w:r>
    </w:p>
    <w:p w14:paraId="397386F4" w14:textId="1753EE39" w:rsidR="00091993" w:rsidRPr="00C44B06" w:rsidRDefault="00DA4B06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Vianna,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Lovero,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K.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Oliveira,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Fernandes,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Santos,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Lima,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L.,</w:t>
      </w:r>
      <w:r w:rsidR="00441453" w:rsidRPr="00C44B06">
        <w:rPr>
          <w:color w:val="212121"/>
          <w:shd w:val="clear" w:color="auto" w:fill="FFFFFF"/>
          <w:lang w:val="en-US"/>
        </w:rPr>
        <w:t xml:space="preserve"> et al</w:t>
      </w:r>
      <w:r w:rsidRPr="00C44B06">
        <w:rPr>
          <w:color w:val="212121"/>
          <w:shd w:val="clear" w:color="auto" w:fill="FFFFFF"/>
          <w:lang w:val="en-US"/>
        </w:rPr>
        <w:t>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(2019).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Children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Born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to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Mothers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Rash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During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Virus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Epidemic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Brazil: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First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18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Months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of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Life.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Journal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of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tropical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pediatrics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65(6),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592–602.</w:t>
      </w:r>
      <w:r w:rsidR="00441453" w:rsidRPr="00C44B06">
        <w:rPr>
          <w:color w:val="212121"/>
          <w:shd w:val="clear" w:color="auto" w:fill="FFFFFF"/>
          <w:lang w:val="en-US"/>
        </w:rPr>
        <w:t xml:space="preserve"> doi: </w:t>
      </w:r>
      <w:r w:rsidRPr="00C44B06">
        <w:rPr>
          <w:color w:val="212121"/>
          <w:shd w:val="clear" w:color="auto" w:fill="FFFFFF"/>
          <w:lang w:val="en-US"/>
        </w:rPr>
        <w:t>10.1093/tropej/fmz019</w:t>
      </w:r>
    </w:p>
    <w:p w14:paraId="31E3E2A7" w14:textId="626ACFC7" w:rsidR="00DA4B06" w:rsidRPr="00C44B06" w:rsidRDefault="00DA4B06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Einspieler,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Utsch,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Brasil,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Panvequio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Aizawa,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Y.,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Peyton,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Hydee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Hasue,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(2019).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Association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of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Infants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Exposed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to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Prenatal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Virus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Infection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Their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Clinical,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Neurologic,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and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Developmental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Status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Evaluated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via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the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General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Movement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Assessment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Tool.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JAMA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network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open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2</w:t>
      </w:r>
      <w:r w:rsidRPr="00C44B06">
        <w:rPr>
          <w:color w:val="212121"/>
          <w:shd w:val="clear" w:color="auto" w:fill="FFFFFF"/>
          <w:lang w:val="en-US"/>
        </w:rPr>
        <w:t>(1),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e187235.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doi: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10.1001/jamanetworkopen.2018.7235</w:t>
      </w:r>
    </w:p>
    <w:p w14:paraId="7BA98171" w14:textId="09263872" w:rsidR="00DA4B06" w:rsidRPr="00C44B06" w:rsidRDefault="00DA4B06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Wheeler,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Toth,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Ridenour,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Lima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Nóbrega,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Borba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Firmino,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Marques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Silva,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(2020).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Developmental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Outcomes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Among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Young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Children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Syndrome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Brazil.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JAMA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network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open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3</w:t>
      </w:r>
      <w:r w:rsidRPr="00C44B06">
        <w:rPr>
          <w:color w:val="212121"/>
          <w:shd w:val="clear" w:color="auto" w:fill="FFFFFF"/>
          <w:lang w:val="en-US"/>
        </w:rPr>
        <w:t>(5),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e204096.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doi: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10.1001/jamanetworkopen.2020.4096</w:t>
      </w:r>
    </w:p>
    <w:p w14:paraId="636292BC" w14:textId="0C31AEBE" w:rsidR="00DA4B06" w:rsidRPr="00C44B06" w:rsidRDefault="00DA4B06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Melo,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Gama,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Silva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Júnior,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Assunção,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Tavares,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J.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Silva,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(2020).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Motor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function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children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syndrome.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Developmental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medicine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and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child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neurology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62</w:t>
      </w:r>
      <w:r w:rsidRPr="00C44B06">
        <w:rPr>
          <w:color w:val="212121"/>
          <w:shd w:val="clear" w:color="auto" w:fill="FFFFFF"/>
          <w:lang w:val="en-US"/>
        </w:rPr>
        <w:t>(2),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221–226.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doi: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10.1111/dmcn.14227</w:t>
      </w:r>
    </w:p>
    <w:p w14:paraId="28337A57" w14:textId="3075D535" w:rsidR="00DA4B06" w:rsidRPr="00C44B06" w:rsidRDefault="00DA4B06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Ventura,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Lage,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Carvalho,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Fernandes,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Taguchi,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&amp;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Nascimento-Carvalho,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(2020).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Early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Gross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Motor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Development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Among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Brazilian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Children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Microcephaly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Born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Right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After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Virus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Infection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Outbreak.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Journal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of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developmental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and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behavioral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pediatrics: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JDBP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41</w:t>
      </w:r>
      <w:r w:rsidRPr="00C44B06">
        <w:rPr>
          <w:color w:val="212121"/>
          <w:shd w:val="clear" w:color="auto" w:fill="FFFFFF"/>
          <w:lang w:val="en-US"/>
        </w:rPr>
        <w:t>(2),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134–140.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doi: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10.1097/DBP.0000000000000722</w:t>
      </w:r>
    </w:p>
    <w:p w14:paraId="47C8FD3C" w14:textId="54D93A69" w:rsidR="00091993" w:rsidRPr="00C44B06" w:rsidRDefault="00DA4B06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Bertolli,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J.,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Attell,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J.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Rose,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Moore,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Melo,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Staples,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J.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E.,</w:t>
      </w:r>
      <w:r w:rsidR="00441453" w:rsidRPr="00C44B06">
        <w:rPr>
          <w:color w:val="212121"/>
          <w:shd w:val="clear" w:color="auto" w:fill="FFFFFF"/>
          <w:lang w:val="en-US"/>
        </w:rPr>
        <w:t xml:space="preserve"> etal</w:t>
      </w:r>
      <w:r w:rsidRPr="00C44B06">
        <w:rPr>
          <w:color w:val="212121"/>
          <w:shd w:val="clear" w:color="auto" w:fill="FFFFFF"/>
          <w:lang w:val="en-US"/>
        </w:rPr>
        <w:t>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(2020).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Functional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Outcomes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among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Cohort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of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Children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Northeastern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Brazil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Meeting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Criteria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for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Follow-Up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of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Virus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Infection.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The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American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journal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of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tropical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medicine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and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hygiene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102(5),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955–963.</w:t>
      </w:r>
      <w:r w:rsidR="00441453" w:rsidRPr="00C44B06">
        <w:rPr>
          <w:color w:val="212121"/>
          <w:shd w:val="clear" w:color="auto" w:fill="FFFFFF"/>
          <w:lang w:val="en-US"/>
        </w:rPr>
        <w:t xml:space="preserve"> doi: </w:t>
      </w:r>
      <w:r w:rsidRPr="00C44B06">
        <w:rPr>
          <w:color w:val="212121"/>
          <w:shd w:val="clear" w:color="auto" w:fill="FFFFFF"/>
          <w:lang w:val="en-US"/>
        </w:rPr>
        <w:t>10.4269/ajtmh.19-0961</w:t>
      </w:r>
    </w:p>
    <w:p w14:paraId="37AAEE46" w14:textId="5081BABD" w:rsidR="00157905" w:rsidRPr="00C44B06" w:rsidRDefault="00157905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lastRenderedPageBreak/>
        <w:t>Pereira,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H.,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Dos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Santos,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Amâncio,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Oliveira-Szejnfeld,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Flor,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Sales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Tavares,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J.,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(2020).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Neurological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outcomes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of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syndrome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toddlers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and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preschoolers: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case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series.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The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Lancet.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Child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&amp;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adolescent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health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4</w:t>
      </w:r>
      <w:r w:rsidRPr="00C44B06">
        <w:rPr>
          <w:color w:val="212121"/>
          <w:shd w:val="clear" w:color="auto" w:fill="FFFFFF"/>
          <w:lang w:val="en-US"/>
        </w:rPr>
        <w:t>(5),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378–387.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doi: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10.1016/S2352-4642(20)30041-9</w:t>
      </w:r>
    </w:p>
    <w:p w14:paraId="6CDE4D29" w14:textId="5E7010FF" w:rsidR="00157905" w:rsidRPr="00C44B06" w:rsidRDefault="00157905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Sobral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Silva,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Eickmann,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H.,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Arraes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Alencar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Ximenes,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Ramos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Montarroyos,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U.,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Carvalho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Lima,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Turchi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Martelli,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(2020).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Pediatric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neurodevelopment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prenatal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virus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exposure: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cross-sectional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study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of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the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Microcephaly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Epidemic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Research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Group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Cohort.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BMC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pediatrics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20</w:t>
      </w:r>
      <w:r w:rsidRPr="00C44B06">
        <w:rPr>
          <w:color w:val="212121"/>
          <w:shd w:val="clear" w:color="auto" w:fill="FFFFFF"/>
          <w:lang w:val="en-US"/>
        </w:rPr>
        <w:t>(1),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472.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doi: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10.1186/s12887-020-02331-2</w:t>
      </w:r>
    </w:p>
    <w:p w14:paraId="2FF0AA05" w14:textId="0A8D7F1A" w:rsidR="00157905" w:rsidRPr="00C44B06" w:rsidRDefault="00157905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Takahasi,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Alves,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Ribeiro,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Souza,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Simões,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Borges,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(2021).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Gross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Motor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Function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Children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Syndrome.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Neuropediatrics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52</w:t>
      </w:r>
      <w:r w:rsidRPr="00C44B06">
        <w:rPr>
          <w:color w:val="212121"/>
          <w:shd w:val="clear" w:color="auto" w:fill="FFFFFF"/>
          <w:lang w:val="en-US"/>
        </w:rPr>
        <w:t>(1),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34–43.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doi: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10.1055/s-0040-1718919</w:t>
      </w:r>
    </w:p>
    <w:p w14:paraId="6BDCD86D" w14:textId="20E613C8" w:rsidR="00157905" w:rsidRPr="00C44B06" w:rsidRDefault="00157905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Frota,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Sampaio,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Miranda,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J.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Brasil,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Gontijo,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Mambrini,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J.,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(2020).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Children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syndrome: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symptoms,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comorbidities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and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gross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motor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development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24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months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of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age.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Heliyon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6</w:t>
      </w:r>
      <w:r w:rsidRPr="00C44B06">
        <w:rPr>
          <w:color w:val="212121"/>
          <w:shd w:val="clear" w:color="auto" w:fill="FFFFFF"/>
          <w:lang w:val="en-US"/>
        </w:rPr>
        <w:t>(6),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e04130.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doi: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10.1016/j.heliyon.2020.e04130</w:t>
      </w:r>
    </w:p>
    <w:p w14:paraId="20113D86" w14:textId="7E3F27B7" w:rsidR="00091993" w:rsidRPr="00C44B06" w:rsidRDefault="00157905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García-Boyano,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García-Segovia,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Fernández-Menéndez,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Pérez,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Y.,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Bustamante-Amador,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J.,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Layana-Coronel,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M.,</w:t>
      </w:r>
      <w:r w:rsidR="00441453" w:rsidRPr="00C44B06">
        <w:rPr>
          <w:color w:val="212121"/>
          <w:shd w:val="clear" w:color="auto" w:fill="FFFFFF"/>
          <w:lang w:val="en-US"/>
        </w:rPr>
        <w:t xml:space="preserve"> et al</w:t>
      </w:r>
      <w:r w:rsidRPr="00C44B06">
        <w:rPr>
          <w:color w:val="212121"/>
          <w:shd w:val="clear" w:color="auto" w:fill="FFFFFF"/>
          <w:lang w:val="en-US"/>
        </w:rPr>
        <w:t>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(2020).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Long-Term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Outcomes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of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Infants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with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Virus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Infection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Ecuador: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Retrospective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Longitudinal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Study.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Journal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of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tropical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pediatrics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fmaa066.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Advance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online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publication.</w:t>
      </w:r>
      <w:r w:rsidR="00441453" w:rsidRPr="00C44B06">
        <w:rPr>
          <w:color w:val="212121"/>
          <w:shd w:val="clear" w:color="auto" w:fill="FFFFFF"/>
          <w:lang w:val="en-US"/>
        </w:rPr>
        <w:t xml:space="preserve"> doi: </w:t>
      </w:r>
      <w:r w:rsidRPr="00C44B06">
        <w:rPr>
          <w:color w:val="212121"/>
          <w:shd w:val="clear" w:color="auto" w:fill="FFFFFF"/>
          <w:lang w:val="en-US"/>
        </w:rPr>
        <w:t>10.1093/tropej/fmaa066</w:t>
      </w:r>
    </w:p>
    <w:p w14:paraId="332065F8" w14:textId="7247045F" w:rsidR="00B4259D" w:rsidRPr="00C44B06" w:rsidRDefault="00B4259D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Campos,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Schiariti,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Gladstone,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Melo,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Tavares,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J.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Magalhães,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(2020).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How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virus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impacted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child's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functioning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and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disability: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Brazilian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qualitative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study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guided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the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ICF.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BMJ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open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10</w:t>
      </w:r>
      <w:r w:rsidRPr="00C44B06">
        <w:rPr>
          <w:color w:val="212121"/>
          <w:shd w:val="clear" w:color="auto" w:fill="FFFFFF"/>
          <w:lang w:val="en-US"/>
        </w:rPr>
        <w:t>(12),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e038228.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doi: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10.1136/bmjopen-2020-038228</w:t>
      </w:r>
    </w:p>
    <w:p w14:paraId="54B7F7B3" w14:textId="57E398F5" w:rsidR="00091993" w:rsidRPr="00C44B06" w:rsidRDefault="00B4259D" w:rsidP="00441453">
      <w:pPr>
        <w:spacing w:before="120" w:after="240"/>
        <w:ind w:left="284" w:hanging="284"/>
        <w:jc w:val="both"/>
        <w:rPr>
          <w:color w:val="212121"/>
          <w:shd w:val="clear" w:color="auto" w:fill="FFFFFF"/>
          <w:lang w:val="en-US"/>
        </w:rPr>
      </w:pPr>
      <w:r w:rsidRPr="00C44B06">
        <w:rPr>
          <w:color w:val="212121"/>
          <w:shd w:val="clear" w:color="auto" w:fill="FFFFFF"/>
          <w:lang w:val="en-US"/>
        </w:rPr>
        <w:t>Cavalcante,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Ribeiro,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Sousa,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P.,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Costa,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Alves,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Simões,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V.,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et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al.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(2021).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Congenital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Zika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syndrome: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Growth,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clinical,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and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motor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development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outcomes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up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to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36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months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of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age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and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differences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according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to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microcephaly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at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birth.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International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journal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of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infectious</w:t>
      </w:r>
      <w:r w:rsidR="00441453" w:rsidRPr="00C44B06"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diseases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i/>
          <w:iCs/>
          <w:color w:val="212121"/>
          <w:shd w:val="clear" w:color="auto" w:fill="FFFFFF"/>
          <w:lang w:val="en-US"/>
        </w:rPr>
        <w:t>105</w:t>
      </w:r>
      <w:r w:rsidRPr="00C44B06">
        <w:rPr>
          <w:color w:val="212121"/>
          <w:shd w:val="clear" w:color="auto" w:fill="FFFFFF"/>
          <w:lang w:val="en-US"/>
        </w:rPr>
        <w:t>,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399–408.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doi:</w:t>
      </w:r>
      <w:r w:rsidR="00441453" w:rsidRPr="00C44B06">
        <w:rPr>
          <w:color w:val="212121"/>
          <w:shd w:val="clear" w:color="auto" w:fill="FFFFFF"/>
          <w:lang w:val="en-US"/>
        </w:rPr>
        <w:t xml:space="preserve"> </w:t>
      </w:r>
      <w:r w:rsidRPr="00C44B06">
        <w:rPr>
          <w:color w:val="212121"/>
          <w:shd w:val="clear" w:color="auto" w:fill="FFFFFF"/>
          <w:lang w:val="en-US"/>
        </w:rPr>
        <w:t>10.1016/j.ijid.2021.02.072</w:t>
      </w:r>
    </w:p>
    <w:sectPr w:rsidR="00091993" w:rsidRPr="00C44B06" w:rsidSect="00C44B06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 Caslon Pro">
    <w:altName w:val="Adobe Caslon Pro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93"/>
    <w:rsid w:val="00091993"/>
    <w:rsid w:val="00157905"/>
    <w:rsid w:val="003259D3"/>
    <w:rsid w:val="00441453"/>
    <w:rsid w:val="00641CFB"/>
    <w:rsid w:val="006D7239"/>
    <w:rsid w:val="00714C0F"/>
    <w:rsid w:val="00AC4039"/>
    <w:rsid w:val="00B4259D"/>
    <w:rsid w:val="00C44B06"/>
    <w:rsid w:val="00DA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7297"/>
  <w15:chartTrackingRefBased/>
  <w15:docId w15:val="{CFB6FECF-2C48-4475-8C58-780697D7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993"/>
    <w:pPr>
      <w:jc w:val="left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1993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091993"/>
  </w:style>
  <w:style w:type="character" w:customStyle="1" w:styleId="apple-converted-space">
    <w:name w:val="apple-converted-space"/>
    <w:basedOn w:val="Fontepargpadro"/>
    <w:rsid w:val="00091993"/>
  </w:style>
  <w:style w:type="paragraph" w:customStyle="1" w:styleId="p1">
    <w:name w:val="p1"/>
    <w:basedOn w:val="Normal"/>
    <w:rsid w:val="00091993"/>
    <w:pPr>
      <w:spacing w:line="167" w:lineRule="atLeast"/>
      <w:ind w:firstLine="135"/>
      <w:jc w:val="both"/>
    </w:pPr>
    <w:rPr>
      <w:rFonts w:ascii="Times" w:hAnsi="Times"/>
      <w:sz w:val="17"/>
      <w:szCs w:val="17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91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91993"/>
    <w:rPr>
      <w:rFonts w:ascii="Courier New" w:hAnsi="Courier New" w:cs="Courier New"/>
      <w:sz w:val="20"/>
      <w:szCs w:val="20"/>
      <w:lang w:val="es-ES_tradnl" w:eastAsia="es-ES_tradnl"/>
    </w:rPr>
  </w:style>
  <w:style w:type="character" w:customStyle="1" w:styleId="y2iqfc">
    <w:name w:val="y2iqfc"/>
    <w:basedOn w:val="Fontepargpadro"/>
    <w:rsid w:val="0009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pubmed/?term=Ferreira%20HNC%5BAuthor%5D&amp;cauthor=true&amp;cauthor_uid=2984429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Boquett</dc:creator>
  <cp:keywords/>
  <dc:description/>
  <cp:lastModifiedBy>Lavinia Schuler Faccini</cp:lastModifiedBy>
  <cp:revision>2</cp:revision>
  <dcterms:created xsi:type="dcterms:W3CDTF">2021-08-08T20:09:00Z</dcterms:created>
  <dcterms:modified xsi:type="dcterms:W3CDTF">2021-08-08T20:09:00Z</dcterms:modified>
</cp:coreProperties>
</file>