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2313"/>
        <w:gridCol w:w="1528"/>
        <w:gridCol w:w="1553"/>
        <w:gridCol w:w="2547"/>
        <w:gridCol w:w="5070"/>
      </w:tblGrid>
      <w:tr w:rsidR="00C07815" w:rsidRPr="00C07815" w14:paraId="44544E73" w14:textId="77777777" w:rsidTr="00450805">
        <w:trPr>
          <w:trHeight w:val="274"/>
        </w:trPr>
        <w:tc>
          <w:tcPr>
            <w:tcW w:w="0" w:type="auto"/>
            <w:gridSpan w:val="6"/>
            <w:tcBorders>
              <w:bottom w:val="single" w:sz="4" w:space="0" w:color="auto"/>
            </w:tcBorders>
          </w:tcPr>
          <w:p w14:paraId="47DB54E2" w14:textId="6777C7D5" w:rsidR="009A0761" w:rsidRPr="00C07815" w:rsidRDefault="009A0761" w:rsidP="00C07815">
            <w:pPr>
              <w:jc w:val="both"/>
              <w:outlineLvl w:val="0"/>
              <w:rPr>
                <w:b/>
                <w:bCs/>
                <w:sz w:val="22"/>
                <w:szCs w:val="22"/>
                <w:lang w:val="en-US"/>
              </w:rPr>
            </w:pPr>
            <w:r w:rsidRPr="00C07815">
              <w:rPr>
                <w:b/>
                <w:bCs/>
                <w:szCs w:val="22"/>
                <w:lang w:val="en-US"/>
              </w:rPr>
              <w:t xml:space="preserve">Supplemental Table 3. Development of children exposed to ZIKV </w:t>
            </w:r>
            <w:r w:rsidRPr="00C07815">
              <w:rPr>
                <w:b/>
                <w:bCs/>
                <w:i/>
                <w:iCs/>
                <w:szCs w:val="22"/>
                <w:lang w:val="en-US"/>
              </w:rPr>
              <w:t>in-utero</w:t>
            </w:r>
            <w:r w:rsidRPr="00C07815">
              <w:rPr>
                <w:b/>
                <w:bCs/>
                <w:szCs w:val="22"/>
                <w:lang w:val="en-US"/>
              </w:rPr>
              <w:t xml:space="preserve"> without congenital zika syndrome</w:t>
            </w:r>
          </w:p>
        </w:tc>
      </w:tr>
      <w:tr w:rsidR="00D56A23" w:rsidRPr="00C07815" w14:paraId="0F7192FC" w14:textId="77777777" w:rsidTr="00450805">
        <w:trPr>
          <w:trHeight w:val="931"/>
        </w:trPr>
        <w:tc>
          <w:tcPr>
            <w:tcW w:w="0" w:type="auto"/>
            <w:tcBorders>
              <w:top w:val="single" w:sz="4" w:space="0" w:color="auto"/>
              <w:bottom w:val="single" w:sz="4" w:space="0" w:color="auto"/>
            </w:tcBorders>
            <w:vAlign w:val="center"/>
          </w:tcPr>
          <w:p w14:paraId="526298E2" w14:textId="60952A03" w:rsidR="00377EFE" w:rsidRPr="00C07815" w:rsidRDefault="00377EFE" w:rsidP="00C07815">
            <w:pPr>
              <w:rPr>
                <w:b/>
                <w:bCs/>
                <w:sz w:val="22"/>
                <w:szCs w:val="22"/>
                <w:lang w:val="en-US"/>
              </w:rPr>
            </w:pPr>
            <w:r w:rsidRPr="00C07815">
              <w:rPr>
                <w:b/>
                <w:bCs/>
                <w:sz w:val="22"/>
                <w:szCs w:val="22"/>
                <w:lang w:val="en-US"/>
              </w:rPr>
              <w:t>Study Design / reference / Study location</w:t>
            </w:r>
          </w:p>
        </w:tc>
        <w:tc>
          <w:tcPr>
            <w:tcW w:w="0" w:type="auto"/>
            <w:tcBorders>
              <w:top w:val="single" w:sz="4" w:space="0" w:color="auto"/>
              <w:bottom w:val="single" w:sz="4" w:space="0" w:color="auto"/>
            </w:tcBorders>
            <w:vAlign w:val="center"/>
          </w:tcPr>
          <w:p w14:paraId="2B8FF5DD" w14:textId="77777777" w:rsidR="00377EFE" w:rsidRPr="00C07815" w:rsidRDefault="00377EFE" w:rsidP="00C07815">
            <w:pPr>
              <w:jc w:val="center"/>
              <w:rPr>
                <w:b/>
                <w:bCs/>
                <w:sz w:val="22"/>
                <w:szCs w:val="22"/>
                <w:lang w:val="en-US"/>
              </w:rPr>
            </w:pPr>
            <w:r w:rsidRPr="00C07815">
              <w:rPr>
                <w:b/>
                <w:bCs/>
                <w:sz w:val="22"/>
                <w:szCs w:val="22"/>
                <w:lang w:val="en-US"/>
              </w:rPr>
              <w:t>Sample size</w:t>
            </w:r>
          </w:p>
          <w:p w14:paraId="4CD7D801" w14:textId="77777777" w:rsidR="00377EFE" w:rsidRPr="00C07815" w:rsidRDefault="00377EFE" w:rsidP="00C07815">
            <w:pPr>
              <w:jc w:val="center"/>
              <w:rPr>
                <w:b/>
                <w:bCs/>
                <w:sz w:val="22"/>
                <w:szCs w:val="22"/>
                <w:lang w:val="en-US"/>
              </w:rPr>
            </w:pPr>
            <w:r w:rsidRPr="00C07815">
              <w:rPr>
                <w:b/>
                <w:bCs/>
                <w:sz w:val="22"/>
                <w:szCs w:val="22"/>
                <w:lang w:val="en-US"/>
              </w:rPr>
              <w:t>CZS or ZIKV Exposure vs No CZS or Controls</w:t>
            </w:r>
          </w:p>
        </w:tc>
        <w:tc>
          <w:tcPr>
            <w:tcW w:w="0" w:type="auto"/>
            <w:tcBorders>
              <w:top w:val="single" w:sz="4" w:space="0" w:color="auto"/>
              <w:bottom w:val="single" w:sz="4" w:space="0" w:color="auto"/>
            </w:tcBorders>
            <w:vAlign w:val="center"/>
          </w:tcPr>
          <w:p w14:paraId="0F868B76" w14:textId="5DA3CEAB" w:rsidR="00377EFE" w:rsidRPr="00C07815" w:rsidRDefault="00377EFE" w:rsidP="00C07815">
            <w:pPr>
              <w:jc w:val="center"/>
              <w:rPr>
                <w:b/>
                <w:bCs/>
                <w:sz w:val="22"/>
                <w:szCs w:val="22"/>
                <w:lang w:val="en-US"/>
              </w:rPr>
            </w:pPr>
            <w:r w:rsidRPr="00C07815">
              <w:rPr>
                <w:b/>
                <w:bCs/>
                <w:sz w:val="22"/>
                <w:szCs w:val="22"/>
                <w:lang w:val="en-US"/>
              </w:rPr>
              <w:t>Zika lab confirmation</w:t>
            </w:r>
          </w:p>
        </w:tc>
        <w:tc>
          <w:tcPr>
            <w:tcW w:w="0" w:type="auto"/>
            <w:tcBorders>
              <w:top w:val="single" w:sz="4" w:space="0" w:color="auto"/>
              <w:bottom w:val="single" w:sz="4" w:space="0" w:color="auto"/>
            </w:tcBorders>
            <w:vAlign w:val="center"/>
          </w:tcPr>
          <w:p w14:paraId="37A0F354" w14:textId="77777777" w:rsidR="00377EFE" w:rsidRPr="00C07815" w:rsidRDefault="00377EFE" w:rsidP="00C07815">
            <w:pPr>
              <w:jc w:val="center"/>
              <w:rPr>
                <w:b/>
                <w:bCs/>
                <w:sz w:val="22"/>
                <w:szCs w:val="22"/>
                <w:lang w:val="en-US"/>
              </w:rPr>
            </w:pPr>
            <w:r w:rsidRPr="00C07815">
              <w:rPr>
                <w:b/>
                <w:bCs/>
                <w:sz w:val="22"/>
                <w:szCs w:val="22"/>
                <w:lang w:val="en-US"/>
              </w:rPr>
              <w:t>Age of evaluation*</w:t>
            </w:r>
          </w:p>
        </w:tc>
        <w:tc>
          <w:tcPr>
            <w:tcW w:w="0" w:type="auto"/>
            <w:tcBorders>
              <w:top w:val="single" w:sz="4" w:space="0" w:color="auto"/>
              <w:bottom w:val="single" w:sz="4" w:space="0" w:color="auto"/>
            </w:tcBorders>
            <w:vAlign w:val="center"/>
          </w:tcPr>
          <w:p w14:paraId="34A39F9A" w14:textId="77777777" w:rsidR="00377EFE" w:rsidRPr="00C07815" w:rsidRDefault="00377EFE" w:rsidP="00C07815">
            <w:pPr>
              <w:jc w:val="center"/>
              <w:rPr>
                <w:b/>
                <w:bCs/>
                <w:sz w:val="22"/>
                <w:szCs w:val="22"/>
                <w:lang w:val="en-US"/>
              </w:rPr>
            </w:pPr>
            <w:r w:rsidRPr="00C07815">
              <w:rPr>
                <w:b/>
                <w:bCs/>
                <w:sz w:val="22"/>
                <w:szCs w:val="22"/>
                <w:lang w:val="en-US"/>
              </w:rPr>
              <w:t>Assessment</w:t>
            </w:r>
          </w:p>
        </w:tc>
        <w:tc>
          <w:tcPr>
            <w:tcW w:w="0" w:type="auto"/>
            <w:tcBorders>
              <w:top w:val="single" w:sz="4" w:space="0" w:color="auto"/>
              <w:bottom w:val="single" w:sz="4" w:space="0" w:color="auto"/>
            </w:tcBorders>
            <w:vAlign w:val="center"/>
          </w:tcPr>
          <w:p w14:paraId="042EB8BB" w14:textId="77777777" w:rsidR="00377EFE" w:rsidRPr="00C07815" w:rsidRDefault="00377EFE" w:rsidP="00C07815">
            <w:pPr>
              <w:jc w:val="center"/>
              <w:rPr>
                <w:b/>
                <w:bCs/>
                <w:sz w:val="22"/>
                <w:szCs w:val="22"/>
                <w:lang w:val="en-US"/>
              </w:rPr>
            </w:pPr>
            <w:r w:rsidRPr="00C07815">
              <w:rPr>
                <w:b/>
                <w:bCs/>
                <w:sz w:val="22"/>
                <w:szCs w:val="22"/>
                <w:lang w:val="en-US"/>
              </w:rPr>
              <w:t>Main Outcomes</w:t>
            </w:r>
          </w:p>
        </w:tc>
      </w:tr>
      <w:tr w:rsidR="00C07815" w:rsidRPr="00C07815" w14:paraId="371027BF" w14:textId="77777777" w:rsidTr="00450805">
        <w:trPr>
          <w:trHeight w:val="1561"/>
        </w:trPr>
        <w:tc>
          <w:tcPr>
            <w:tcW w:w="0" w:type="auto"/>
            <w:tcBorders>
              <w:top w:val="single" w:sz="4" w:space="0" w:color="auto"/>
              <w:bottom w:val="single" w:sz="4" w:space="0" w:color="BFBFBF" w:themeColor="background1" w:themeShade="BF"/>
            </w:tcBorders>
            <w:shd w:val="clear" w:color="auto" w:fill="auto"/>
            <w:vAlign w:val="center"/>
          </w:tcPr>
          <w:p w14:paraId="1320981B" w14:textId="77777777" w:rsidR="00377EFE" w:rsidRPr="00D56A23" w:rsidRDefault="00377EFE" w:rsidP="00C07815">
            <w:pPr>
              <w:rPr>
                <w:sz w:val="21"/>
                <w:szCs w:val="21"/>
                <w:lang w:val="en-US"/>
              </w:rPr>
            </w:pPr>
            <w:r w:rsidRPr="00D56A23">
              <w:rPr>
                <w:sz w:val="21"/>
                <w:szCs w:val="21"/>
                <w:lang w:val="en-US"/>
              </w:rPr>
              <w:t>Case Series.</w:t>
            </w:r>
          </w:p>
          <w:p w14:paraId="6477ED04" w14:textId="77777777" w:rsidR="00377EFE" w:rsidRPr="00D56A23" w:rsidRDefault="00377EFE" w:rsidP="00C07815">
            <w:pPr>
              <w:rPr>
                <w:sz w:val="21"/>
                <w:szCs w:val="21"/>
                <w:lang w:val="en-US"/>
              </w:rPr>
            </w:pPr>
            <w:r w:rsidRPr="00D56A23">
              <w:rPr>
                <w:sz w:val="21"/>
                <w:szCs w:val="21"/>
                <w:lang w:val="en-US"/>
              </w:rPr>
              <w:t>No control group</w:t>
            </w:r>
          </w:p>
          <w:p w14:paraId="67CCAEE8" w14:textId="18EE0946" w:rsidR="00377EFE" w:rsidRPr="00D56A23" w:rsidRDefault="00377EFE" w:rsidP="00C07815">
            <w:pPr>
              <w:rPr>
                <w:sz w:val="21"/>
                <w:szCs w:val="21"/>
                <w:lang w:val="en-US"/>
              </w:rPr>
            </w:pPr>
            <w:r w:rsidRPr="00D56A23">
              <w:rPr>
                <w:sz w:val="21"/>
                <w:szCs w:val="21"/>
                <w:lang w:val="en-US"/>
              </w:rPr>
              <w:t>Lopes Moreira et al.</w:t>
            </w:r>
            <w:r w:rsidR="00450805" w:rsidRPr="00D56A23">
              <w:rPr>
                <w:sz w:val="21"/>
                <w:szCs w:val="21"/>
                <w:lang w:val="en-US"/>
              </w:rPr>
              <w:t>,</w:t>
            </w:r>
            <w:r w:rsidRPr="00D56A23">
              <w:rPr>
                <w:sz w:val="21"/>
                <w:szCs w:val="21"/>
                <w:lang w:val="en-US"/>
              </w:rPr>
              <w:t xml:space="preserve"> (2018)</w:t>
            </w:r>
          </w:p>
          <w:p w14:paraId="325EEF2C" w14:textId="77777777" w:rsidR="00377EFE" w:rsidRPr="00D56A23" w:rsidRDefault="00377EFE" w:rsidP="00C07815">
            <w:pPr>
              <w:rPr>
                <w:sz w:val="21"/>
                <w:szCs w:val="21"/>
                <w:vertAlign w:val="superscript"/>
                <w:lang w:val="en-US"/>
              </w:rPr>
            </w:pPr>
            <w:r w:rsidRPr="00D56A23">
              <w:rPr>
                <w:sz w:val="21"/>
                <w:szCs w:val="21"/>
                <w:lang w:val="en-US"/>
              </w:rPr>
              <w:t>Rio de Janeiro, Brazil</w:t>
            </w:r>
          </w:p>
        </w:tc>
        <w:tc>
          <w:tcPr>
            <w:tcW w:w="0" w:type="auto"/>
            <w:tcBorders>
              <w:top w:val="single" w:sz="4" w:space="0" w:color="auto"/>
              <w:bottom w:val="single" w:sz="4" w:space="0" w:color="BFBFBF" w:themeColor="background1" w:themeShade="BF"/>
            </w:tcBorders>
            <w:vAlign w:val="center"/>
          </w:tcPr>
          <w:p w14:paraId="7F0A2C3E" w14:textId="77777777" w:rsidR="00377EFE" w:rsidRPr="00C07815" w:rsidRDefault="00377EFE" w:rsidP="00450805">
            <w:pPr>
              <w:jc w:val="center"/>
              <w:rPr>
                <w:sz w:val="21"/>
                <w:szCs w:val="21"/>
                <w:lang w:val="en-US"/>
              </w:rPr>
            </w:pPr>
            <w:r w:rsidRPr="00C07815">
              <w:rPr>
                <w:sz w:val="21"/>
                <w:szCs w:val="21"/>
                <w:lang w:val="en-US"/>
              </w:rPr>
              <w:t>131</w:t>
            </w:r>
          </w:p>
          <w:p w14:paraId="44504EBE" w14:textId="430B2469" w:rsidR="00377EFE" w:rsidRPr="00C07815" w:rsidRDefault="00DB07AE" w:rsidP="00450805">
            <w:pPr>
              <w:pStyle w:val="Pr-formataoHTML"/>
              <w:jc w:val="center"/>
              <w:rPr>
                <w:rFonts w:ascii="Times New Roman" w:hAnsi="Times New Roman" w:cs="Times New Roman"/>
                <w:sz w:val="21"/>
                <w:szCs w:val="21"/>
                <w:lang w:val="en-US"/>
              </w:rPr>
            </w:pPr>
            <w:r>
              <w:rPr>
                <w:rFonts w:ascii="Times New Roman" w:hAnsi="Times New Roman" w:cs="Times New Roman"/>
                <w:sz w:val="21"/>
                <w:szCs w:val="21"/>
                <w:lang w:val="en-US"/>
              </w:rPr>
              <w:t>(</w:t>
            </w:r>
            <w:r w:rsidR="00377EFE" w:rsidRPr="00C07815">
              <w:rPr>
                <w:rFonts w:ascii="Times New Roman" w:hAnsi="Times New Roman" w:cs="Times New Roman"/>
                <w:sz w:val="21"/>
                <w:szCs w:val="21"/>
                <w:lang w:val="en-US"/>
              </w:rPr>
              <w:t>This study does not identify or separate children with CZS from those without</w:t>
            </w:r>
            <w:r>
              <w:rPr>
                <w:rFonts w:ascii="Times New Roman" w:hAnsi="Times New Roman" w:cs="Times New Roman"/>
                <w:sz w:val="21"/>
                <w:szCs w:val="21"/>
                <w:lang w:val="en-US"/>
              </w:rPr>
              <w:t>)</w:t>
            </w:r>
          </w:p>
        </w:tc>
        <w:tc>
          <w:tcPr>
            <w:tcW w:w="0" w:type="auto"/>
            <w:tcBorders>
              <w:top w:val="single" w:sz="4" w:space="0" w:color="auto"/>
              <w:bottom w:val="single" w:sz="4" w:space="0" w:color="BFBFBF" w:themeColor="background1" w:themeShade="BF"/>
            </w:tcBorders>
            <w:shd w:val="clear" w:color="auto" w:fill="auto"/>
            <w:vAlign w:val="center"/>
          </w:tcPr>
          <w:p w14:paraId="57E9B18E" w14:textId="03F7068C" w:rsidR="00377EFE" w:rsidRPr="00C07815" w:rsidRDefault="00377EFE" w:rsidP="00C07815">
            <w:pPr>
              <w:jc w:val="center"/>
              <w:rPr>
                <w:sz w:val="21"/>
                <w:szCs w:val="21"/>
                <w:lang w:val="en-US"/>
              </w:rPr>
            </w:pPr>
            <w:r w:rsidRPr="00C07815">
              <w:rPr>
                <w:sz w:val="21"/>
                <w:szCs w:val="21"/>
                <w:lang w:val="en-US"/>
              </w:rPr>
              <w:t>Yes</w:t>
            </w:r>
          </w:p>
        </w:tc>
        <w:tc>
          <w:tcPr>
            <w:tcW w:w="0" w:type="auto"/>
            <w:tcBorders>
              <w:top w:val="single" w:sz="4" w:space="0" w:color="auto"/>
              <w:bottom w:val="single" w:sz="4" w:space="0" w:color="BFBFBF" w:themeColor="background1" w:themeShade="BF"/>
            </w:tcBorders>
            <w:shd w:val="clear" w:color="auto" w:fill="auto"/>
            <w:vAlign w:val="center"/>
          </w:tcPr>
          <w:p w14:paraId="3B4D68F5" w14:textId="77777777" w:rsidR="00377EFE" w:rsidRPr="00C07815" w:rsidRDefault="00377EFE" w:rsidP="00C07815">
            <w:pPr>
              <w:jc w:val="center"/>
              <w:rPr>
                <w:sz w:val="21"/>
                <w:szCs w:val="21"/>
                <w:lang w:val="en-US"/>
              </w:rPr>
            </w:pPr>
            <w:r w:rsidRPr="00C07815">
              <w:rPr>
                <w:sz w:val="21"/>
                <w:szCs w:val="21"/>
                <w:lang w:val="en-US"/>
              </w:rPr>
              <w:t>12-18m</w:t>
            </w:r>
          </w:p>
        </w:tc>
        <w:tc>
          <w:tcPr>
            <w:tcW w:w="0" w:type="auto"/>
            <w:tcBorders>
              <w:top w:val="single" w:sz="4" w:space="0" w:color="auto"/>
              <w:bottom w:val="single" w:sz="4" w:space="0" w:color="BFBFBF" w:themeColor="background1" w:themeShade="BF"/>
            </w:tcBorders>
            <w:shd w:val="clear" w:color="auto" w:fill="auto"/>
            <w:vAlign w:val="center"/>
          </w:tcPr>
          <w:p w14:paraId="23C046B6" w14:textId="77777777" w:rsidR="00377EFE" w:rsidRPr="00C07815" w:rsidRDefault="00377EFE" w:rsidP="00C07815">
            <w:pPr>
              <w:jc w:val="center"/>
              <w:rPr>
                <w:sz w:val="21"/>
                <w:szCs w:val="21"/>
                <w:lang w:val="en-US"/>
              </w:rPr>
            </w:pPr>
            <w:r w:rsidRPr="00C07815">
              <w:rPr>
                <w:sz w:val="21"/>
                <w:szCs w:val="21"/>
                <w:lang w:val="en-US"/>
              </w:rPr>
              <w:t>Brain Imaging in 115</w:t>
            </w:r>
          </w:p>
          <w:p w14:paraId="22658771" w14:textId="36C2E660" w:rsidR="00377EFE" w:rsidRPr="00C07815" w:rsidRDefault="00377EFE" w:rsidP="00C07815">
            <w:pPr>
              <w:jc w:val="center"/>
              <w:rPr>
                <w:sz w:val="21"/>
                <w:szCs w:val="21"/>
                <w:lang w:val="en-US"/>
              </w:rPr>
            </w:pPr>
            <w:r w:rsidRPr="00C07815">
              <w:rPr>
                <w:sz w:val="21"/>
                <w:szCs w:val="21"/>
                <w:lang w:val="en-US"/>
              </w:rPr>
              <w:t>Eye and Hearing 112, BSID-III in 104</w:t>
            </w:r>
          </w:p>
        </w:tc>
        <w:tc>
          <w:tcPr>
            <w:tcW w:w="0" w:type="auto"/>
            <w:tcBorders>
              <w:top w:val="single" w:sz="4" w:space="0" w:color="auto"/>
              <w:bottom w:val="single" w:sz="4" w:space="0" w:color="BFBFBF" w:themeColor="background1" w:themeShade="BF"/>
            </w:tcBorders>
            <w:shd w:val="clear" w:color="auto" w:fill="auto"/>
            <w:vAlign w:val="center"/>
          </w:tcPr>
          <w:p w14:paraId="2C09ACEE" w14:textId="77777777" w:rsidR="00377EFE" w:rsidRPr="00C07815" w:rsidRDefault="00377EFE" w:rsidP="00450805">
            <w:pPr>
              <w:jc w:val="both"/>
              <w:rPr>
                <w:sz w:val="21"/>
                <w:szCs w:val="21"/>
                <w:lang w:val="en-US"/>
              </w:rPr>
            </w:pPr>
            <w:r w:rsidRPr="00C07815">
              <w:rPr>
                <w:sz w:val="21"/>
                <w:szCs w:val="21"/>
                <w:lang w:val="en-US"/>
              </w:rPr>
              <w:t xml:space="preserve">Abnormal findings on neuroimaging 34%. Of these, 11% had structural abnormalities. </w:t>
            </w:r>
          </w:p>
          <w:p w14:paraId="0A3BE6C1" w14:textId="56C84643" w:rsidR="00377EFE" w:rsidRPr="00C07815" w:rsidRDefault="00377EFE" w:rsidP="00450805">
            <w:pPr>
              <w:pStyle w:val="p1"/>
              <w:ind w:firstLine="0"/>
              <w:rPr>
                <w:rFonts w:ascii="Times New Roman" w:hAnsi="Times New Roman"/>
                <w:sz w:val="21"/>
                <w:szCs w:val="21"/>
                <w:lang w:val="en-US"/>
              </w:rPr>
            </w:pPr>
            <w:r w:rsidRPr="00C07815">
              <w:rPr>
                <w:rFonts w:ascii="Times New Roman" w:hAnsi="Times New Roman"/>
                <w:sz w:val="21"/>
                <w:szCs w:val="21"/>
                <w:lang w:val="en-US"/>
              </w:rPr>
              <w:t>Children with normal brain imaging were 20% less likely to have a Bayley-III score 2 SD below the mean (±SD) score than those with abnormal brain imaging</w:t>
            </w:r>
            <w:r w:rsidR="00450805">
              <w:rPr>
                <w:rFonts w:ascii="Times New Roman" w:hAnsi="Times New Roman"/>
                <w:sz w:val="21"/>
                <w:szCs w:val="21"/>
                <w:lang w:val="en-US"/>
              </w:rPr>
              <w:t>.</w:t>
            </w:r>
          </w:p>
        </w:tc>
      </w:tr>
      <w:tr w:rsidR="00D56A23" w:rsidRPr="00C07815" w14:paraId="53A2626A" w14:textId="77777777" w:rsidTr="00450805">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1D1959E" w14:textId="77777777" w:rsidR="00377EFE" w:rsidRPr="00D56A23" w:rsidRDefault="00377EFE" w:rsidP="00C07815">
            <w:pPr>
              <w:rPr>
                <w:sz w:val="21"/>
                <w:szCs w:val="21"/>
                <w:lang w:val="en-US"/>
              </w:rPr>
            </w:pPr>
            <w:r w:rsidRPr="00D56A23">
              <w:rPr>
                <w:sz w:val="21"/>
                <w:szCs w:val="21"/>
                <w:lang w:val="en-US"/>
              </w:rPr>
              <w:t>Cohort study.</w:t>
            </w:r>
          </w:p>
          <w:p w14:paraId="60658FF6" w14:textId="77777777" w:rsidR="00377EFE" w:rsidRPr="00D56A23" w:rsidRDefault="00377EFE" w:rsidP="00C07815">
            <w:pPr>
              <w:rPr>
                <w:sz w:val="21"/>
                <w:szCs w:val="21"/>
                <w:lang w:val="en-US"/>
              </w:rPr>
            </w:pPr>
            <w:r w:rsidRPr="00D56A23">
              <w:rPr>
                <w:sz w:val="21"/>
                <w:szCs w:val="21"/>
                <w:lang w:val="en-US"/>
              </w:rPr>
              <w:t>Control group.</w:t>
            </w:r>
          </w:p>
          <w:p w14:paraId="3350A7BD" w14:textId="653D1FD9" w:rsidR="00377EFE" w:rsidRPr="00D56A23" w:rsidRDefault="00377EFE" w:rsidP="00C07815">
            <w:pPr>
              <w:rPr>
                <w:sz w:val="21"/>
                <w:szCs w:val="21"/>
                <w:lang w:val="en-US"/>
              </w:rPr>
            </w:pPr>
            <w:r w:rsidRPr="00D56A23">
              <w:rPr>
                <w:sz w:val="21"/>
                <w:szCs w:val="21"/>
                <w:lang w:val="en-US"/>
              </w:rPr>
              <w:t>Einspieler et al.</w:t>
            </w:r>
            <w:r w:rsidR="00450805" w:rsidRPr="00D56A23">
              <w:rPr>
                <w:sz w:val="21"/>
                <w:szCs w:val="21"/>
                <w:lang w:val="en-US"/>
              </w:rPr>
              <w:t>,</w:t>
            </w:r>
            <w:r w:rsidRPr="00D56A23">
              <w:rPr>
                <w:sz w:val="21"/>
                <w:szCs w:val="21"/>
                <w:lang w:val="en-US"/>
              </w:rPr>
              <w:t xml:space="preserve"> (2019)</w:t>
            </w:r>
          </w:p>
          <w:p w14:paraId="383FC033" w14:textId="77777777" w:rsidR="00377EFE" w:rsidRPr="00D56A23" w:rsidRDefault="00377EFE" w:rsidP="00C07815">
            <w:pPr>
              <w:rPr>
                <w:sz w:val="21"/>
                <w:szCs w:val="21"/>
                <w:lang w:val="en-US"/>
              </w:rPr>
            </w:pPr>
            <w:r w:rsidRPr="00D56A23">
              <w:rPr>
                <w:sz w:val="21"/>
                <w:szCs w:val="21"/>
                <w:lang w:val="en-US"/>
              </w:rPr>
              <w:t>Rio de Janeiro and Belo Horizonte, Brazil</w:t>
            </w:r>
          </w:p>
        </w:tc>
        <w:tc>
          <w:tcPr>
            <w:tcW w:w="0" w:type="auto"/>
            <w:tcBorders>
              <w:top w:val="single" w:sz="4" w:space="0" w:color="BFBFBF" w:themeColor="background1" w:themeShade="BF"/>
              <w:bottom w:val="single" w:sz="4" w:space="0" w:color="BFBFBF" w:themeColor="background1" w:themeShade="BF"/>
            </w:tcBorders>
            <w:vAlign w:val="center"/>
          </w:tcPr>
          <w:p w14:paraId="00BD2365" w14:textId="736ADD75" w:rsidR="00377EFE" w:rsidRPr="00C07815" w:rsidRDefault="00377EFE" w:rsidP="00450805">
            <w:pPr>
              <w:jc w:val="center"/>
              <w:rPr>
                <w:sz w:val="21"/>
                <w:szCs w:val="21"/>
                <w:lang w:val="en-US"/>
              </w:rPr>
            </w:pPr>
            <w:r w:rsidRPr="00C07815">
              <w:rPr>
                <w:sz w:val="21"/>
                <w:szCs w:val="21"/>
                <w:lang w:val="en-US"/>
              </w:rPr>
              <w:t>111 prenatally exposed to ZKV: 35 CZS, 76 without CZS</w:t>
            </w:r>
          </w:p>
          <w:p w14:paraId="73039C60" w14:textId="77777777" w:rsidR="00377EFE" w:rsidRPr="00C07815" w:rsidRDefault="00377EFE" w:rsidP="00450805">
            <w:pPr>
              <w:jc w:val="center"/>
              <w:rPr>
                <w:sz w:val="21"/>
                <w:szCs w:val="21"/>
                <w:lang w:val="en-US"/>
              </w:rPr>
            </w:pPr>
            <w:r w:rsidRPr="00C07815">
              <w:rPr>
                <w:sz w:val="21"/>
                <w:szCs w:val="21"/>
                <w:lang w:val="en-US"/>
              </w:rPr>
              <w:t>and 333 control group matched for sex, GA</w:t>
            </w:r>
          </w:p>
        </w:tc>
        <w:tc>
          <w:tcPr>
            <w:tcW w:w="0" w:type="auto"/>
            <w:tcBorders>
              <w:top w:val="single" w:sz="4" w:space="0" w:color="BFBFBF" w:themeColor="background1" w:themeShade="BF"/>
              <w:bottom w:val="single" w:sz="4" w:space="0" w:color="BFBFBF" w:themeColor="background1" w:themeShade="BF"/>
            </w:tcBorders>
            <w:vAlign w:val="center"/>
          </w:tcPr>
          <w:p w14:paraId="6C93020A" w14:textId="77777777" w:rsidR="00377EFE" w:rsidRPr="00C07815" w:rsidRDefault="00377EFE" w:rsidP="00C07815">
            <w:pPr>
              <w:jc w:val="center"/>
              <w:rPr>
                <w:sz w:val="21"/>
                <w:szCs w:val="21"/>
                <w:lang w:val="en-US"/>
              </w:rPr>
            </w:pPr>
            <w:r w:rsidRPr="00C07815">
              <w:rPr>
                <w:sz w:val="21"/>
                <w:szCs w:val="21"/>
                <w:lang w:val="en-US"/>
              </w:rPr>
              <w:t>No (Clinical criteria)</w:t>
            </w:r>
          </w:p>
        </w:tc>
        <w:tc>
          <w:tcPr>
            <w:tcW w:w="0" w:type="auto"/>
            <w:tcBorders>
              <w:top w:val="single" w:sz="4" w:space="0" w:color="BFBFBF" w:themeColor="background1" w:themeShade="BF"/>
              <w:bottom w:val="single" w:sz="4" w:space="0" w:color="BFBFBF" w:themeColor="background1" w:themeShade="BF"/>
            </w:tcBorders>
            <w:vAlign w:val="center"/>
          </w:tcPr>
          <w:p w14:paraId="5EC2260D" w14:textId="01D84D5E" w:rsidR="00377EFE" w:rsidRPr="00C07815" w:rsidRDefault="00377EFE" w:rsidP="00C07815">
            <w:pPr>
              <w:jc w:val="center"/>
              <w:rPr>
                <w:sz w:val="21"/>
                <w:szCs w:val="21"/>
                <w:lang w:val="en-US"/>
              </w:rPr>
            </w:pPr>
            <w:r w:rsidRPr="00C07815">
              <w:rPr>
                <w:sz w:val="21"/>
                <w:szCs w:val="21"/>
                <w:lang w:val="en-US"/>
              </w:rPr>
              <w:t>9-20 wk</w:t>
            </w:r>
            <w:r w:rsidR="00450805">
              <w:rPr>
                <w:sz w:val="21"/>
                <w:szCs w:val="21"/>
                <w:lang w:val="en-US"/>
              </w:rPr>
              <w:t>s</w:t>
            </w:r>
          </w:p>
          <w:p w14:paraId="593ABAA1" w14:textId="77777777" w:rsidR="00377EFE" w:rsidRPr="00C07815" w:rsidRDefault="00377EFE" w:rsidP="00C07815">
            <w:pPr>
              <w:jc w:val="center"/>
              <w:rPr>
                <w:sz w:val="21"/>
                <w:szCs w:val="21"/>
                <w:lang w:val="en-US"/>
              </w:rPr>
            </w:pPr>
            <w:r w:rsidRPr="00C07815">
              <w:rPr>
                <w:sz w:val="21"/>
                <w:szCs w:val="21"/>
                <w:lang w:val="en-US"/>
              </w:rPr>
              <w:t>12 m</w:t>
            </w:r>
          </w:p>
        </w:tc>
        <w:tc>
          <w:tcPr>
            <w:tcW w:w="0" w:type="auto"/>
            <w:tcBorders>
              <w:top w:val="single" w:sz="4" w:space="0" w:color="BFBFBF" w:themeColor="background1" w:themeShade="BF"/>
              <w:bottom w:val="single" w:sz="4" w:space="0" w:color="BFBFBF" w:themeColor="background1" w:themeShade="BF"/>
            </w:tcBorders>
            <w:vAlign w:val="center"/>
          </w:tcPr>
          <w:p w14:paraId="3D16A0A2" w14:textId="77777777" w:rsidR="00377EFE" w:rsidRPr="00C07815" w:rsidRDefault="00377EFE" w:rsidP="00C07815">
            <w:pPr>
              <w:jc w:val="center"/>
              <w:rPr>
                <w:sz w:val="21"/>
                <w:szCs w:val="21"/>
                <w:lang w:val="en-US"/>
              </w:rPr>
            </w:pPr>
            <w:r w:rsidRPr="00C07815">
              <w:rPr>
                <w:sz w:val="21"/>
                <w:szCs w:val="21"/>
                <w:lang w:val="en-US"/>
              </w:rPr>
              <w:t>GMA</w:t>
            </w:r>
          </w:p>
          <w:p w14:paraId="281D4124" w14:textId="77777777" w:rsidR="00377EFE" w:rsidRPr="00C07815" w:rsidRDefault="00377EFE" w:rsidP="00C07815">
            <w:pPr>
              <w:jc w:val="center"/>
              <w:rPr>
                <w:sz w:val="21"/>
                <w:szCs w:val="21"/>
                <w:lang w:val="en-US"/>
              </w:rPr>
            </w:pPr>
            <w:r w:rsidRPr="00C07815">
              <w:rPr>
                <w:sz w:val="21"/>
                <w:szCs w:val="21"/>
                <w:lang w:val="en-US"/>
              </w:rPr>
              <w:t>MOS</w:t>
            </w:r>
          </w:p>
          <w:p w14:paraId="0558D733" w14:textId="77777777" w:rsidR="00377EFE" w:rsidRPr="00C07815" w:rsidRDefault="00377EFE" w:rsidP="00C07815">
            <w:pPr>
              <w:jc w:val="center"/>
              <w:rPr>
                <w:sz w:val="21"/>
                <w:szCs w:val="21"/>
                <w:lang w:val="en-US"/>
              </w:rPr>
            </w:pPr>
            <w:r w:rsidRPr="00C07815">
              <w:rPr>
                <w:sz w:val="21"/>
                <w:szCs w:val="21"/>
                <w:lang w:val="en-US"/>
              </w:rPr>
              <w:t>BSID-III</w:t>
            </w:r>
          </w:p>
        </w:tc>
        <w:tc>
          <w:tcPr>
            <w:tcW w:w="0" w:type="auto"/>
            <w:tcBorders>
              <w:top w:val="single" w:sz="4" w:space="0" w:color="BFBFBF" w:themeColor="background1" w:themeShade="BF"/>
              <w:bottom w:val="single" w:sz="4" w:space="0" w:color="BFBFBF" w:themeColor="background1" w:themeShade="BF"/>
            </w:tcBorders>
            <w:vAlign w:val="center"/>
          </w:tcPr>
          <w:p w14:paraId="3C448031" w14:textId="231ADEEF" w:rsidR="00377EFE" w:rsidRPr="00C07815" w:rsidRDefault="00377EFE" w:rsidP="00450805">
            <w:pPr>
              <w:jc w:val="both"/>
              <w:rPr>
                <w:sz w:val="21"/>
                <w:szCs w:val="21"/>
                <w:lang w:val="en-US"/>
              </w:rPr>
            </w:pPr>
            <w:r w:rsidRPr="00C07815">
              <w:rPr>
                <w:sz w:val="21"/>
                <w:szCs w:val="21"/>
                <w:lang w:val="en-US"/>
              </w:rPr>
              <w:t xml:space="preserve">333 control infants had normal general movements and </w:t>
            </w:r>
            <w:r w:rsidR="00450805" w:rsidRPr="00C07815">
              <w:rPr>
                <w:sz w:val="21"/>
                <w:szCs w:val="21"/>
                <w:lang w:val="en-US"/>
              </w:rPr>
              <w:t>neurotypical</w:t>
            </w:r>
            <w:r w:rsidRPr="00C07815">
              <w:rPr>
                <w:sz w:val="21"/>
                <w:szCs w:val="21"/>
                <w:lang w:val="en-US"/>
              </w:rPr>
              <w:t xml:space="preserve"> development.</w:t>
            </w:r>
          </w:p>
          <w:p w14:paraId="2AF6A846" w14:textId="77777777" w:rsidR="00377EFE" w:rsidRPr="00C07815" w:rsidRDefault="00377EFE" w:rsidP="00450805">
            <w:pPr>
              <w:jc w:val="both"/>
              <w:rPr>
                <w:sz w:val="21"/>
                <w:szCs w:val="21"/>
                <w:lang w:val="en-US" w:eastAsia="en-US"/>
              </w:rPr>
            </w:pPr>
            <w:r w:rsidRPr="00C07815">
              <w:rPr>
                <w:sz w:val="21"/>
                <w:szCs w:val="21"/>
                <w:lang w:val="en-US"/>
              </w:rPr>
              <w:t xml:space="preserve">76 Infants prenatally exposed </w:t>
            </w:r>
            <w:r w:rsidRPr="00C07815">
              <w:rPr>
                <w:sz w:val="21"/>
                <w:szCs w:val="21"/>
                <w:lang w:val="en-US" w:eastAsia="en-US"/>
              </w:rPr>
              <w:t xml:space="preserve">without microcephaly: 84% had normal general movements and as group </w:t>
            </w:r>
            <w:r w:rsidRPr="00C07815">
              <w:rPr>
                <w:sz w:val="21"/>
                <w:szCs w:val="21"/>
                <w:lang w:val="en-US"/>
              </w:rPr>
              <w:t xml:space="preserve">scored significantly lower on the MOS than neurotypical controls. </w:t>
            </w:r>
            <w:r w:rsidRPr="00C07815">
              <w:rPr>
                <w:sz w:val="21"/>
                <w:szCs w:val="21"/>
                <w:lang w:val="en-US" w:eastAsia="en-US"/>
              </w:rPr>
              <w:t>GMA was a good predictor of development at 12 months.</w:t>
            </w:r>
            <w:r w:rsidRPr="00C07815">
              <w:rPr>
                <w:sz w:val="21"/>
                <w:szCs w:val="21"/>
                <w:lang w:val="en-US"/>
              </w:rPr>
              <w:t xml:space="preserve"> BSID-III at 12 months was abnormal in 10 children (18%) in 5 of them BSID 70-85, and in 4 &lt;70. </w:t>
            </w:r>
          </w:p>
        </w:tc>
      </w:tr>
      <w:tr w:rsidR="00C07815" w:rsidRPr="00C07815" w14:paraId="3200142E" w14:textId="77777777" w:rsidTr="00450805">
        <w:trPr>
          <w:trHeight w:val="2035"/>
        </w:trPr>
        <w:tc>
          <w:tcPr>
            <w:tcW w:w="0" w:type="auto"/>
            <w:tcBorders>
              <w:top w:val="single" w:sz="4" w:space="0" w:color="BFBFBF" w:themeColor="background1" w:themeShade="BF"/>
              <w:bottom w:val="single" w:sz="4" w:space="0" w:color="BFBFBF" w:themeColor="background1" w:themeShade="BF"/>
            </w:tcBorders>
            <w:vAlign w:val="center"/>
          </w:tcPr>
          <w:p w14:paraId="17A6664F" w14:textId="77777777" w:rsidR="00377EFE" w:rsidRPr="00D56A23" w:rsidRDefault="00377EFE" w:rsidP="00C07815">
            <w:pPr>
              <w:rPr>
                <w:sz w:val="21"/>
                <w:szCs w:val="21"/>
                <w:lang w:val="en-US"/>
              </w:rPr>
            </w:pPr>
            <w:r w:rsidRPr="00D56A23">
              <w:rPr>
                <w:sz w:val="21"/>
                <w:szCs w:val="21"/>
                <w:lang w:val="en-US"/>
              </w:rPr>
              <w:t>Cohort study: ZIKV exposed in-utero</w:t>
            </w:r>
          </w:p>
          <w:p w14:paraId="65AFAA75" w14:textId="77777777" w:rsidR="00377EFE" w:rsidRPr="00D56A23" w:rsidRDefault="00377EFE" w:rsidP="00C07815">
            <w:pPr>
              <w:rPr>
                <w:sz w:val="21"/>
                <w:szCs w:val="21"/>
                <w:lang w:val="en-US"/>
              </w:rPr>
            </w:pPr>
            <w:r w:rsidRPr="00D56A23">
              <w:rPr>
                <w:sz w:val="21"/>
                <w:szCs w:val="21"/>
                <w:lang w:val="en-US"/>
              </w:rPr>
              <w:t>No control group</w:t>
            </w:r>
          </w:p>
          <w:p w14:paraId="1F2B2877" w14:textId="74FBAC28" w:rsidR="00377EFE" w:rsidRPr="00D56A23" w:rsidRDefault="00377EFE" w:rsidP="00C07815">
            <w:pPr>
              <w:rPr>
                <w:sz w:val="21"/>
                <w:szCs w:val="21"/>
                <w:lang w:val="en-US"/>
              </w:rPr>
            </w:pPr>
            <w:r w:rsidRPr="00D56A23">
              <w:rPr>
                <w:sz w:val="21"/>
                <w:szCs w:val="21"/>
                <w:lang w:val="en-US"/>
              </w:rPr>
              <w:t>Nielsen-Saines </w:t>
            </w:r>
            <w:r w:rsidR="00450805" w:rsidRPr="00D56A23">
              <w:rPr>
                <w:sz w:val="21"/>
                <w:szCs w:val="21"/>
                <w:lang w:val="en-US"/>
              </w:rPr>
              <w:t xml:space="preserve"> </w:t>
            </w:r>
            <w:r w:rsidRPr="00D56A23">
              <w:rPr>
                <w:sz w:val="21"/>
                <w:szCs w:val="21"/>
                <w:lang w:val="en-US"/>
              </w:rPr>
              <w:t>et al.</w:t>
            </w:r>
            <w:r w:rsidR="00450805" w:rsidRPr="00D56A23">
              <w:rPr>
                <w:sz w:val="21"/>
                <w:szCs w:val="21"/>
                <w:lang w:val="en-US"/>
              </w:rPr>
              <w:t>,</w:t>
            </w:r>
            <w:r w:rsidRPr="00D56A23">
              <w:rPr>
                <w:sz w:val="21"/>
                <w:szCs w:val="21"/>
                <w:lang w:val="en-US"/>
              </w:rPr>
              <w:t xml:space="preserve"> (2019)</w:t>
            </w:r>
          </w:p>
          <w:p w14:paraId="55BC2E87" w14:textId="77777777" w:rsidR="00377EFE" w:rsidRPr="00D56A23" w:rsidRDefault="00377EFE" w:rsidP="00C07815">
            <w:pPr>
              <w:rPr>
                <w:sz w:val="21"/>
                <w:szCs w:val="21"/>
                <w:vertAlign w:val="superscript"/>
                <w:lang w:val="en-US"/>
              </w:rPr>
            </w:pPr>
            <w:r w:rsidRPr="00D56A23">
              <w:rPr>
                <w:sz w:val="21"/>
                <w:szCs w:val="21"/>
                <w:lang w:val="en-US"/>
              </w:rPr>
              <w:t>Rio de Janeiro, Brazil</w:t>
            </w:r>
          </w:p>
        </w:tc>
        <w:tc>
          <w:tcPr>
            <w:tcW w:w="0" w:type="auto"/>
            <w:tcBorders>
              <w:top w:val="single" w:sz="4" w:space="0" w:color="BFBFBF" w:themeColor="background1" w:themeShade="BF"/>
              <w:bottom w:val="single" w:sz="4" w:space="0" w:color="BFBFBF" w:themeColor="background1" w:themeShade="BF"/>
            </w:tcBorders>
            <w:vAlign w:val="center"/>
          </w:tcPr>
          <w:p w14:paraId="2F51CDF5" w14:textId="77777777" w:rsidR="00377EFE" w:rsidRPr="00C07815" w:rsidRDefault="00377EFE" w:rsidP="00450805">
            <w:pPr>
              <w:jc w:val="center"/>
              <w:rPr>
                <w:sz w:val="21"/>
                <w:szCs w:val="21"/>
                <w:lang w:val="en-US"/>
              </w:rPr>
            </w:pPr>
            <w:r w:rsidRPr="00C07815">
              <w:rPr>
                <w:sz w:val="21"/>
                <w:szCs w:val="21"/>
                <w:lang w:val="en-US"/>
              </w:rPr>
              <w:t>216 children of ZIKV infected mothers (only 6 children could have CZS)</w:t>
            </w:r>
          </w:p>
        </w:tc>
        <w:tc>
          <w:tcPr>
            <w:tcW w:w="0" w:type="auto"/>
            <w:tcBorders>
              <w:top w:val="single" w:sz="4" w:space="0" w:color="BFBFBF" w:themeColor="background1" w:themeShade="BF"/>
              <w:bottom w:val="single" w:sz="4" w:space="0" w:color="BFBFBF" w:themeColor="background1" w:themeShade="BF"/>
            </w:tcBorders>
            <w:vAlign w:val="center"/>
          </w:tcPr>
          <w:p w14:paraId="7056EC78" w14:textId="77777777" w:rsidR="00377EFE" w:rsidRPr="00C07815" w:rsidRDefault="00377EFE" w:rsidP="00C07815">
            <w:pPr>
              <w:jc w:val="center"/>
              <w:rPr>
                <w:sz w:val="21"/>
                <w:szCs w:val="21"/>
                <w:lang w:val="en-US"/>
              </w:rPr>
            </w:pPr>
            <w:r w:rsidRPr="00C07815">
              <w:rPr>
                <w:sz w:val="21"/>
                <w:szCs w:val="21"/>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51BAA7D6" w14:textId="77777777" w:rsidR="00377EFE" w:rsidRPr="00C07815" w:rsidRDefault="00377EFE" w:rsidP="00C07815">
            <w:pPr>
              <w:jc w:val="center"/>
              <w:rPr>
                <w:sz w:val="21"/>
                <w:szCs w:val="21"/>
                <w:lang w:val="en-US"/>
              </w:rPr>
            </w:pPr>
            <w:r w:rsidRPr="00C07815">
              <w:rPr>
                <w:sz w:val="21"/>
                <w:szCs w:val="21"/>
                <w:lang w:val="en-US"/>
              </w:rPr>
              <w:t>7-32 m</w:t>
            </w:r>
          </w:p>
        </w:tc>
        <w:tc>
          <w:tcPr>
            <w:tcW w:w="0" w:type="auto"/>
            <w:tcBorders>
              <w:top w:val="single" w:sz="4" w:space="0" w:color="BFBFBF" w:themeColor="background1" w:themeShade="BF"/>
              <w:bottom w:val="single" w:sz="4" w:space="0" w:color="BFBFBF" w:themeColor="background1" w:themeShade="BF"/>
            </w:tcBorders>
            <w:vAlign w:val="center"/>
          </w:tcPr>
          <w:p w14:paraId="00C59A7B" w14:textId="6E0CCF95" w:rsidR="00377EFE" w:rsidRPr="00C07815" w:rsidRDefault="00377EFE" w:rsidP="00C07815">
            <w:pPr>
              <w:jc w:val="center"/>
              <w:rPr>
                <w:sz w:val="21"/>
                <w:szCs w:val="21"/>
                <w:lang w:val="en-US"/>
              </w:rPr>
            </w:pPr>
            <w:r w:rsidRPr="00C07815">
              <w:rPr>
                <w:sz w:val="21"/>
                <w:szCs w:val="21"/>
                <w:lang w:val="en-US"/>
              </w:rPr>
              <w:t>BSID-III</w:t>
            </w:r>
          </w:p>
          <w:p w14:paraId="37C41D14" w14:textId="7C8477BE" w:rsidR="00377EFE" w:rsidRPr="00C07815" w:rsidRDefault="00377EFE" w:rsidP="00C07815">
            <w:pPr>
              <w:jc w:val="center"/>
              <w:rPr>
                <w:sz w:val="21"/>
                <w:szCs w:val="21"/>
                <w:lang w:val="en-US"/>
              </w:rPr>
            </w:pPr>
            <w:r w:rsidRPr="00C07815">
              <w:rPr>
                <w:sz w:val="21"/>
                <w:szCs w:val="21"/>
                <w:lang w:val="en-US"/>
              </w:rPr>
              <w:t>HINE</w:t>
            </w:r>
          </w:p>
          <w:p w14:paraId="799C4B2D" w14:textId="00F2B488" w:rsidR="00377EFE" w:rsidRPr="00C07815" w:rsidRDefault="00377EFE" w:rsidP="00C07815">
            <w:pPr>
              <w:jc w:val="center"/>
              <w:rPr>
                <w:sz w:val="21"/>
                <w:szCs w:val="21"/>
                <w:lang w:val="en-US"/>
              </w:rPr>
            </w:pPr>
            <w:r w:rsidRPr="00C07815">
              <w:rPr>
                <w:sz w:val="21"/>
                <w:szCs w:val="21"/>
                <w:lang w:val="en-US"/>
              </w:rPr>
              <w:t>Complete eye and hearing exams</w:t>
            </w:r>
          </w:p>
        </w:tc>
        <w:tc>
          <w:tcPr>
            <w:tcW w:w="0" w:type="auto"/>
            <w:tcBorders>
              <w:top w:val="single" w:sz="4" w:space="0" w:color="BFBFBF" w:themeColor="background1" w:themeShade="BF"/>
              <w:bottom w:val="single" w:sz="4" w:space="0" w:color="BFBFBF" w:themeColor="background1" w:themeShade="BF"/>
            </w:tcBorders>
          </w:tcPr>
          <w:p w14:paraId="7BFCEA84" w14:textId="77777777" w:rsidR="00377EFE" w:rsidRPr="00C07815" w:rsidRDefault="00377EFE" w:rsidP="00450805">
            <w:pPr>
              <w:pStyle w:val="p1"/>
              <w:ind w:firstLine="8"/>
              <w:rPr>
                <w:rFonts w:ascii="Times New Roman" w:hAnsi="Times New Roman"/>
                <w:sz w:val="21"/>
                <w:szCs w:val="21"/>
                <w:lang w:val="en-US" w:eastAsia="en-US"/>
              </w:rPr>
            </w:pPr>
            <w:r w:rsidRPr="00C07815">
              <w:rPr>
                <w:rFonts w:ascii="Times New Roman" w:hAnsi="Times New Roman"/>
                <w:sz w:val="21"/>
                <w:szCs w:val="21"/>
                <w:lang w:val="en-US" w:eastAsia="en-US"/>
              </w:rPr>
              <w:t>Prematurity 13%. Microcephaly in 6 (3.5 %).</w:t>
            </w:r>
          </w:p>
          <w:p w14:paraId="30BDBCD2" w14:textId="77777777" w:rsidR="00377EFE" w:rsidRPr="00C07815" w:rsidRDefault="00377EFE" w:rsidP="00450805">
            <w:pPr>
              <w:pStyle w:val="p1"/>
              <w:ind w:firstLine="0"/>
              <w:rPr>
                <w:rFonts w:ascii="Times New Roman" w:hAnsi="Times New Roman"/>
                <w:sz w:val="21"/>
                <w:szCs w:val="21"/>
                <w:lang w:val="en-US" w:eastAsia="en-US"/>
              </w:rPr>
            </w:pPr>
            <w:r w:rsidRPr="00C07815">
              <w:rPr>
                <w:rFonts w:ascii="Times New Roman" w:hAnsi="Times New Roman"/>
                <w:sz w:val="21"/>
                <w:szCs w:val="21"/>
                <w:lang w:val="en-US" w:eastAsia="en-US"/>
              </w:rPr>
              <w:t xml:space="preserve">31% below-average neurodevelopment and/or abnormal eye or hearing assessments. </w:t>
            </w:r>
          </w:p>
          <w:p w14:paraId="7A01894B" w14:textId="38D58C0F" w:rsidR="00377EFE" w:rsidRPr="00C07815" w:rsidRDefault="00377EFE" w:rsidP="00450805">
            <w:pPr>
              <w:pStyle w:val="p1"/>
              <w:ind w:firstLine="0"/>
              <w:rPr>
                <w:rFonts w:ascii="Times New Roman" w:hAnsi="Times New Roman"/>
                <w:sz w:val="21"/>
                <w:szCs w:val="21"/>
                <w:lang w:val="en-US"/>
              </w:rPr>
            </w:pPr>
            <w:r w:rsidRPr="00C07815">
              <w:rPr>
                <w:rFonts w:ascii="Times New Roman" w:hAnsi="Times New Roman"/>
                <w:sz w:val="21"/>
                <w:szCs w:val="21"/>
                <w:lang w:val="en-US"/>
              </w:rPr>
              <w:t>146 children assessed with BSID-III:</w:t>
            </w:r>
            <w:r w:rsidRPr="00C07815">
              <w:rPr>
                <w:rFonts w:ascii="Times New Roman" w:hAnsi="Times New Roman"/>
                <w:sz w:val="21"/>
                <w:szCs w:val="21"/>
                <w:lang w:val="en-US" w:eastAsia="en-US"/>
              </w:rPr>
              <w:t xml:space="preserve"> 71.3% normal development. A score </w:t>
            </w:r>
            <w:r w:rsidRPr="00C07815">
              <w:rPr>
                <w:rFonts w:ascii="Times New Roman" w:hAnsi="Times New Roman"/>
                <w:sz w:val="21"/>
                <w:szCs w:val="21"/>
                <w:lang w:val="en-US"/>
              </w:rPr>
              <w:t xml:space="preserve">between 84–70 in </w:t>
            </w:r>
            <w:r w:rsidRPr="00C07815">
              <w:rPr>
                <w:rFonts w:ascii="Times New Roman" w:hAnsi="Times New Roman"/>
                <w:sz w:val="21"/>
                <w:szCs w:val="21"/>
                <w:lang w:val="en-US" w:eastAsia="en-US"/>
              </w:rPr>
              <w:t>28%</w:t>
            </w:r>
            <w:r w:rsidRPr="00C07815">
              <w:rPr>
                <w:rFonts w:ascii="Times New Roman" w:hAnsi="Times New Roman"/>
                <w:sz w:val="21"/>
                <w:szCs w:val="21"/>
                <w:lang w:val="en-US"/>
              </w:rPr>
              <w:t xml:space="preserve"> and </w:t>
            </w:r>
            <w:r w:rsidR="00450805" w:rsidRPr="00C07815">
              <w:rPr>
                <w:rFonts w:ascii="Times New Roman" w:hAnsi="Times New Roman"/>
                <w:sz w:val="21"/>
                <w:szCs w:val="21"/>
                <w:lang w:val="en-US"/>
              </w:rPr>
              <w:t>a</w:t>
            </w:r>
            <w:r w:rsidRPr="00C07815">
              <w:rPr>
                <w:rFonts w:ascii="Times New Roman" w:hAnsi="Times New Roman"/>
                <w:sz w:val="21"/>
                <w:szCs w:val="21"/>
                <w:lang w:val="en-US"/>
              </w:rPr>
              <w:t xml:space="preserve"> score </w:t>
            </w:r>
            <w:r w:rsidRPr="00C07815">
              <w:rPr>
                <w:rFonts w:ascii="Times New Roman" w:hAnsi="Times New Roman"/>
                <w:sz w:val="21"/>
                <w:szCs w:val="21"/>
                <w:lang w:val="en-US" w:eastAsia="en-US"/>
              </w:rPr>
              <w:t xml:space="preserve">&lt;70 in at least one domain in the 12%. </w:t>
            </w:r>
            <w:r w:rsidRPr="00C07815">
              <w:rPr>
                <w:rFonts w:ascii="Times New Roman" w:hAnsi="Times New Roman"/>
                <w:sz w:val="21"/>
                <w:szCs w:val="21"/>
                <w:lang w:val="en-US"/>
              </w:rPr>
              <w:t xml:space="preserve">Language function altered in 35%. </w:t>
            </w:r>
            <w:r w:rsidRPr="00C07815">
              <w:rPr>
                <w:rFonts w:ascii="Times New Roman" w:hAnsi="Times New Roman"/>
                <w:sz w:val="21"/>
                <w:szCs w:val="21"/>
                <w:lang w:val="en-US" w:eastAsia="en-US"/>
              </w:rPr>
              <w:t>Autism in 3 children</w:t>
            </w:r>
          </w:p>
          <w:p w14:paraId="27FD0D9D" w14:textId="5C3C6B5A" w:rsidR="00377EFE" w:rsidRPr="00C07815" w:rsidRDefault="00377EFE" w:rsidP="00450805">
            <w:pPr>
              <w:pStyle w:val="p1"/>
              <w:ind w:firstLine="8"/>
              <w:rPr>
                <w:rFonts w:ascii="Times New Roman" w:hAnsi="Times New Roman"/>
                <w:sz w:val="21"/>
                <w:szCs w:val="21"/>
                <w:lang w:val="en-US"/>
              </w:rPr>
            </w:pPr>
            <w:r w:rsidRPr="00C07815">
              <w:rPr>
                <w:rFonts w:ascii="Times New Roman" w:hAnsi="Times New Roman"/>
                <w:sz w:val="21"/>
                <w:szCs w:val="21"/>
                <w:lang w:val="en-US"/>
              </w:rPr>
              <w:t>An earlier gestational age at the time of ZIKV infection was a significant predictor of below average neurodevelopment</w:t>
            </w:r>
            <w:r w:rsidR="00450805">
              <w:rPr>
                <w:rFonts w:ascii="Times New Roman" w:hAnsi="Times New Roman"/>
                <w:sz w:val="21"/>
                <w:szCs w:val="21"/>
                <w:lang w:val="en-US"/>
              </w:rPr>
              <w:t>.</w:t>
            </w:r>
          </w:p>
        </w:tc>
      </w:tr>
      <w:tr w:rsidR="00C07815" w:rsidRPr="00C07815" w14:paraId="27BBDD4C" w14:textId="77777777" w:rsidTr="00450805">
        <w:trPr>
          <w:trHeight w:val="1528"/>
        </w:trPr>
        <w:tc>
          <w:tcPr>
            <w:tcW w:w="0" w:type="auto"/>
            <w:tcBorders>
              <w:top w:val="single" w:sz="4" w:space="0" w:color="BFBFBF" w:themeColor="background1" w:themeShade="BF"/>
              <w:bottom w:val="single" w:sz="4" w:space="0" w:color="BFBFBF" w:themeColor="background1" w:themeShade="BF"/>
            </w:tcBorders>
            <w:vAlign w:val="center"/>
          </w:tcPr>
          <w:p w14:paraId="481301E0" w14:textId="77777777" w:rsidR="00377EFE" w:rsidRPr="00D56A23" w:rsidRDefault="00377EFE" w:rsidP="00C07815">
            <w:pPr>
              <w:rPr>
                <w:sz w:val="21"/>
                <w:szCs w:val="21"/>
                <w:lang w:val="en-US"/>
              </w:rPr>
            </w:pPr>
            <w:r w:rsidRPr="00D56A23">
              <w:rPr>
                <w:sz w:val="21"/>
                <w:szCs w:val="21"/>
                <w:lang w:val="en-US"/>
              </w:rPr>
              <w:t>Cross-sectional</w:t>
            </w:r>
          </w:p>
          <w:p w14:paraId="1C3BCE10" w14:textId="77777777" w:rsidR="00377EFE" w:rsidRPr="00D56A23" w:rsidRDefault="00377EFE" w:rsidP="00C07815">
            <w:pPr>
              <w:rPr>
                <w:sz w:val="21"/>
                <w:szCs w:val="21"/>
                <w:lang w:val="en-US"/>
              </w:rPr>
            </w:pPr>
            <w:r w:rsidRPr="00D56A23">
              <w:rPr>
                <w:sz w:val="21"/>
                <w:szCs w:val="21"/>
                <w:lang w:val="en-US"/>
              </w:rPr>
              <w:t>No control group</w:t>
            </w:r>
          </w:p>
          <w:p w14:paraId="3D5CED91" w14:textId="7608830C" w:rsidR="00377EFE" w:rsidRPr="00D56A23" w:rsidRDefault="00377EFE" w:rsidP="00C07815">
            <w:pPr>
              <w:rPr>
                <w:rStyle w:val="tlid-translation"/>
                <w:sz w:val="21"/>
                <w:szCs w:val="21"/>
                <w:vertAlign w:val="superscript"/>
                <w:lang w:val="en-US"/>
              </w:rPr>
            </w:pPr>
            <w:r w:rsidRPr="00D56A23">
              <w:rPr>
                <w:rStyle w:val="tlid-translation"/>
                <w:sz w:val="21"/>
                <w:szCs w:val="21"/>
                <w:lang w:val="en-US"/>
              </w:rPr>
              <w:t>Cardoso et al.</w:t>
            </w:r>
            <w:r w:rsidR="00450805" w:rsidRPr="00D56A23">
              <w:rPr>
                <w:rStyle w:val="tlid-translation"/>
                <w:sz w:val="21"/>
                <w:szCs w:val="21"/>
                <w:lang w:val="en-US"/>
              </w:rPr>
              <w:t>,</w:t>
            </w:r>
            <w:r w:rsidRPr="00D56A23">
              <w:rPr>
                <w:rStyle w:val="tlid-translation"/>
                <w:sz w:val="21"/>
                <w:szCs w:val="21"/>
                <w:lang w:val="en-US"/>
              </w:rPr>
              <w:t xml:space="preserve"> (2019)</w:t>
            </w:r>
            <w:r w:rsidRPr="00D56A23">
              <w:rPr>
                <w:rStyle w:val="tlid-translation"/>
                <w:sz w:val="21"/>
                <w:szCs w:val="21"/>
                <w:vertAlign w:val="superscript"/>
                <w:lang w:val="en-US"/>
              </w:rPr>
              <w:t xml:space="preserve"> </w:t>
            </w:r>
          </w:p>
          <w:p w14:paraId="31129E88" w14:textId="77777777" w:rsidR="00377EFE" w:rsidRPr="00D56A23" w:rsidRDefault="00377EFE" w:rsidP="00C07815">
            <w:pPr>
              <w:rPr>
                <w:sz w:val="21"/>
                <w:szCs w:val="21"/>
                <w:lang w:val="en-US"/>
              </w:rPr>
            </w:pPr>
            <w:r w:rsidRPr="00D56A23">
              <w:rPr>
                <w:rStyle w:val="tlid-translation"/>
                <w:sz w:val="21"/>
                <w:szCs w:val="21"/>
                <w:lang w:val="en-US"/>
              </w:rPr>
              <w:lastRenderedPageBreak/>
              <w:t xml:space="preserve">Rio de Janeiro, </w:t>
            </w:r>
            <w:r w:rsidRPr="00D56A23">
              <w:rPr>
                <w:sz w:val="21"/>
                <w:szCs w:val="21"/>
                <w:lang w:val="en-US"/>
              </w:rPr>
              <w:t>Brazil.</w:t>
            </w:r>
          </w:p>
        </w:tc>
        <w:tc>
          <w:tcPr>
            <w:tcW w:w="0" w:type="auto"/>
            <w:tcBorders>
              <w:top w:val="single" w:sz="4" w:space="0" w:color="BFBFBF" w:themeColor="background1" w:themeShade="BF"/>
              <w:bottom w:val="single" w:sz="4" w:space="0" w:color="BFBFBF" w:themeColor="background1" w:themeShade="BF"/>
            </w:tcBorders>
            <w:vAlign w:val="center"/>
          </w:tcPr>
          <w:p w14:paraId="32588C7E" w14:textId="77777777" w:rsidR="00377EFE" w:rsidRPr="00C07815" w:rsidRDefault="00377EFE" w:rsidP="00450805">
            <w:pPr>
              <w:jc w:val="center"/>
              <w:rPr>
                <w:sz w:val="21"/>
                <w:szCs w:val="21"/>
                <w:lang w:val="en-US"/>
              </w:rPr>
            </w:pPr>
            <w:r w:rsidRPr="00C07815">
              <w:rPr>
                <w:sz w:val="21"/>
                <w:szCs w:val="21"/>
                <w:lang w:val="en-US"/>
              </w:rPr>
              <w:lastRenderedPageBreak/>
              <w:t>19 children of ZIKV infected mothers</w:t>
            </w:r>
          </w:p>
        </w:tc>
        <w:tc>
          <w:tcPr>
            <w:tcW w:w="0" w:type="auto"/>
            <w:tcBorders>
              <w:top w:val="single" w:sz="4" w:space="0" w:color="BFBFBF" w:themeColor="background1" w:themeShade="BF"/>
              <w:bottom w:val="single" w:sz="4" w:space="0" w:color="BFBFBF" w:themeColor="background1" w:themeShade="BF"/>
            </w:tcBorders>
            <w:vAlign w:val="center"/>
          </w:tcPr>
          <w:p w14:paraId="0A128363" w14:textId="77777777" w:rsidR="00377EFE" w:rsidRPr="00C07815" w:rsidRDefault="00377EFE" w:rsidP="00C07815">
            <w:pPr>
              <w:jc w:val="center"/>
              <w:rPr>
                <w:sz w:val="21"/>
                <w:szCs w:val="21"/>
                <w:lang w:val="en-US"/>
              </w:rPr>
            </w:pPr>
            <w:r w:rsidRPr="00C07815">
              <w:rPr>
                <w:sz w:val="21"/>
                <w:szCs w:val="21"/>
                <w:lang w:val="en-US"/>
              </w:rPr>
              <w:t>NR</w:t>
            </w:r>
          </w:p>
        </w:tc>
        <w:tc>
          <w:tcPr>
            <w:tcW w:w="0" w:type="auto"/>
            <w:tcBorders>
              <w:top w:val="single" w:sz="4" w:space="0" w:color="BFBFBF" w:themeColor="background1" w:themeShade="BF"/>
              <w:bottom w:val="single" w:sz="4" w:space="0" w:color="BFBFBF" w:themeColor="background1" w:themeShade="BF"/>
            </w:tcBorders>
            <w:vAlign w:val="center"/>
          </w:tcPr>
          <w:p w14:paraId="034716A1" w14:textId="7A04664C" w:rsidR="00377EFE" w:rsidRPr="00C07815" w:rsidRDefault="00377EFE" w:rsidP="00C07815">
            <w:pPr>
              <w:jc w:val="center"/>
              <w:rPr>
                <w:sz w:val="21"/>
                <w:szCs w:val="21"/>
                <w:lang w:val="en-US"/>
              </w:rPr>
            </w:pPr>
            <w:r w:rsidRPr="00C07815">
              <w:rPr>
                <w:sz w:val="21"/>
                <w:szCs w:val="21"/>
                <w:lang w:val="en-US"/>
              </w:rPr>
              <w:t>1-7 m</w:t>
            </w:r>
          </w:p>
        </w:tc>
        <w:tc>
          <w:tcPr>
            <w:tcW w:w="0" w:type="auto"/>
            <w:tcBorders>
              <w:top w:val="single" w:sz="4" w:space="0" w:color="BFBFBF" w:themeColor="background1" w:themeShade="BF"/>
              <w:bottom w:val="single" w:sz="4" w:space="0" w:color="BFBFBF" w:themeColor="background1" w:themeShade="BF"/>
            </w:tcBorders>
            <w:vAlign w:val="center"/>
          </w:tcPr>
          <w:p w14:paraId="593BD1AA" w14:textId="77777777" w:rsidR="00377EFE" w:rsidRPr="00C07815" w:rsidRDefault="00377EFE" w:rsidP="00C07815">
            <w:pPr>
              <w:jc w:val="center"/>
              <w:rPr>
                <w:sz w:val="21"/>
                <w:szCs w:val="21"/>
                <w:lang w:val="en-US"/>
              </w:rPr>
            </w:pPr>
            <w:r w:rsidRPr="00C07815">
              <w:rPr>
                <w:sz w:val="21"/>
                <w:szCs w:val="21"/>
                <w:lang w:val="en-US"/>
              </w:rPr>
              <w:t>Neuro exam</w:t>
            </w:r>
          </w:p>
          <w:p w14:paraId="66E742EB" w14:textId="77777777" w:rsidR="00377EFE" w:rsidRPr="00C07815" w:rsidRDefault="00377EFE" w:rsidP="00C07815">
            <w:pPr>
              <w:jc w:val="center"/>
              <w:rPr>
                <w:sz w:val="21"/>
                <w:szCs w:val="21"/>
                <w:lang w:val="en-US"/>
              </w:rPr>
            </w:pPr>
            <w:r w:rsidRPr="00C07815">
              <w:rPr>
                <w:sz w:val="21"/>
                <w:szCs w:val="21"/>
                <w:lang w:val="en-US"/>
              </w:rPr>
              <w:t>AIMS</w:t>
            </w:r>
          </w:p>
          <w:p w14:paraId="50FF323F" w14:textId="77777777" w:rsidR="00377EFE" w:rsidRPr="00C07815" w:rsidRDefault="00377EFE" w:rsidP="00C07815">
            <w:pPr>
              <w:jc w:val="center"/>
              <w:rPr>
                <w:sz w:val="21"/>
                <w:szCs w:val="21"/>
                <w:lang w:val="en-US"/>
              </w:rPr>
            </w:pPr>
            <w:r w:rsidRPr="00C07815">
              <w:rPr>
                <w:sz w:val="21"/>
                <w:szCs w:val="21"/>
                <w:lang w:val="en-US"/>
              </w:rPr>
              <w:t>DDST-II</w:t>
            </w:r>
          </w:p>
        </w:tc>
        <w:tc>
          <w:tcPr>
            <w:tcW w:w="0" w:type="auto"/>
            <w:tcBorders>
              <w:top w:val="single" w:sz="4" w:space="0" w:color="BFBFBF" w:themeColor="background1" w:themeShade="BF"/>
              <w:bottom w:val="single" w:sz="4" w:space="0" w:color="BFBFBF" w:themeColor="background1" w:themeShade="BF"/>
            </w:tcBorders>
            <w:vAlign w:val="center"/>
          </w:tcPr>
          <w:p w14:paraId="693784E8" w14:textId="5477DAB2" w:rsidR="00377EFE" w:rsidRPr="00C07815" w:rsidRDefault="00377EFE" w:rsidP="00450805">
            <w:pPr>
              <w:jc w:val="both"/>
              <w:rPr>
                <w:sz w:val="21"/>
                <w:szCs w:val="21"/>
                <w:lang w:val="en-US" w:eastAsia="en-US"/>
              </w:rPr>
            </w:pPr>
            <w:r w:rsidRPr="00C07815">
              <w:rPr>
                <w:sz w:val="21"/>
                <w:szCs w:val="21"/>
                <w:lang w:val="en-US"/>
              </w:rPr>
              <w:t xml:space="preserve">Only one child had a normal neurological evaluation. All others (18) had some signs of developmental abnormality: </w:t>
            </w:r>
            <w:r w:rsidRPr="00C07815">
              <w:rPr>
                <w:sz w:val="21"/>
                <w:szCs w:val="21"/>
                <w:lang w:val="en-US" w:eastAsia="en-US"/>
              </w:rPr>
              <w:t xml:space="preserve">Hypotonia (2), hypertonia (16), Ataxia (10), dyskinesia (8), irritability (8), postural </w:t>
            </w:r>
            <w:r w:rsidR="00450805" w:rsidRPr="00C07815">
              <w:rPr>
                <w:sz w:val="21"/>
                <w:szCs w:val="21"/>
                <w:lang w:val="en-US" w:eastAsia="en-US"/>
              </w:rPr>
              <w:t>asymmetry</w:t>
            </w:r>
            <w:r w:rsidRPr="00C07815">
              <w:rPr>
                <w:sz w:val="21"/>
                <w:szCs w:val="21"/>
                <w:lang w:val="en-US" w:eastAsia="en-US"/>
              </w:rPr>
              <w:t xml:space="preserve"> (6). </w:t>
            </w:r>
          </w:p>
          <w:p w14:paraId="11F2B950" w14:textId="77777777" w:rsidR="00377EFE" w:rsidRPr="00C07815" w:rsidRDefault="00377EFE" w:rsidP="00450805">
            <w:pPr>
              <w:jc w:val="both"/>
              <w:rPr>
                <w:sz w:val="21"/>
                <w:szCs w:val="21"/>
                <w:lang w:val="en-US"/>
              </w:rPr>
            </w:pPr>
            <w:r w:rsidRPr="00C07815">
              <w:rPr>
                <w:sz w:val="21"/>
                <w:szCs w:val="21"/>
                <w:lang w:val="en-US" w:eastAsia="en-US"/>
              </w:rPr>
              <w:t>AIMS: normal 12 (63%); suspect (4); delay (3); DDST-II: normal 12 (63%), suspect 7 (37%).</w:t>
            </w:r>
          </w:p>
        </w:tc>
      </w:tr>
      <w:tr w:rsidR="00C07815" w:rsidRPr="00C07815" w14:paraId="70F13267" w14:textId="77777777" w:rsidTr="00450805">
        <w:trPr>
          <w:trHeight w:val="1123"/>
        </w:trPr>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6D257F07" w14:textId="77777777" w:rsidR="00377EFE" w:rsidRPr="00D56A23" w:rsidRDefault="00377EFE" w:rsidP="00C07815">
            <w:pPr>
              <w:rPr>
                <w:rFonts w:eastAsia="Times New Roman"/>
                <w:sz w:val="21"/>
                <w:szCs w:val="21"/>
                <w:lang w:val="en-US" w:eastAsia="pt-BR"/>
              </w:rPr>
            </w:pPr>
            <w:r w:rsidRPr="00D56A23">
              <w:rPr>
                <w:rStyle w:val="tlid-translation"/>
                <w:sz w:val="21"/>
                <w:szCs w:val="21"/>
                <w:lang w:val="en-US"/>
              </w:rPr>
              <w:t xml:space="preserve">Cross-sectional: </w:t>
            </w:r>
          </w:p>
          <w:p w14:paraId="52872840" w14:textId="3F9861C4" w:rsidR="00377EFE" w:rsidRPr="00D56A23" w:rsidRDefault="00377EFE" w:rsidP="00C07815">
            <w:pPr>
              <w:rPr>
                <w:rStyle w:val="tlid-translation"/>
                <w:sz w:val="21"/>
                <w:szCs w:val="21"/>
                <w:lang w:val="en-US"/>
              </w:rPr>
            </w:pPr>
            <w:r w:rsidRPr="00D56A23">
              <w:rPr>
                <w:rStyle w:val="tlid-translation"/>
                <w:sz w:val="21"/>
                <w:szCs w:val="21"/>
                <w:lang w:val="en-US"/>
              </w:rPr>
              <w:t>Valdes et al.</w:t>
            </w:r>
            <w:r w:rsidR="00450805" w:rsidRPr="00D56A23">
              <w:rPr>
                <w:rStyle w:val="tlid-translation"/>
                <w:sz w:val="21"/>
                <w:szCs w:val="21"/>
                <w:lang w:val="en-US"/>
              </w:rPr>
              <w:t>,</w:t>
            </w:r>
            <w:r w:rsidRPr="00D56A23">
              <w:rPr>
                <w:rStyle w:val="tlid-translation"/>
                <w:sz w:val="21"/>
                <w:szCs w:val="21"/>
                <w:lang w:val="en-US"/>
              </w:rPr>
              <w:t xml:space="preserve"> (2019)</w:t>
            </w:r>
          </w:p>
          <w:p w14:paraId="26201111" w14:textId="77777777" w:rsidR="00377EFE" w:rsidRPr="00D56A23" w:rsidRDefault="00377EFE" w:rsidP="00C07815">
            <w:pPr>
              <w:rPr>
                <w:sz w:val="21"/>
                <w:szCs w:val="21"/>
                <w:vertAlign w:val="superscript"/>
                <w:lang w:val="en-US"/>
              </w:rPr>
            </w:pPr>
            <w:r w:rsidRPr="00D56A23">
              <w:rPr>
                <w:rStyle w:val="tlid-translation"/>
                <w:sz w:val="21"/>
                <w:szCs w:val="21"/>
                <w:lang w:val="en-US"/>
              </w:rPr>
              <w:t>Puerto Rico</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30277F3" w14:textId="3D524F22" w:rsidR="00377EFE" w:rsidRPr="00C07815" w:rsidRDefault="00377EFE" w:rsidP="00450805">
            <w:pPr>
              <w:jc w:val="center"/>
              <w:rPr>
                <w:sz w:val="21"/>
                <w:szCs w:val="21"/>
                <w:lang w:val="en-US"/>
              </w:rPr>
            </w:pPr>
            <w:r w:rsidRPr="00C07815">
              <w:rPr>
                <w:sz w:val="21"/>
                <w:szCs w:val="21"/>
                <w:lang w:val="en-US"/>
              </w:rPr>
              <w:t>65 infants of ZIKV infected mothers</w:t>
            </w:r>
          </w:p>
          <w:p w14:paraId="10C051F0" w14:textId="49016E18" w:rsidR="00377EFE" w:rsidRPr="00C07815" w:rsidRDefault="00377EFE" w:rsidP="00450805">
            <w:pPr>
              <w:jc w:val="center"/>
              <w:rPr>
                <w:sz w:val="21"/>
                <w:szCs w:val="21"/>
                <w:lang w:val="en-US"/>
              </w:rPr>
            </w:pPr>
            <w:r w:rsidRPr="00C07815">
              <w:rPr>
                <w:sz w:val="21"/>
                <w:szCs w:val="21"/>
                <w:lang w:val="en-US"/>
              </w:rPr>
              <w:t>36 (55.4%) ZIKV negative and 29 (44.6%) ZIKV positive</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48582C5D" w14:textId="2F48BDE4" w:rsidR="00377EFE" w:rsidRPr="00C07815" w:rsidRDefault="00377EFE" w:rsidP="00D56A23">
            <w:pPr>
              <w:jc w:val="center"/>
              <w:rPr>
                <w:sz w:val="21"/>
                <w:szCs w:val="21"/>
                <w:lang w:val="en-US"/>
              </w:rPr>
            </w:pPr>
            <w:r w:rsidRPr="00C07815">
              <w:rPr>
                <w:sz w:val="21"/>
                <w:szCs w:val="21"/>
                <w:lang w:val="en-US"/>
              </w:rPr>
              <w:t>Yes</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79AAB536" w14:textId="77777777" w:rsidR="00377EFE" w:rsidRPr="00C07815" w:rsidRDefault="00377EFE" w:rsidP="00C07815">
            <w:pPr>
              <w:jc w:val="center"/>
              <w:rPr>
                <w:sz w:val="21"/>
                <w:szCs w:val="21"/>
                <w:lang w:val="en-US"/>
              </w:rPr>
            </w:pPr>
            <w:r w:rsidRPr="00C07815">
              <w:rPr>
                <w:sz w:val="21"/>
                <w:szCs w:val="21"/>
                <w:lang w:val="en-US"/>
              </w:rPr>
              <w:t>8.98±3.19 m</w:t>
            </w:r>
          </w:p>
          <w:p w14:paraId="24F6D91F" w14:textId="77777777" w:rsidR="00377EFE" w:rsidRPr="00C07815" w:rsidRDefault="00377EFE" w:rsidP="00C07815">
            <w:pPr>
              <w:jc w:val="center"/>
              <w:rPr>
                <w:sz w:val="21"/>
                <w:szCs w:val="21"/>
                <w:lang w:val="en-US"/>
              </w:rPr>
            </w:pPr>
            <w:r w:rsidRPr="00C07815">
              <w:rPr>
                <w:sz w:val="21"/>
                <w:szCs w:val="21"/>
                <w:lang w:val="en-US"/>
              </w:rPr>
              <w:t>(9-12)</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2CF44185" w14:textId="77777777" w:rsidR="00377EFE" w:rsidRPr="00C07815" w:rsidRDefault="00377EFE" w:rsidP="00C07815">
            <w:pPr>
              <w:jc w:val="center"/>
              <w:rPr>
                <w:sz w:val="21"/>
                <w:szCs w:val="21"/>
                <w:lang w:val="en-US"/>
              </w:rPr>
            </w:pPr>
            <w:r w:rsidRPr="00C07815">
              <w:rPr>
                <w:sz w:val="21"/>
                <w:szCs w:val="21"/>
                <w:lang w:val="en-US"/>
              </w:rPr>
              <w:t>MSEL</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31825B31" w14:textId="77777777" w:rsidR="00377EFE" w:rsidRPr="00C07815" w:rsidRDefault="00377EFE" w:rsidP="00450805">
            <w:pPr>
              <w:autoSpaceDE w:val="0"/>
              <w:autoSpaceDN w:val="0"/>
              <w:adjustRightInd w:val="0"/>
              <w:jc w:val="both"/>
              <w:rPr>
                <w:sz w:val="21"/>
                <w:szCs w:val="21"/>
                <w:lang w:val="en-US" w:eastAsia="en-US"/>
              </w:rPr>
            </w:pPr>
            <w:r w:rsidRPr="00C07815">
              <w:rPr>
                <w:sz w:val="21"/>
                <w:szCs w:val="21"/>
                <w:lang w:val="en-US" w:eastAsia="en-US"/>
              </w:rPr>
              <w:t>General cognitive and motor scores did not differ between ZIKV positive and ZIKV negative, except for receptive language score. ZIKV+ and Hurricane Maria exposure were associated with lower receptive language.</w:t>
            </w:r>
          </w:p>
        </w:tc>
      </w:tr>
      <w:tr w:rsidR="00C07815" w:rsidRPr="00C07815" w14:paraId="36330750" w14:textId="77777777" w:rsidTr="00450805">
        <w:trPr>
          <w:trHeight w:val="1852"/>
        </w:trPr>
        <w:tc>
          <w:tcPr>
            <w:tcW w:w="0" w:type="auto"/>
            <w:tcBorders>
              <w:top w:val="single" w:sz="4" w:space="0" w:color="BFBFBF" w:themeColor="background1" w:themeShade="BF"/>
              <w:bottom w:val="single" w:sz="4" w:space="0" w:color="BFBFBF" w:themeColor="background1" w:themeShade="BF"/>
            </w:tcBorders>
            <w:vAlign w:val="center"/>
          </w:tcPr>
          <w:p w14:paraId="70277DD2" w14:textId="77777777" w:rsidR="00377EFE" w:rsidRPr="00D56A23" w:rsidRDefault="00377EFE" w:rsidP="00C07815">
            <w:pPr>
              <w:rPr>
                <w:sz w:val="21"/>
                <w:szCs w:val="21"/>
                <w:lang w:val="en-US"/>
              </w:rPr>
            </w:pPr>
            <w:r w:rsidRPr="00D56A23">
              <w:rPr>
                <w:sz w:val="21"/>
                <w:szCs w:val="21"/>
                <w:lang w:val="en-US"/>
              </w:rPr>
              <w:t>Cohort study.</w:t>
            </w:r>
          </w:p>
          <w:p w14:paraId="3612CA6A" w14:textId="77777777" w:rsidR="00377EFE" w:rsidRPr="00D56A23" w:rsidRDefault="00377EFE" w:rsidP="00C07815">
            <w:pPr>
              <w:rPr>
                <w:sz w:val="21"/>
                <w:szCs w:val="21"/>
                <w:lang w:val="en-US"/>
              </w:rPr>
            </w:pPr>
            <w:r w:rsidRPr="00D56A23">
              <w:rPr>
                <w:sz w:val="21"/>
                <w:szCs w:val="21"/>
                <w:lang w:val="en-US"/>
              </w:rPr>
              <w:t>No control group</w:t>
            </w:r>
          </w:p>
          <w:p w14:paraId="09EC185B" w14:textId="53EB602A" w:rsidR="00377EFE" w:rsidRPr="00D56A23" w:rsidRDefault="00377EFE" w:rsidP="00C07815">
            <w:pPr>
              <w:rPr>
                <w:sz w:val="21"/>
                <w:szCs w:val="21"/>
                <w:lang w:val="en-US"/>
              </w:rPr>
            </w:pPr>
            <w:r w:rsidRPr="00D56A23">
              <w:rPr>
                <w:sz w:val="21"/>
                <w:szCs w:val="21"/>
                <w:lang w:val="en-US"/>
              </w:rPr>
              <w:t>Bertolli et al.</w:t>
            </w:r>
            <w:r w:rsidR="00450805" w:rsidRPr="00D56A23">
              <w:rPr>
                <w:sz w:val="21"/>
                <w:szCs w:val="21"/>
                <w:lang w:val="en-US"/>
              </w:rPr>
              <w:t>,</w:t>
            </w:r>
            <w:r w:rsidRPr="00D56A23">
              <w:rPr>
                <w:sz w:val="21"/>
                <w:szCs w:val="21"/>
                <w:lang w:val="en-US"/>
              </w:rPr>
              <w:t xml:space="preserve"> (2020)</w:t>
            </w:r>
          </w:p>
          <w:p w14:paraId="416F185A" w14:textId="77777777" w:rsidR="00377EFE" w:rsidRPr="00D56A23" w:rsidRDefault="00377EFE" w:rsidP="00C07815">
            <w:pPr>
              <w:rPr>
                <w:sz w:val="21"/>
                <w:szCs w:val="21"/>
                <w:lang w:val="en-US"/>
              </w:rPr>
            </w:pPr>
            <w:r w:rsidRPr="00D56A23">
              <w:rPr>
                <w:sz w:val="21"/>
                <w:szCs w:val="21"/>
                <w:lang w:val="en-US"/>
              </w:rPr>
              <w:t>Pernambuco, Brazil</w:t>
            </w:r>
          </w:p>
        </w:tc>
        <w:tc>
          <w:tcPr>
            <w:tcW w:w="0" w:type="auto"/>
            <w:tcBorders>
              <w:top w:val="single" w:sz="4" w:space="0" w:color="BFBFBF" w:themeColor="background1" w:themeShade="BF"/>
              <w:bottom w:val="single" w:sz="4" w:space="0" w:color="BFBFBF" w:themeColor="background1" w:themeShade="BF"/>
            </w:tcBorders>
            <w:vAlign w:val="center"/>
          </w:tcPr>
          <w:p w14:paraId="5E05FE80" w14:textId="0B75B2A0" w:rsidR="00377EFE" w:rsidRPr="00C07815" w:rsidRDefault="00377EFE" w:rsidP="00450805">
            <w:pPr>
              <w:jc w:val="center"/>
              <w:rPr>
                <w:sz w:val="21"/>
                <w:szCs w:val="21"/>
                <w:lang w:val="en-US"/>
              </w:rPr>
            </w:pPr>
            <w:r w:rsidRPr="00C07815">
              <w:rPr>
                <w:sz w:val="21"/>
                <w:szCs w:val="21"/>
                <w:lang w:val="en-US"/>
              </w:rPr>
              <w:t xml:space="preserve">43 infants with anthropometric and laboratory criteria vs 77 with only laboratory or </w:t>
            </w:r>
            <w:r w:rsidR="00450805" w:rsidRPr="00C07815">
              <w:rPr>
                <w:sz w:val="21"/>
                <w:szCs w:val="21"/>
                <w:lang w:val="en-US"/>
              </w:rPr>
              <w:t>anthropometric</w:t>
            </w:r>
            <w:r w:rsidRPr="00C07815">
              <w:rPr>
                <w:sz w:val="21"/>
                <w:szCs w:val="21"/>
                <w:lang w:val="en-US"/>
              </w:rPr>
              <w:t xml:space="preserve"> criteria</w:t>
            </w:r>
          </w:p>
        </w:tc>
        <w:tc>
          <w:tcPr>
            <w:tcW w:w="0" w:type="auto"/>
            <w:tcBorders>
              <w:top w:val="single" w:sz="4" w:space="0" w:color="BFBFBF" w:themeColor="background1" w:themeShade="BF"/>
              <w:bottom w:val="single" w:sz="4" w:space="0" w:color="BFBFBF" w:themeColor="background1" w:themeShade="BF"/>
            </w:tcBorders>
            <w:vAlign w:val="center"/>
          </w:tcPr>
          <w:p w14:paraId="77AB96D6" w14:textId="77777777" w:rsidR="00377EFE" w:rsidRPr="00C07815" w:rsidRDefault="00377EFE" w:rsidP="00C07815">
            <w:pPr>
              <w:jc w:val="center"/>
              <w:rPr>
                <w:sz w:val="21"/>
                <w:szCs w:val="21"/>
                <w:lang w:val="en-US"/>
              </w:rPr>
            </w:pPr>
            <w:r w:rsidRPr="00C07815">
              <w:rPr>
                <w:sz w:val="21"/>
                <w:szCs w:val="21"/>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364B42BB" w14:textId="77777777" w:rsidR="00377EFE" w:rsidRPr="00C07815" w:rsidRDefault="00377EFE" w:rsidP="00C07815">
            <w:pPr>
              <w:jc w:val="center"/>
              <w:rPr>
                <w:sz w:val="21"/>
                <w:szCs w:val="21"/>
                <w:lang w:val="en-US"/>
              </w:rPr>
            </w:pPr>
            <w:r w:rsidRPr="00C07815">
              <w:rPr>
                <w:sz w:val="21"/>
                <w:szCs w:val="21"/>
                <w:lang w:val="en-US"/>
              </w:rPr>
              <w:t>Median age 23</w:t>
            </w:r>
          </w:p>
          <w:p w14:paraId="789AF659" w14:textId="53A30020" w:rsidR="00377EFE" w:rsidRPr="00C07815" w:rsidRDefault="00377EFE" w:rsidP="00D56A23">
            <w:pPr>
              <w:jc w:val="center"/>
              <w:rPr>
                <w:sz w:val="21"/>
                <w:szCs w:val="21"/>
                <w:lang w:val="en-US"/>
              </w:rPr>
            </w:pPr>
            <w:r w:rsidRPr="00C07815">
              <w:rPr>
                <w:sz w:val="21"/>
                <w:szCs w:val="21"/>
                <w:lang w:val="en-US"/>
              </w:rPr>
              <w:t>(19-26)</w:t>
            </w:r>
          </w:p>
        </w:tc>
        <w:tc>
          <w:tcPr>
            <w:tcW w:w="0" w:type="auto"/>
            <w:tcBorders>
              <w:top w:val="single" w:sz="4" w:space="0" w:color="BFBFBF" w:themeColor="background1" w:themeShade="BF"/>
              <w:bottom w:val="single" w:sz="4" w:space="0" w:color="BFBFBF" w:themeColor="background1" w:themeShade="BF"/>
            </w:tcBorders>
            <w:vAlign w:val="center"/>
          </w:tcPr>
          <w:p w14:paraId="6BE9B881" w14:textId="77777777" w:rsidR="00377EFE" w:rsidRPr="00C07815" w:rsidRDefault="00377EFE" w:rsidP="00C07815">
            <w:pPr>
              <w:jc w:val="center"/>
              <w:rPr>
                <w:sz w:val="21"/>
                <w:szCs w:val="21"/>
                <w:lang w:val="en-US"/>
              </w:rPr>
            </w:pPr>
            <w:r w:rsidRPr="00C07815">
              <w:rPr>
                <w:sz w:val="21"/>
                <w:szCs w:val="21"/>
                <w:lang w:val="en-US"/>
              </w:rPr>
              <w:t>HINE</w:t>
            </w:r>
          </w:p>
          <w:p w14:paraId="005824FA" w14:textId="77777777" w:rsidR="00377EFE" w:rsidRPr="00C07815" w:rsidRDefault="00377EFE" w:rsidP="00C07815">
            <w:pPr>
              <w:jc w:val="center"/>
              <w:rPr>
                <w:sz w:val="21"/>
                <w:szCs w:val="21"/>
                <w:lang w:val="en-US"/>
              </w:rPr>
            </w:pPr>
            <w:r w:rsidRPr="00C07815">
              <w:rPr>
                <w:sz w:val="21"/>
                <w:szCs w:val="21"/>
                <w:lang w:val="en-US"/>
              </w:rPr>
              <w:t>ASQ3</w:t>
            </w:r>
          </w:p>
        </w:tc>
        <w:tc>
          <w:tcPr>
            <w:tcW w:w="0" w:type="auto"/>
            <w:tcBorders>
              <w:top w:val="single" w:sz="4" w:space="0" w:color="BFBFBF" w:themeColor="background1" w:themeShade="BF"/>
              <w:bottom w:val="single" w:sz="4" w:space="0" w:color="BFBFBF" w:themeColor="background1" w:themeShade="BF"/>
            </w:tcBorders>
            <w:vAlign w:val="center"/>
          </w:tcPr>
          <w:p w14:paraId="508F44E4" w14:textId="77777777" w:rsidR="00377EFE" w:rsidRPr="00C07815" w:rsidRDefault="00377EFE" w:rsidP="00450805">
            <w:pPr>
              <w:jc w:val="both"/>
              <w:rPr>
                <w:sz w:val="21"/>
                <w:szCs w:val="21"/>
                <w:lang w:val="en-US" w:eastAsia="en-US"/>
              </w:rPr>
            </w:pPr>
            <w:r w:rsidRPr="00C07815">
              <w:rPr>
                <w:sz w:val="21"/>
                <w:szCs w:val="21"/>
                <w:lang w:val="en-US"/>
              </w:rPr>
              <w:t xml:space="preserve">Infants with anthropometric and laboratory criteria: </w:t>
            </w:r>
            <w:r w:rsidRPr="00C07815">
              <w:rPr>
                <w:sz w:val="21"/>
                <w:szCs w:val="21"/>
                <w:lang w:val="en-US" w:eastAsia="en-US"/>
              </w:rPr>
              <w:t xml:space="preserve">developmental delay (79%). </w:t>
            </w:r>
            <w:r w:rsidRPr="00C07815">
              <w:rPr>
                <w:sz w:val="21"/>
                <w:szCs w:val="21"/>
                <w:lang w:val="en-US"/>
              </w:rPr>
              <w:t xml:space="preserve">Severe motor impairment (61%), cerebral palsy (58%). </w:t>
            </w:r>
            <w:r w:rsidRPr="00C07815">
              <w:rPr>
                <w:sz w:val="21"/>
                <w:szCs w:val="21"/>
                <w:lang w:val="en-US" w:eastAsia="en-US"/>
              </w:rPr>
              <w:t>Impaired response to auditory and visual stimuli: 54% and 49, respectively. Ocular abnormalities: retinal (16%); abnormal fixation and following (37%). Seizure screening positive (43%)</w:t>
            </w:r>
          </w:p>
          <w:p w14:paraId="2352AFE7" w14:textId="7BA20AA0" w:rsidR="00377EFE" w:rsidRPr="00C07815" w:rsidRDefault="00377EFE" w:rsidP="00450805">
            <w:pPr>
              <w:jc w:val="both"/>
              <w:rPr>
                <w:sz w:val="21"/>
                <w:szCs w:val="21"/>
                <w:lang w:val="en-US"/>
              </w:rPr>
            </w:pPr>
            <w:r w:rsidRPr="00C07815">
              <w:rPr>
                <w:sz w:val="21"/>
                <w:szCs w:val="21"/>
                <w:lang w:val="en-US" w:eastAsia="en-US"/>
              </w:rPr>
              <w:t xml:space="preserve">Infants with only laboratory criteria or </w:t>
            </w:r>
            <w:r w:rsidR="00450805" w:rsidRPr="00C07815">
              <w:rPr>
                <w:sz w:val="21"/>
                <w:szCs w:val="21"/>
                <w:lang w:val="en-US" w:eastAsia="en-US"/>
              </w:rPr>
              <w:t>anthropometric</w:t>
            </w:r>
            <w:r w:rsidRPr="00C07815">
              <w:rPr>
                <w:sz w:val="21"/>
                <w:szCs w:val="21"/>
                <w:lang w:val="en-US" w:eastAsia="en-US"/>
              </w:rPr>
              <w:t xml:space="preserve"> criteria:</w:t>
            </w:r>
            <w:r w:rsidR="00450805">
              <w:rPr>
                <w:sz w:val="21"/>
                <w:szCs w:val="21"/>
                <w:lang w:val="en-US" w:eastAsia="en-US"/>
              </w:rPr>
              <w:t xml:space="preserve"> </w:t>
            </w:r>
            <w:r w:rsidRPr="00C07815">
              <w:rPr>
                <w:sz w:val="21"/>
                <w:szCs w:val="21"/>
                <w:lang w:val="en-US" w:eastAsia="en-US"/>
              </w:rPr>
              <w:t>Developmental delay mild/moderate (46%); severe (5%)</w:t>
            </w:r>
            <w:r w:rsidR="00450805">
              <w:rPr>
                <w:sz w:val="21"/>
                <w:szCs w:val="21"/>
                <w:lang w:val="en-US" w:eastAsia="en-US"/>
              </w:rPr>
              <w:t>.</w:t>
            </w:r>
          </w:p>
        </w:tc>
      </w:tr>
      <w:tr w:rsidR="00C07815" w:rsidRPr="00C07815" w14:paraId="4690A202" w14:textId="77777777" w:rsidTr="00450805">
        <w:tc>
          <w:tcPr>
            <w:tcW w:w="0" w:type="auto"/>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EAC4C19" w14:textId="77777777" w:rsidR="00377EFE" w:rsidRPr="00D56A23" w:rsidRDefault="00377EFE" w:rsidP="00C07815">
            <w:pPr>
              <w:rPr>
                <w:sz w:val="21"/>
                <w:szCs w:val="21"/>
                <w:lang w:val="en-US"/>
              </w:rPr>
            </w:pPr>
            <w:r w:rsidRPr="00D56A23">
              <w:rPr>
                <w:sz w:val="21"/>
                <w:szCs w:val="21"/>
                <w:lang w:val="en-US"/>
              </w:rPr>
              <w:t xml:space="preserve">Case-series </w:t>
            </w:r>
          </w:p>
          <w:p w14:paraId="12F0323A" w14:textId="77777777" w:rsidR="00377EFE" w:rsidRPr="00D56A23" w:rsidRDefault="00377EFE" w:rsidP="00C07815">
            <w:pPr>
              <w:rPr>
                <w:sz w:val="21"/>
                <w:szCs w:val="21"/>
                <w:lang w:val="en-US"/>
              </w:rPr>
            </w:pPr>
            <w:r w:rsidRPr="00D56A23">
              <w:rPr>
                <w:sz w:val="21"/>
                <w:szCs w:val="21"/>
                <w:lang w:val="en-US"/>
              </w:rPr>
              <w:t>No control group</w:t>
            </w:r>
          </w:p>
          <w:p w14:paraId="23C39810" w14:textId="07D4FB6F" w:rsidR="00377EFE" w:rsidRPr="00D56A23" w:rsidRDefault="00377EFE" w:rsidP="00C07815">
            <w:pPr>
              <w:rPr>
                <w:rStyle w:val="tlid-translation"/>
                <w:sz w:val="21"/>
                <w:szCs w:val="21"/>
                <w:lang w:val="en-US"/>
              </w:rPr>
            </w:pPr>
            <w:r w:rsidRPr="00D56A23">
              <w:rPr>
                <w:rStyle w:val="tlid-translation"/>
                <w:sz w:val="21"/>
                <w:szCs w:val="21"/>
                <w:lang w:val="en-US"/>
              </w:rPr>
              <w:t>Faiçal et al.</w:t>
            </w:r>
            <w:r w:rsidR="00450805" w:rsidRPr="00D56A23">
              <w:rPr>
                <w:rStyle w:val="tlid-translation"/>
                <w:sz w:val="21"/>
                <w:szCs w:val="21"/>
                <w:lang w:val="en-US"/>
              </w:rPr>
              <w:t>,</w:t>
            </w:r>
            <w:r w:rsidRPr="00D56A23">
              <w:rPr>
                <w:rStyle w:val="tlid-translation"/>
                <w:sz w:val="21"/>
                <w:szCs w:val="21"/>
                <w:lang w:val="en-US"/>
              </w:rPr>
              <w:t xml:space="preserve"> (2019) </w:t>
            </w:r>
          </w:p>
          <w:p w14:paraId="15FF5CEA" w14:textId="10604468" w:rsidR="00377EFE" w:rsidRPr="00D56A23" w:rsidRDefault="00377EFE" w:rsidP="00D56A23">
            <w:pPr>
              <w:rPr>
                <w:sz w:val="21"/>
                <w:szCs w:val="21"/>
                <w:lang w:val="en-US"/>
              </w:rPr>
            </w:pPr>
            <w:r w:rsidRPr="00D56A23">
              <w:rPr>
                <w:sz w:val="21"/>
                <w:szCs w:val="20"/>
                <w:lang w:val="en-US"/>
              </w:rPr>
              <w:t>Salvador, Brazil</w:t>
            </w:r>
          </w:p>
        </w:tc>
        <w:tc>
          <w:tcPr>
            <w:tcW w:w="0" w:type="auto"/>
            <w:tcBorders>
              <w:top w:val="single" w:sz="4" w:space="0" w:color="BFBFBF" w:themeColor="background1" w:themeShade="BF"/>
              <w:bottom w:val="single" w:sz="4" w:space="0" w:color="BFBFBF" w:themeColor="background1" w:themeShade="BF"/>
            </w:tcBorders>
            <w:vAlign w:val="center"/>
          </w:tcPr>
          <w:p w14:paraId="02A0DADC" w14:textId="582D0EF0" w:rsidR="00377EFE" w:rsidRPr="00C07815" w:rsidRDefault="00377EFE" w:rsidP="00D56A23">
            <w:pPr>
              <w:jc w:val="center"/>
              <w:rPr>
                <w:sz w:val="21"/>
                <w:szCs w:val="21"/>
                <w:lang w:val="en-US"/>
              </w:rPr>
            </w:pPr>
            <w:r w:rsidRPr="00C07815">
              <w:rPr>
                <w:sz w:val="21"/>
                <w:szCs w:val="21"/>
                <w:lang w:val="en-US"/>
              </w:rPr>
              <w:t>29 children of ZIKV infected mothers</w:t>
            </w:r>
          </w:p>
        </w:tc>
        <w:tc>
          <w:tcPr>
            <w:tcW w:w="0" w:type="auto"/>
            <w:tcBorders>
              <w:top w:val="single" w:sz="4" w:space="0" w:color="BFBFBF" w:themeColor="background1" w:themeShade="BF"/>
              <w:bottom w:val="single" w:sz="4" w:space="0" w:color="BFBFBF" w:themeColor="background1" w:themeShade="BF"/>
            </w:tcBorders>
            <w:vAlign w:val="center"/>
          </w:tcPr>
          <w:p w14:paraId="6FF8EDBB" w14:textId="77777777" w:rsidR="00377EFE" w:rsidRPr="00C07815" w:rsidRDefault="00377EFE" w:rsidP="00C07815">
            <w:pPr>
              <w:jc w:val="center"/>
              <w:rPr>
                <w:sz w:val="21"/>
                <w:szCs w:val="21"/>
                <w:lang w:val="en-US"/>
              </w:rPr>
            </w:pPr>
            <w:r w:rsidRPr="00C07815">
              <w:rPr>
                <w:sz w:val="21"/>
                <w:szCs w:val="21"/>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12780163" w14:textId="77777777" w:rsidR="00377EFE" w:rsidRPr="00C07815" w:rsidRDefault="00377EFE" w:rsidP="00C07815">
            <w:pPr>
              <w:jc w:val="center"/>
              <w:rPr>
                <w:sz w:val="21"/>
                <w:szCs w:val="21"/>
                <w:lang w:val="en-US"/>
              </w:rPr>
            </w:pPr>
            <w:r w:rsidRPr="00C07815">
              <w:rPr>
                <w:sz w:val="21"/>
                <w:szCs w:val="21"/>
                <w:lang w:val="en-US"/>
              </w:rPr>
              <w:t>18.2 ±3.8</w:t>
            </w:r>
          </w:p>
        </w:tc>
        <w:tc>
          <w:tcPr>
            <w:tcW w:w="0" w:type="auto"/>
            <w:tcBorders>
              <w:top w:val="single" w:sz="4" w:space="0" w:color="BFBFBF" w:themeColor="background1" w:themeShade="BF"/>
              <w:bottom w:val="single" w:sz="4" w:space="0" w:color="BFBFBF" w:themeColor="background1" w:themeShade="BF"/>
            </w:tcBorders>
            <w:vAlign w:val="center"/>
          </w:tcPr>
          <w:p w14:paraId="20D9E086" w14:textId="77777777" w:rsidR="00377EFE" w:rsidRPr="00C07815" w:rsidRDefault="00377EFE" w:rsidP="00C07815">
            <w:pPr>
              <w:jc w:val="center"/>
              <w:rPr>
                <w:sz w:val="21"/>
                <w:szCs w:val="21"/>
                <w:lang w:val="en-US"/>
              </w:rPr>
            </w:pPr>
            <w:r w:rsidRPr="00C07815">
              <w:rPr>
                <w:sz w:val="21"/>
                <w:szCs w:val="21"/>
                <w:lang w:val="en-US"/>
              </w:rPr>
              <w:t>BSID-III</w:t>
            </w:r>
          </w:p>
          <w:p w14:paraId="618738F0" w14:textId="77777777" w:rsidR="00377EFE" w:rsidRPr="00C07815" w:rsidRDefault="00377EFE" w:rsidP="00C07815">
            <w:pPr>
              <w:jc w:val="center"/>
              <w:rPr>
                <w:sz w:val="21"/>
                <w:szCs w:val="21"/>
                <w:lang w:val="en-US"/>
              </w:rPr>
            </w:pPr>
            <w:r w:rsidRPr="00C07815">
              <w:rPr>
                <w:sz w:val="21"/>
                <w:szCs w:val="21"/>
                <w:lang w:val="en-US" w:eastAsia="en-US"/>
              </w:rPr>
              <w:t>Ophthalmological evaluation</w:t>
            </w:r>
          </w:p>
        </w:tc>
        <w:tc>
          <w:tcPr>
            <w:tcW w:w="0" w:type="auto"/>
            <w:tcBorders>
              <w:top w:val="single" w:sz="4" w:space="0" w:color="BFBFBF" w:themeColor="background1" w:themeShade="BF"/>
              <w:bottom w:val="single" w:sz="4" w:space="0" w:color="BFBFBF" w:themeColor="background1" w:themeShade="BF"/>
            </w:tcBorders>
          </w:tcPr>
          <w:p w14:paraId="1BA03B3D" w14:textId="77777777" w:rsidR="00377EFE" w:rsidRPr="00C07815" w:rsidRDefault="00377EFE" w:rsidP="00450805">
            <w:pPr>
              <w:pStyle w:val="p1"/>
              <w:spacing w:line="240" w:lineRule="auto"/>
              <w:ind w:firstLine="0"/>
              <w:rPr>
                <w:rFonts w:ascii="Times New Roman" w:hAnsi="Times New Roman"/>
                <w:sz w:val="21"/>
                <w:szCs w:val="21"/>
                <w:lang w:val="en-US"/>
              </w:rPr>
            </w:pPr>
            <w:r w:rsidRPr="00C07815">
              <w:rPr>
                <w:rFonts w:ascii="Times New Roman" w:hAnsi="Times New Roman"/>
                <w:sz w:val="21"/>
                <w:szCs w:val="21"/>
                <w:lang w:val="en-US" w:eastAsia="en-US"/>
              </w:rPr>
              <w:t xml:space="preserve">Delay in at least one of the BSID-III scale domains (34%), language delay (31%). </w:t>
            </w:r>
            <w:r w:rsidRPr="00C07815">
              <w:rPr>
                <w:rFonts w:ascii="Times New Roman" w:hAnsi="Times New Roman"/>
                <w:sz w:val="21"/>
                <w:szCs w:val="21"/>
                <w:lang w:val="en-US"/>
              </w:rPr>
              <w:t>Language function was the most impaired domain among the children evaluated.</w:t>
            </w:r>
          </w:p>
          <w:p w14:paraId="6D0D43C9" w14:textId="515234DF" w:rsidR="00377EFE" w:rsidRPr="00C07815" w:rsidRDefault="00377EFE" w:rsidP="00450805">
            <w:pPr>
              <w:autoSpaceDE w:val="0"/>
              <w:autoSpaceDN w:val="0"/>
              <w:adjustRightInd w:val="0"/>
              <w:jc w:val="both"/>
              <w:rPr>
                <w:sz w:val="21"/>
                <w:szCs w:val="21"/>
                <w:lang w:val="en-US"/>
              </w:rPr>
            </w:pPr>
            <w:r w:rsidRPr="00C07815">
              <w:rPr>
                <w:sz w:val="21"/>
                <w:szCs w:val="21"/>
                <w:lang w:val="en-US"/>
              </w:rPr>
              <w:t>Cognitive: mean 102.2 ±16.9. Range 70-145.</w:t>
            </w:r>
            <w:r w:rsidR="00450805">
              <w:rPr>
                <w:sz w:val="21"/>
                <w:szCs w:val="21"/>
                <w:lang w:val="en-US"/>
              </w:rPr>
              <w:t xml:space="preserve"> </w:t>
            </w:r>
            <w:r w:rsidRPr="00C07815">
              <w:rPr>
                <w:sz w:val="21"/>
                <w:szCs w:val="21"/>
                <w:lang w:val="en-US"/>
              </w:rPr>
              <w:t xml:space="preserve">&lt; 70: 0; 70-84: 13.8%. Language: mean 93.8±18.5. Range 47-135. &lt; 70: 2, 70-84: 24%. Motor: mean 103.5±12.0. Range 79-127. &lt; 70: 0, 70-84: 3.4%. </w:t>
            </w:r>
          </w:p>
          <w:p w14:paraId="30EE71CD" w14:textId="77777777" w:rsidR="00377EFE" w:rsidRPr="00C07815" w:rsidRDefault="00377EFE" w:rsidP="00450805">
            <w:pPr>
              <w:autoSpaceDE w:val="0"/>
              <w:autoSpaceDN w:val="0"/>
              <w:adjustRightInd w:val="0"/>
              <w:jc w:val="both"/>
              <w:rPr>
                <w:sz w:val="21"/>
                <w:szCs w:val="21"/>
                <w:lang w:val="en-US"/>
              </w:rPr>
            </w:pPr>
            <w:r w:rsidRPr="00C07815">
              <w:rPr>
                <w:sz w:val="21"/>
                <w:szCs w:val="21"/>
                <w:lang w:val="en-US" w:eastAsia="en-US"/>
              </w:rPr>
              <w:t>Ophthalmological evaluations:  no abnormalities identified.</w:t>
            </w:r>
          </w:p>
        </w:tc>
      </w:tr>
      <w:tr w:rsidR="00C07815" w:rsidRPr="00C07815" w14:paraId="56332075" w14:textId="77777777" w:rsidTr="00450805">
        <w:trPr>
          <w:trHeight w:val="312"/>
        </w:trPr>
        <w:tc>
          <w:tcPr>
            <w:tcW w:w="0" w:type="auto"/>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5A40D14" w14:textId="77777777" w:rsidR="00377EFE" w:rsidRPr="00D56A23" w:rsidRDefault="00377EFE" w:rsidP="00C07815">
            <w:pPr>
              <w:rPr>
                <w:sz w:val="21"/>
                <w:szCs w:val="21"/>
                <w:lang w:val="en-US"/>
              </w:rPr>
            </w:pPr>
            <w:r w:rsidRPr="00D56A23">
              <w:rPr>
                <w:sz w:val="21"/>
                <w:szCs w:val="21"/>
                <w:lang w:val="en-US"/>
              </w:rPr>
              <w:t>Cohort study</w:t>
            </w:r>
          </w:p>
          <w:p w14:paraId="719696BF" w14:textId="77777777" w:rsidR="00377EFE" w:rsidRPr="00D56A23" w:rsidRDefault="00377EFE" w:rsidP="00C07815">
            <w:pPr>
              <w:rPr>
                <w:sz w:val="21"/>
                <w:szCs w:val="21"/>
                <w:lang w:val="en-US"/>
              </w:rPr>
            </w:pPr>
            <w:r w:rsidRPr="00D56A23">
              <w:rPr>
                <w:sz w:val="21"/>
                <w:szCs w:val="21"/>
                <w:lang w:val="en-US"/>
              </w:rPr>
              <w:t>No control group</w:t>
            </w:r>
          </w:p>
          <w:p w14:paraId="39221F77" w14:textId="10BE9271" w:rsidR="00377EFE" w:rsidRPr="00D56A23" w:rsidRDefault="00377EFE" w:rsidP="00C07815">
            <w:pPr>
              <w:rPr>
                <w:sz w:val="21"/>
                <w:szCs w:val="21"/>
                <w:lang w:val="en-US"/>
              </w:rPr>
            </w:pPr>
            <w:r w:rsidRPr="00D56A23">
              <w:rPr>
                <w:sz w:val="21"/>
                <w:szCs w:val="21"/>
                <w:lang w:val="en-US"/>
              </w:rPr>
              <w:t>Mulkey et al.</w:t>
            </w:r>
            <w:r w:rsidR="00450805" w:rsidRPr="00D56A23">
              <w:rPr>
                <w:sz w:val="21"/>
                <w:szCs w:val="21"/>
                <w:lang w:val="en-US"/>
              </w:rPr>
              <w:t>,</w:t>
            </w:r>
            <w:r w:rsidRPr="00D56A23">
              <w:rPr>
                <w:sz w:val="21"/>
                <w:szCs w:val="21"/>
                <w:lang w:val="en-US"/>
              </w:rPr>
              <w:t xml:space="preserve"> (2020)</w:t>
            </w:r>
          </w:p>
          <w:p w14:paraId="6D1DD84B" w14:textId="77777777" w:rsidR="00377EFE" w:rsidRPr="00D56A23" w:rsidRDefault="00377EFE" w:rsidP="00C07815">
            <w:pPr>
              <w:rPr>
                <w:sz w:val="21"/>
                <w:szCs w:val="21"/>
                <w:lang w:val="en-US"/>
              </w:rPr>
            </w:pPr>
            <w:r w:rsidRPr="00D56A23">
              <w:rPr>
                <w:sz w:val="21"/>
                <w:szCs w:val="21"/>
                <w:lang w:val="en-US"/>
              </w:rPr>
              <w:t xml:space="preserve">Atlántico Department, </w:t>
            </w:r>
            <w:r w:rsidRPr="00D56A23">
              <w:rPr>
                <w:sz w:val="21"/>
                <w:szCs w:val="21"/>
                <w:lang w:val="en-US"/>
              </w:rPr>
              <w:lastRenderedPageBreak/>
              <w:t>Colombia, and Washington</w:t>
            </w:r>
          </w:p>
          <w:p w14:paraId="2CFF9AB3" w14:textId="77777777" w:rsidR="00377EFE" w:rsidRPr="00D56A23" w:rsidRDefault="00377EFE" w:rsidP="00C07815">
            <w:pPr>
              <w:rPr>
                <w:sz w:val="21"/>
                <w:szCs w:val="21"/>
                <w:lang w:val="en-US"/>
              </w:rPr>
            </w:pPr>
            <w:r w:rsidRPr="00D56A23">
              <w:rPr>
                <w:sz w:val="21"/>
                <w:szCs w:val="21"/>
                <w:lang w:val="en-US"/>
              </w:rPr>
              <w:t>DC, USA</w:t>
            </w:r>
          </w:p>
        </w:tc>
        <w:tc>
          <w:tcPr>
            <w:tcW w:w="0" w:type="auto"/>
            <w:tcBorders>
              <w:top w:val="single" w:sz="4" w:space="0" w:color="BFBFBF" w:themeColor="background1" w:themeShade="BF"/>
              <w:bottom w:val="single" w:sz="4" w:space="0" w:color="BFBFBF" w:themeColor="background1" w:themeShade="BF"/>
            </w:tcBorders>
            <w:vAlign w:val="center"/>
          </w:tcPr>
          <w:p w14:paraId="64DE9CC4" w14:textId="77777777" w:rsidR="00377EFE" w:rsidRPr="00C07815" w:rsidRDefault="00377EFE" w:rsidP="00C07815">
            <w:pPr>
              <w:jc w:val="center"/>
              <w:rPr>
                <w:sz w:val="21"/>
                <w:szCs w:val="21"/>
                <w:lang w:val="en-US"/>
              </w:rPr>
            </w:pPr>
            <w:r w:rsidRPr="00C07815">
              <w:rPr>
                <w:sz w:val="21"/>
                <w:szCs w:val="21"/>
                <w:lang w:val="en-US"/>
              </w:rPr>
              <w:lastRenderedPageBreak/>
              <w:t>77 children of ZIKV infected mothers</w:t>
            </w:r>
          </w:p>
          <w:p w14:paraId="4B30FFF1" w14:textId="77777777" w:rsidR="00377EFE" w:rsidRPr="00C07815" w:rsidRDefault="00377EFE" w:rsidP="00C07815">
            <w:pPr>
              <w:jc w:val="center"/>
              <w:rPr>
                <w:sz w:val="21"/>
                <w:szCs w:val="21"/>
                <w:lang w:val="en-US"/>
              </w:rPr>
            </w:pPr>
            <w:r w:rsidRPr="00C07815">
              <w:rPr>
                <w:sz w:val="21"/>
                <w:szCs w:val="21"/>
                <w:lang w:val="en-US"/>
              </w:rPr>
              <w:t>70 No CZS</w:t>
            </w:r>
          </w:p>
          <w:p w14:paraId="37450042" w14:textId="4DFD4265" w:rsidR="00377EFE" w:rsidRPr="00C07815" w:rsidRDefault="00377EFE" w:rsidP="00D56A23">
            <w:pPr>
              <w:jc w:val="center"/>
              <w:rPr>
                <w:sz w:val="21"/>
                <w:szCs w:val="21"/>
                <w:lang w:val="en-US"/>
              </w:rPr>
            </w:pPr>
            <w:r w:rsidRPr="00C07815">
              <w:rPr>
                <w:sz w:val="21"/>
                <w:szCs w:val="21"/>
                <w:lang w:val="en-US"/>
              </w:rPr>
              <w:t>7 CZS</w:t>
            </w:r>
          </w:p>
        </w:tc>
        <w:tc>
          <w:tcPr>
            <w:tcW w:w="0" w:type="auto"/>
            <w:tcBorders>
              <w:top w:val="single" w:sz="4" w:space="0" w:color="BFBFBF" w:themeColor="background1" w:themeShade="BF"/>
              <w:bottom w:val="single" w:sz="4" w:space="0" w:color="BFBFBF" w:themeColor="background1" w:themeShade="BF"/>
            </w:tcBorders>
            <w:vAlign w:val="center"/>
          </w:tcPr>
          <w:p w14:paraId="6D27C59B" w14:textId="77777777" w:rsidR="00377EFE" w:rsidRPr="00C07815" w:rsidRDefault="00377EFE" w:rsidP="00C07815">
            <w:pPr>
              <w:jc w:val="center"/>
              <w:rPr>
                <w:sz w:val="21"/>
                <w:szCs w:val="21"/>
                <w:lang w:val="en-US"/>
              </w:rPr>
            </w:pPr>
            <w:r w:rsidRPr="00C07815">
              <w:rPr>
                <w:sz w:val="21"/>
                <w:szCs w:val="21"/>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29D4BF26" w14:textId="77777777" w:rsidR="00377EFE" w:rsidRPr="00C07815" w:rsidRDefault="00377EFE" w:rsidP="00C07815">
            <w:pPr>
              <w:jc w:val="center"/>
              <w:rPr>
                <w:sz w:val="21"/>
                <w:szCs w:val="21"/>
                <w:lang w:val="en-US"/>
              </w:rPr>
            </w:pPr>
            <w:r w:rsidRPr="00C07815">
              <w:rPr>
                <w:sz w:val="21"/>
                <w:szCs w:val="21"/>
                <w:lang w:val="en-US"/>
              </w:rPr>
              <w:t>4-18 m</w:t>
            </w:r>
          </w:p>
        </w:tc>
        <w:tc>
          <w:tcPr>
            <w:tcW w:w="0" w:type="auto"/>
            <w:tcBorders>
              <w:top w:val="single" w:sz="4" w:space="0" w:color="BFBFBF" w:themeColor="background1" w:themeShade="BF"/>
              <w:bottom w:val="single" w:sz="4" w:space="0" w:color="BFBFBF" w:themeColor="background1" w:themeShade="BF"/>
            </w:tcBorders>
            <w:vAlign w:val="center"/>
          </w:tcPr>
          <w:p w14:paraId="61B5E7C0" w14:textId="77777777" w:rsidR="00377EFE" w:rsidRPr="00C07815" w:rsidRDefault="00377EFE" w:rsidP="00C07815">
            <w:pPr>
              <w:jc w:val="center"/>
              <w:rPr>
                <w:sz w:val="21"/>
                <w:szCs w:val="21"/>
                <w:lang w:val="en-US"/>
              </w:rPr>
            </w:pPr>
            <w:r w:rsidRPr="00C07815">
              <w:rPr>
                <w:sz w:val="21"/>
                <w:szCs w:val="21"/>
                <w:lang w:val="en-US"/>
              </w:rPr>
              <w:t>WIDEA</w:t>
            </w:r>
          </w:p>
          <w:p w14:paraId="1A888D84" w14:textId="77777777" w:rsidR="00377EFE" w:rsidRPr="00C07815" w:rsidRDefault="00377EFE" w:rsidP="00C07815">
            <w:pPr>
              <w:jc w:val="center"/>
              <w:rPr>
                <w:sz w:val="21"/>
                <w:szCs w:val="21"/>
                <w:lang w:val="en-US"/>
              </w:rPr>
            </w:pPr>
            <w:r w:rsidRPr="00C07815">
              <w:rPr>
                <w:sz w:val="21"/>
                <w:szCs w:val="21"/>
                <w:lang w:val="en-US"/>
              </w:rPr>
              <w:t>AIMS</w:t>
            </w:r>
          </w:p>
        </w:tc>
        <w:tc>
          <w:tcPr>
            <w:tcW w:w="0" w:type="auto"/>
            <w:tcBorders>
              <w:top w:val="single" w:sz="4" w:space="0" w:color="BFBFBF" w:themeColor="background1" w:themeShade="BF"/>
              <w:bottom w:val="single" w:sz="4" w:space="0" w:color="BFBFBF" w:themeColor="background1" w:themeShade="BF"/>
            </w:tcBorders>
            <w:vAlign w:val="center"/>
          </w:tcPr>
          <w:p w14:paraId="03A9AF7D" w14:textId="1C3FA964" w:rsidR="00377EFE" w:rsidRPr="00C07815" w:rsidRDefault="00377EFE" w:rsidP="00450805">
            <w:pPr>
              <w:jc w:val="both"/>
              <w:rPr>
                <w:sz w:val="21"/>
                <w:szCs w:val="21"/>
                <w:lang w:val="en-US"/>
              </w:rPr>
            </w:pPr>
            <w:r w:rsidRPr="00C07815">
              <w:rPr>
                <w:sz w:val="21"/>
                <w:szCs w:val="21"/>
                <w:lang w:val="en-US"/>
              </w:rPr>
              <w:t xml:space="preserve">Of 70 without CZS, 40 (57%) infants were evaluated between 4 and 8 months of age and 60 (86%) assessed between 9 and 18 months of age. </w:t>
            </w:r>
          </w:p>
          <w:p w14:paraId="1FBDFA2C" w14:textId="77777777" w:rsidR="00377EFE" w:rsidRPr="00C07815" w:rsidRDefault="00377EFE" w:rsidP="00450805">
            <w:pPr>
              <w:jc w:val="both"/>
              <w:rPr>
                <w:sz w:val="21"/>
                <w:szCs w:val="21"/>
                <w:lang w:val="en-US"/>
              </w:rPr>
            </w:pPr>
            <w:r w:rsidRPr="00C07815">
              <w:rPr>
                <w:sz w:val="21"/>
                <w:szCs w:val="21"/>
                <w:lang w:val="en-US"/>
              </w:rPr>
              <w:t xml:space="preserve">Head circumference z scores no decline over time. The median WIDEA total score was 60.5 (58-62 IQR) at time point 1 and 102.5 (83.3-123.8) at time point 2 in the 70 infants. Multidomain neurodevelopmental assessment </w:t>
            </w:r>
            <w:r w:rsidRPr="00C07815">
              <w:rPr>
                <w:sz w:val="21"/>
                <w:szCs w:val="21"/>
                <w:lang w:val="en-US"/>
              </w:rPr>
              <w:lastRenderedPageBreak/>
              <w:t>scores deviated from normal scores as the children became older.</w:t>
            </w:r>
          </w:p>
        </w:tc>
      </w:tr>
      <w:tr w:rsidR="00C07815" w:rsidRPr="00C07815" w14:paraId="1B6C53FE" w14:textId="77777777" w:rsidTr="00450805">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271045F" w14:textId="77777777" w:rsidR="00377EFE" w:rsidRPr="00D56A23" w:rsidRDefault="00377EFE" w:rsidP="00C07815">
            <w:pPr>
              <w:rPr>
                <w:rStyle w:val="tlid-translation"/>
                <w:sz w:val="21"/>
                <w:szCs w:val="21"/>
                <w:lang w:val="en-US"/>
              </w:rPr>
            </w:pPr>
            <w:r w:rsidRPr="00D56A23">
              <w:rPr>
                <w:rStyle w:val="tlid-translation"/>
                <w:sz w:val="21"/>
                <w:szCs w:val="21"/>
                <w:lang w:val="en-US"/>
              </w:rPr>
              <w:lastRenderedPageBreak/>
              <w:t xml:space="preserve">Cross-sectional: </w:t>
            </w:r>
          </w:p>
          <w:p w14:paraId="44C15826" w14:textId="77777777" w:rsidR="00377EFE" w:rsidRPr="00D56A23" w:rsidRDefault="00377EFE" w:rsidP="00C07815">
            <w:pPr>
              <w:rPr>
                <w:rStyle w:val="tlid-translation"/>
                <w:sz w:val="21"/>
                <w:szCs w:val="21"/>
                <w:lang w:val="en-US"/>
              </w:rPr>
            </w:pPr>
            <w:r w:rsidRPr="00D56A23">
              <w:rPr>
                <w:rStyle w:val="tlid-translation"/>
                <w:sz w:val="21"/>
                <w:szCs w:val="21"/>
                <w:lang w:val="en-US"/>
              </w:rPr>
              <w:t xml:space="preserve">Control group </w:t>
            </w:r>
          </w:p>
          <w:p w14:paraId="485F8705" w14:textId="7A04A69B" w:rsidR="00377EFE" w:rsidRPr="00D56A23" w:rsidRDefault="00377EFE" w:rsidP="00C07815">
            <w:pPr>
              <w:rPr>
                <w:rStyle w:val="tlid-translation"/>
                <w:sz w:val="21"/>
                <w:szCs w:val="21"/>
                <w:lang w:val="en-US"/>
              </w:rPr>
            </w:pPr>
            <w:r w:rsidRPr="00D56A23">
              <w:rPr>
                <w:rStyle w:val="tlid-translation"/>
                <w:sz w:val="21"/>
                <w:szCs w:val="21"/>
                <w:lang w:val="en-US"/>
              </w:rPr>
              <w:t>Gerzson et al.</w:t>
            </w:r>
            <w:r w:rsidR="00450805" w:rsidRPr="00D56A23">
              <w:rPr>
                <w:rStyle w:val="tlid-translation"/>
                <w:sz w:val="21"/>
                <w:szCs w:val="21"/>
                <w:lang w:val="en-US"/>
              </w:rPr>
              <w:t>,</w:t>
            </w:r>
            <w:r w:rsidRPr="00D56A23">
              <w:rPr>
                <w:rStyle w:val="tlid-translation"/>
                <w:sz w:val="21"/>
                <w:szCs w:val="21"/>
                <w:lang w:val="en-US"/>
              </w:rPr>
              <w:t xml:space="preserve"> (2020)</w:t>
            </w:r>
          </w:p>
          <w:p w14:paraId="13CB93CD" w14:textId="77777777" w:rsidR="00377EFE" w:rsidRPr="00D56A23" w:rsidRDefault="00377EFE" w:rsidP="00C07815">
            <w:pPr>
              <w:rPr>
                <w:rFonts w:ascii="Times" w:hAnsi="Times"/>
                <w:sz w:val="21"/>
                <w:szCs w:val="14"/>
                <w:lang w:val="en-US"/>
              </w:rPr>
            </w:pPr>
            <w:r w:rsidRPr="00D56A23">
              <w:rPr>
                <w:rFonts w:ascii="Times" w:hAnsi="Times"/>
                <w:sz w:val="21"/>
                <w:szCs w:val="14"/>
                <w:lang w:val="en-US"/>
              </w:rPr>
              <w:t>Tangará da Serra, Brazil</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3F1CFCE" w14:textId="77777777" w:rsidR="00377EFE" w:rsidRPr="00C07815" w:rsidRDefault="00377EFE" w:rsidP="00C07815">
            <w:pPr>
              <w:jc w:val="center"/>
              <w:rPr>
                <w:sz w:val="21"/>
                <w:szCs w:val="21"/>
                <w:lang w:val="en-US"/>
              </w:rPr>
            </w:pPr>
            <w:r w:rsidRPr="00C07815">
              <w:rPr>
                <w:sz w:val="21"/>
                <w:szCs w:val="21"/>
                <w:lang w:val="en-US"/>
              </w:rPr>
              <w:t>17 children of ZIKV infected mothers</w:t>
            </w:r>
          </w:p>
          <w:p w14:paraId="6EBDCB61" w14:textId="77777777" w:rsidR="00377EFE" w:rsidRPr="00C07815" w:rsidRDefault="00377EFE" w:rsidP="00C07815">
            <w:pPr>
              <w:jc w:val="center"/>
              <w:rPr>
                <w:sz w:val="21"/>
                <w:szCs w:val="21"/>
                <w:lang w:val="en-US"/>
              </w:rPr>
            </w:pPr>
            <w:r w:rsidRPr="00C07815">
              <w:rPr>
                <w:sz w:val="21"/>
                <w:szCs w:val="21"/>
                <w:lang w:val="en-US"/>
              </w:rPr>
              <w:t>Control group 20</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2303543" w14:textId="77777777" w:rsidR="00377EFE" w:rsidRPr="00C07815" w:rsidRDefault="00377EFE" w:rsidP="00C07815">
            <w:pPr>
              <w:jc w:val="center"/>
              <w:rPr>
                <w:sz w:val="21"/>
                <w:szCs w:val="21"/>
                <w:shd w:val="clear" w:color="auto" w:fill="FFFFFF"/>
                <w:lang w:val="en-US"/>
              </w:rPr>
            </w:pPr>
            <w:r w:rsidRPr="00C07815">
              <w:rPr>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E7809E9" w14:textId="77777777" w:rsidR="00377EFE" w:rsidRPr="00C07815" w:rsidRDefault="00377EFE" w:rsidP="00C07815">
            <w:pPr>
              <w:jc w:val="center"/>
              <w:rPr>
                <w:sz w:val="21"/>
                <w:szCs w:val="21"/>
                <w:lang w:val="en-US"/>
              </w:rPr>
            </w:pPr>
            <w:r w:rsidRPr="00C07815">
              <w:rPr>
                <w:sz w:val="21"/>
                <w:szCs w:val="21"/>
                <w:lang w:val="en-US"/>
              </w:rPr>
              <w:t>18-29</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2E20D676" w14:textId="77777777" w:rsidR="00377EFE" w:rsidRPr="00C07815" w:rsidRDefault="00377EFE" w:rsidP="00C07815">
            <w:pPr>
              <w:jc w:val="center"/>
              <w:rPr>
                <w:sz w:val="21"/>
                <w:szCs w:val="21"/>
                <w:lang w:val="en-US"/>
              </w:rPr>
            </w:pPr>
            <w:r w:rsidRPr="00C07815">
              <w:rPr>
                <w:sz w:val="21"/>
                <w:szCs w:val="21"/>
                <w:lang w:val="en-US"/>
              </w:rPr>
              <w:t>BSID-III</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3CD03ACB" w14:textId="77777777" w:rsidR="00377EFE" w:rsidRPr="00C07815" w:rsidRDefault="00377EFE" w:rsidP="00450805">
            <w:pPr>
              <w:jc w:val="both"/>
              <w:rPr>
                <w:sz w:val="21"/>
                <w:szCs w:val="21"/>
                <w:lang w:val="en-US"/>
              </w:rPr>
            </w:pPr>
            <w:r w:rsidRPr="00C07815">
              <w:rPr>
                <w:sz w:val="21"/>
                <w:szCs w:val="21"/>
                <w:lang w:val="en-US" w:eastAsia="en-US"/>
              </w:rPr>
              <w:t xml:space="preserve">Cognitive, motor and language scores: similar to 20 non-exposed infants of the same setting and same age. Only </w:t>
            </w:r>
            <w:r w:rsidRPr="00C07815">
              <w:rPr>
                <w:sz w:val="21"/>
                <w:szCs w:val="21"/>
                <w:shd w:val="clear" w:color="auto" w:fill="FFFFFF"/>
                <w:lang w:val="en-US"/>
              </w:rPr>
              <w:t>one child in the ZIKVG presented low cognitive score, the same in the control group.</w:t>
            </w:r>
          </w:p>
        </w:tc>
      </w:tr>
      <w:tr w:rsidR="00C07815" w:rsidRPr="00C07815" w14:paraId="3DA8BAE9" w14:textId="77777777" w:rsidTr="00450805">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25DEED60" w14:textId="77777777" w:rsidR="00377EFE" w:rsidRPr="00D56A23" w:rsidRDefault="00377EFE" w:rsidP="00C07815">
            <w:pPr>
              <w:rPr>
                <w:sz w:val="21"/>
                <w:szCs w:val="21"/>
                <w:lang w:val="en-US"/>
              </w:rPr>
            </w:pPr>
            <w:r w:rsidRPr="00D56A23">
              <w:rPr>
                <w:sz w:val="21"/>
                <w:szCs w:val="21"/>
                <w:lang w:val="en-US"/>
              </w:rPr>
              <w:t xml:space="preserve">Case-series </w:t>
            </w:r>
          </w:p>
          <w:p w14:paraId="744534E4" w14:textId="77777777" w:rsidR="00377EFE" w:rsidRPr="00D56A23" w:rsidRDefault="00377EFE" w:rsidP="00C07815">
            <w:pPr>
              <w:rPr>
                <w:sz w:val="21"/>
                <w:szCs w:val="21"/>
                <w:lang w:val="en-US"/>
              </w:rPr>
            </w:pPr>
            <w:r w:rsidRPr="00D56A23">
              <w:rPr>
                <w:sz w:val="21"/>
                <w:szCs w:val="21"/>
                <w:lang w:val="en-US"/>
              </w:rPr>
              <w:t>No control group</w:t>
            </w:r>
          </w:p>
          <w:p w14:paraId="1E0B17CD" w14:textId="1F7872EF" w:rsidR="00377EFE" w:rsidRPr="00D56A23" w:rsidRDefault="00377EFE" w:rsidP="00C07815">
            <w:pPr>
              <w:rPr>
                <w:sz w:val="21"/>
                <w:szCs w:val="21"/>
                <w:lang w:val="en-US"/>
              </w:rPr>
            </w:pPr>
            <w:r w:rsidRPr="00D56A23">
              <w:rPr>
                <w:sz w:val="21"/>
                <w:szCs w:val="21"/>
                <w:lang w:val="en-US"/>
              </w:rPr>
              <w:t>Peçanha et al.</w:t>
            </w:r>
            <w:r w:rsidR="00450805" w:rsidRPr="00D56A23">
              <w:rPr>
                <w:sz w:val="21"/>
                <w:szCs w:val="21"/>
                <w:lang w:val="en-US"/>
              </w:rPr>
              <w:t>,</w:t>
            </w:r>
            <w:r w:rsidRPr="00D56A23">
              <w:rPr>
                <w:sz w:val="21"/>
                <w:szCs w:val="21"/>
                <w:lang w:val="en-US"/>
              </w:rPr>
              <w:t xml:space="preserve"> (2020)</w:t>
            </w:r>
          </w:p>
          <w:p w14:paraId="2A9CC873" w14:textId="77777777" w:rsidR="00377EFE" w:rsidRPr="00D56A23" w:rsidRDefault="00377EFE" w:rsidP="00C07815">
            <w:pPr>
              <w:rPr>
                <w:rStyle w:val="tlid-translation"/>
                <w:sz w:val="21"/>
                <w:szCs w:val="21"/>
                <w:lang w:val="en-US"/>
              </w:rPr>
            </w:pPr>
            <w:r w:rsidRPr="00D56A23">
              <w:rPr>
                <w:sz w:val="21"/>
                <w:szCs w:val="21"/>
                <w:lang w:val="en-US"/>
              </w:rPr>
              <w:t>Rio de Janeiro, Brazil</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5BC2A75C" w14:textId="77777777" w:rsidR="00377EFE" w:rsidRPr="00C07815" w:rsidRDefault="00377EFE" w:rsidP="00C07815">
            <w:pPr>
              <w:jc w:val="center"/>
              <w:rPr>
                <w:sz w:val="21"/>
                <w:szCs w:val="21"/>
                <w:lang w:val="en-US"/>
              </w:rPr>
            </w:pPr>
            <w:r w:rsidRPr="00C07815">
              <w:rPr>
                <w:sz w:val="21"/>
                <w:szCs w:val="21"/>
                <w:lang w:val="en-US"/>
              </w:rPr>
              <w:t>84 children of ZIKV infected mothers</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559B6E7B"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p w14:paraId="46EA3A67" w14:textId="77777777" w:rsidR="00377EFE" w:rsidRPr="00C07815" w:rsidRDefault="00377EFE" w:rsidP="00C07815">
            <w:pPr>
              <w:jc w:val="center"/>
              <w:rPr>
                <w:sz w:val="21"/>
                <w:szCs w:val="21"/>
                <w:shd w:val="clear" w:color="auto" w:fill="FFFFFF"/>
                <w:lang w:val="en-US"/>
              </w:rPr>
            </w:pP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22CF5377" w14:textId="77777777" w:rsidR="00377EFE" w:rsidRPr="00C07815" w:rsidRDefault="00377EFE" w:rsidP="00C07815">
            <w:pPr>
              <w:jc w:val="center"/>
              <w:rPr>
                <w:sz w:val="21"/>
                <w:szCs w:val="21"/>
                <w:lang w:val="en-US"/>
              </w:rPr>
            </w:pPr>
            <w:r w:rsidRPr="00C07815">
              <w:rPr>
                <w:sz w:val="21"/>
                <w:szCs w:val="21"/>
                <w:lang w:val="en-US" w:eastAsia="en-US"/>
              </w:rPr>
              <w:t>9.7±3.1 (</w:t>
            </w:r>
            <w:r w:rsidRPr="00C07815">
              <w:rPr>
                <w:sz w:val="21"/>
                <w:szCs w:val="21"/>
                <w:lang w:val="en-US"/>
              </w:rPr>
              <w:t>6-18)</w:t>
            </w:r>
          </w:p>
          <w:p w14:paraId="06C1D21A" w14:textId="77777777" w:rsidR="00377EFE" w:rsidRPr="00C07815" w:rsidRDefault="00377EFE" w:rsidP="00C07815">
            <w:pPr>
              <w:jc w:val="center"/>
              <w:rPr>
                <w:sz w:val="21"/>
                <w:szCs w:val="21"/>
                <w:lang w:val="en-US"/>
              </w:rPr>
            </w:pPr>
            <w:r w:rsidRPr="00C07815">
              <w:rPr>
                <w:sz w:val="21"/>
                <w:szCs w:val="21"/>
                <w:lang w:val="en-US" w:eastAsia="en-US"/>
              </w:rPr>
              <w:t>15.3±3.1 (</w:t>
            </w:r>
            <w:r w:rsidRPr="00C07815">
              <w:rPr>
                <w:sz w:val="21"/>
                <w:szCs w:val="21"/>
                <w:lang w:val="en-US"/>
              </w:rPr>
              <w:t>12-24)</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54A5E910" w14:textId="77777777" w:rsidR="00377EFE" w:rsidRPr="00C07815" w:rsidRDefault="00377EFE" w:rsidP="00C07815">
            <w:pPr>
              <w:jc w:val="center"/>
              <w:rPr>
                <w:sz w:val="21"/>
                <w:szCs w:val="21"/>
                <w:lang w:val="en-US"/>
              </w:rPr>
            </w:pPr>
            <w:r w:rsidRPr="00C07815">
              <w:rPr>
                <w:sz w:val="21"/>
                <w:szCs w:val="21"/>
                <w:lang w:val="en-US"/>
              </w:rPr>
              <w:t>BSID-III</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7BEAFECC" w14:textId="127E943D" w:rsidR="00377EFE" w:rsidRPr="00C07815" w:rsidRDefault="00450805" w:rsidP="00450805">
            <w:pPr>
              <w:pStyle w:val="p1"/>
              <w:ind w:firstLine="0"/>
              <w:rPr>
                <w:rFonts w:ascii="Times New Roman" w:hAnsi="Times New Roman"/>
                <w:sz w:val="21"/>
                <w:szCs w:val="21"/>
                <w:lang w:val="en-US"/>
              </w:rPr>
            </w:pPr>
            <w:r w:rsidRPr="00C07815">
              <w:rPr>
                <w:rFonts w:ascii="Times New Roman" w:hAnsi="Times New Roman"/>
                <w:sz w:val="21"/>
                <w:szCs w:val="21"/>
                <w:lang w:val="en-US"/>
              </w:rPr>
              <w:t>Assessment</w:t>
            </w:r>
            <w:r w:rsidR="00377EFE" w:rsidRPr="00C07815">
              <w:rPr>
                <w:rFonts w:ascii="Times New Roman" w:hAnsi="Times New Roman"/>
                <w:sz w:val="21"/>
                <w:szCs w:val="21"/>
                <w:lang w:val="en-US"/>
              </w:rPr>
              <w:t xml:space="preserve"> at 9.7m: </w:t>
            </w:r>
            <w:r w:rsidR="00377EFE" w:rsidRPr="00C07815">
              <w:rPr>
                <w:rFonts w:ascii="Times New Roman" w:hAnsi="Times New Roman"/>
                <w:sz w:val="21"/>
                <w:szCs w:val="21"/>
                <w:lang w:val="en-US" w:eastAsia="en-US"/>
              </w:rPr>
              <w:t>language (12%) or motor (3.5%) delay.</w:t>
            </w:r>
            <w:r w:rsidR="00377EFE" w:rsidRPr="00C07815">
              <w:rPr>
                <w:rFonts w:ascii="Times New Roman" w:hAnsi="Times New Roman"/>
                <w:sz w:val="21"/>
                <w:szCs w:val="21"/>
                <w:lang w:val="en-US"/>
              </w:rPr>
              <w:t xml:space="preserve"> None children had two or more domains affected simultaneously</w:t>
            </w:r>
            <w:r>
              <w:rPr>
                <w:rFonts w:ascii="Times New Roman" w:hAnsi="Times New Roman"/>
                <w:sz w:val="21"/>
                <w:szCs w:val="21"/>
                <w:lang w:val="en-US"/>
              </w:rPr>
              <w:t>.</w:t>
            </w:r>
          </w:p>
          <w:p w14:paraId="013DDF36" w14:textId="530402BC" w:rsidR="00377EFE" w:rsidRPr="00C07815" w:rsidRDefault="00450805" w:rsidP="00450805">
            <w:pPr>
              <w:pStyle w:val="p1"/>
              <w:ind w:hanging="6"/>
              <w:rPr>
                <w:rFonts w:ascii="Times New Roman" w:hAnsi="Times New Roman"/>
                <w:sz w:val="21"/>
                <w:szCs w:val="21"/>
                <w:lang w:val="en-US"/>
              </w:rPr>
            </w:pPr>
            <w:r w:rsidRPr="00C07815">
              <w:rPr>
                <w:rFonts w:ascii="Times New Roman" w:hAnsi="Times New Roman"/>
                <w:sz w:val="21"/>
                <w:szCs w:val="21"/>
                <w:lang w:val="en-US" w:eastAsia="en-US"/>
              </w:rPr>
              <w:t>Assessment</w:t>
            </w:r>
            <w:r w:rsidR="00377EFE" w:rsidRPr="00C07815">
              <w:rPr>
                <w:rFonts w:ascii="Times New Roman" w:hAnsi="Times New Roman"/>
                <w:sz w:val="21"/>
                <w:szCs w:val="21"/>
                <w:lang w:val="en-US" w:eastAsia="en-US"/>
              </w:rPr>
              <w:t xml:space="preserve"> at 15.3 m: delay in one of the three domains (50%): cognition (5%), language (37%), motor performance (24%). 7 children at least two domains affected.</w:t>
            </w:r>
            <w:r w:rsidR="00377EFE" w:rsidRPr="00C07815">
              <w:rPr>
                <w:rFonts w:ascii="Times New Roman" w:hAnsi="Times New Roman"/>
                <w:sz w:val="21"/>
                <w:szCs w:val="21"/>
                <w:lang w:val="en-US"/>
              </w:rPr>
              <w:t xml:space="preserve"> Abnormalities were mainly in the language domain during the first two years of life.</w:t>
            </w:r>
          </w:p>
        </w:tc>
      </w:tr>
      <w:tr w:rsidR="00C07815" w:rsidRPr="00C07815" w14:paraId="5B222B7A" w14:textId="77777777" w:rsidTr="00450805">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D176181" w14:textId="77777777" w:rsidR="00377EFE" w:rsidRPr="00D56A23" w:rsidRDefault="00377EFE" w:rsidP="00C07815">
            <w:pPr>
              <w:rPr>
                <w:sz w:val="21"/>
                <w:szCs w:val="21"/>
                <w:lang w:val="en-US"/>
              </w:rPr>
            </w:pPr>
            <w:r w:rsidRPr="00D56A23">
              <w:rPr>
                <w:sz w:val="21"/>
                <w:szCs w:val="21"/>
                <w:lang w:val="en-US"/>
              </w:rPr>
              <w:t xml:space="preserve">Cross-Sectional </w:t>
            </w:r>
          </w:p>
          <w:p w14:paraId="55043D2C" w14:textId="77777777" w:rsidR="00377EFE" w:rsidRPr="00D56A23" w:rsidRDefault="00377EFE" w:rsidP="00C07815">
            <w:pPr>
              <w:rPr>
                <w:sz w:val="21"/>
                <w:szCs w:val="21"/>
                <w:lang w:val="en-US"/>
              </w:rPr>
            </w:pPr>
            <w:r w:rsidRPr="00D56A23">
              <w:rPr>
                <w:sz w:val="21"/>
                <w:szCs w:val="21"/>
                <w:lang w:val="en-US"/>
              </w:rPr>
              <w:t>Control group</w:t>
            </w:r>
          </w:p>
          <w:p w14:paraId="1EAB9A60" w14:textId="6ADE0095" w:rsidR="00377EFE" w:rsidRPr="00D56A23" w:rsidRDefault="00377EFE" w:rsidP="00C07815">
            <w:pPr>
              <w:rPr>
                <w:sz w:val="21"/>
                <w:szCs w:val="21"/>
                <w:lang w:val="en-US"/>
              </w:rPr>
            </w:pPr>
            <w:r w:rsidRPr="00D56A23">
              <w:rPr>
                <w:sz w:val="21"/>
                <w:szCs w:val="21"/>
                <w:lang w:val="en-US"/>
              </w:rPr>
              <w:t>Sobral da Silva et al. 2020.</w:t>
            </w:r>
            <w:r w:rsidR="00450805" w:rsidRPr="00D56A23">
              <w:rPr>
                <w:sz w:val="21"/>
                <w:szCs w:val="21"/>
                <w:lang w:val="en-US"/>
              </w:rPr>
              <w:t>,</w:t>
            </w:r>
          </w:p>
          <w:p w14:paraId="384E231A" w14:textId="77777777" w:rsidR="00377EFE" w:rsidRPr="00D56A23" w:rsidRDefault="00377EFE" w:rsidP="00C07815">
            <w:pPr>
              <w:rPr>
                <w:sz w:val="21"/>
                <w:szCs w:val="21"/>
                <w:lang w:val="en-US"/>
              </w:rPr>
            </w:pPr>
            <w:r w:rsidRPr="00D56A23">
              <w:rPr>
                <w:sz w:val="21"/>
                <w:szCs w:val="21"/>
                <w:lang w:val="en-US"/>
              </w:rPr>
              <w:t>Recife, Pernambuco, Brazil</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28A56833" w14:textId="77777777" w:rsidR="00377EFE" w:rsidRPr="00C07815" w:rsidRDefault="00377EFE" w:rsidP="00C07815">
            <w:pPr>
              <w:jc w:val="center"/>
              <w:rPr>
                <w:sz w:val="21"/>
                <w:szCs w:val="21"/>
                <w:lang w:val="en-US"/>
              </w:rPr>
            </w:pPr>
            <w:r w:rsidRPr="00C07815">
              <w:rPr>
                <w:sz w:val="21"/>
                <w:szCs w:val="21"/>
                <w:lang w:val="en-US"/>
              </w:rPr>
              <w:t>274 children who were born in epidemic outbreak</w:t>
            </w:r>
          </w:p>
          <w:p w14:paraId="6C9B3881" w14:textId="77777777" w:rsidR="00377EFE" w:rsidRPr="00C07815" w:rsidRDefault="00377EFE" w:rsidP="00C07815">
            <w:pPr>
              <w:jc w:val="center"/>
              <w:rPr>
                <w:sz w:val="21"/>
                <w:szCs w:val="21"/>
                <w:lang w:val="en-US"/>
              </w:rPr>
            </w:pPr>
            <w:r w:rsidRPr="00C07815">
              <w:rPr>
                <w:sz w:val="21"/>
                <w:szCs w:val="21"/>
                <w:lang w:val="en-US"/>
              </w:rPr>
              <w:t>134 CZS</w:t>
            </w:r>
          </w:p>
          <w:p w14:paraId="19D38DC0" w14:textId="77777777" w:rsidR="00377EFE" w:rsidRPr="00C07815" w:rsidRDefault="00377EFE" w:rsidP="00C07815">
            <w:pPr>
              <w:jc w:val="center"/>
              <w:rPr>
                <w:sz w:val="21"/>
                <w:szCs w:val="21"/>
                <w:lang w:val="en-US"/>
              </w:rPr>
            </w:pPr>
            <w:r w:rsidRPr="00C07815">
              <w:rPr>
                <w:sz w:val="21"/>
                <w:szCs w:val="21"/>
                <w:lang w:val="en-US"/>
              </w:rPr>
              <w:t>94 no CZS</w:t>
            </w:r>
          </w:p>
          <w:p w14:paraId="63F1ACFB" w14:textId="77777777" w:rsidR="00377EFE" w:rsidRPr="00C07815" w:rsidRDefault="00377EFE" w:rsidP="00C07815">
            <w:pPr>
              <w:jc w:val="center"/>
              <w:rPr>
                <w:sz w:val="21"/>
                <w:szCs w:val="21"/>
                <w:lang w:val="en-US"/>
              </w:rPr>
            </w:pPr>
            <w:r w:rsidRPr="00C07815">
              <w:rPr>
                <w:sz w:val="21"/>
                <w:szCs w:val="21"/>
                <w:lang w:val="en-US"/>
              </w:rPr>
              <w:t>46 Control group</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4985F5CB"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33335A11" w14:textId="77777777" w:rsidR="00377EFE" w:rsidRPr="00C07815" w:rsidRDefault="00377EFE" w:rsidP="00C07815">
            <w:pPr>
              <w:jc w:val="center"/>
              <w:rPr>
                <w:sz w:val="21"/>
                <w:szCs w:val="21"/>
                <w:lang w:val="en-US" w:eastAsia="en-US"/>
              </w:rPr>
            </w:pPr>
            <w:r w:rsidRPr="00C07815">
              <w:rPr>
                <w:sz w:val="21"/>
                <w:szCs w:val="21"/>
                <w:lang w:val="en-US" w:eastAsia="en-US"/>
              </w:rPr>
              <w:t>10-45</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5413188A" w14:textId="77777777" w:rsidR="00377EFE" w:rsidRPr="00C07815" w:rsidRDefault="00377EFE" w:rsidP="00C07815">
            <w:pPr>
              <w:jc w:val="center"/>
              <w:rPr>
                <w:sz w:val="21"/>
                <w:szCs w:val="21"/>
                <w:lang w:val="en-US"/>
              </w:rPr>
            </w:pPr>
            <w:r w:rsidRPr="00C07815">
              <w:rPr>
                <w:sz w:val="21"/>
                <w:szCs w:val="21"/>
                <w:lang w:val="en-US"/>
              </w:rPr>
              <w:t>SWYC</w:t>
            </w:r>
          </w:p>
          <w:p w14:paraId="7BA14237" w14:textId="77777777" w:rsidR="00377EFE" w:rsidRPr="00C07815" w:rsidRDefault="00377EFE" w:rsidP="00C07815">
            <w:pPr>
              <w:jc w:val="center"/>
              <w:rPr>
                <w:sz w:val="21"/>
                <w:szCs w:val="21"/>
                <w:lang w:val="en-US"/>
              </w:rPr>
            </w:pPr>
            <w:r w:rsidRPr="00C07815">
              <w:rPr>
                <w:sz w:val="21"/>
                <w:szCs w:val="21"/>
                <w:lang w:val="en-US"/>
              </w:rPr>
              <w:t>BPSC</w:t>
            </w:r>
          </w:p>
          <w:p w14:paraId="77B20518" w14:textId="280E7723" w:rsidR="00377EFE" w:rsidRPr="00C07815" w:rsidRDefault="00377EFE" w:rsidP="00D56A23">
            <w:pPr>
              <w:jc w:val="center"/>
              <w:rPr>
                <w:sz w:val="21"/>
                <w:szCs w:val="21"/>
                <w:lang w:val="en-US"/>
              </w:rPr>
            </w:pPr>
            <w:r w:rsidRPr="00C07815">
              <w:rPr>
                <w:sz w:val="21"/>
                <w:szCs w:val="21"/>
                <w:lang w:val="en-US"/>
              </w:rPr>
              <w:t>PPSC</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A32D501" w14:textId="07F4FC3F" w:rsidR="00377EFE" w:rsidRPr="00450805" w:rsidRDefault="00377EFE" w:rsidP="00450805">
            <w:pPr>
              <w:pStyle w:val="Pr-formataoHTML"/>
              <w:jc w:val="both"/>
              <w:rPr>
                <w:rFonts w:ascii="Times New Roman" w:hAnsi="Times New Roman" w:cs="Times New Roman"/>
                <w:sz w:val="21"/>
                <w:szCs w:val="21"/>
                <w:lang w:val="en-US"/>
              </w:rPr>
            </w:pPr>
            <w:r w:rsidRPr="00C07815">
              <w:rPr>
                <w:rFonts w:ascii="Times New Roman" w:hAnsi="Times New Roman" w:cs="Times New Roman"/>
                <w:sz w:val="21"/>
                <w:szCs w:val="21"/>
                <w:lang w:val="en-US"/>
              </w:rPr>
              <w:t>The 94 prenatally exposed babies without CZS showed a risk frequency of developmental delay similar to the control group but 2.2% showed epilepsy</w:t>
            </w:r>
            <w:r w:rsidR="00450805">
              <w:rPr>
                <w:rFonts w:ascii="Times New Roman" w:hAnsi="Times New Roman" w:cs="Times New Roman"/>
                <w:sz w:val="21"/>
                <w:szCs w:val="21"/>
                <w:lang w:val="en-US"/>
              </w:rPr>
              <w:t>.</w:t>
            </w:r>
          </w:p>
        </w:tc>
      </w:tr>
      <w:tr w:rsidR="00C07815" w:rsidRPr="00C07815" w14:paraId="7F735FA5" w14:textId="77777777" w:rsidTr="00450805">
        <w:trPr>
          <w:trHeight w:val="1685"/>
        </w:trPr>
        <w:tc>
          <w:tcPr>
            <w:tcW w:w="0" w:type="auto"/>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48EAD64A" w14:textId="77777777" w:rsidR="00377EFE" w:rsidRPr="00D56A23" w:rsidRDefault="00377EFE" w:rsidP="00C07815">
            <w:pPr>
              <w:rPr>
                <w:sz w:val="21"/>
                <w:szCs w:val="21"/>
                <w:lang w:val="en-US"/>
              </w:rPr>
            </w:pPr>
            <w:r w:rsidRPr="00D56A23">
              <w:rPr>
                <w:sz w:val="21"/>
                <w:szCs w:val="21"/>
                <w:lang w:val="en-US"/>
              </w:rPr>
              <w:t>Case-series</w:t>
            </w:r>
          </w:p>
          <w:p w14:paraId="742BAF18" w14:textId="77777777" w:rsidR="00377EFE" w:rsidRPr="00D56A23" w:rsidRDefault="00377EFE" w:rsidP="00C07815">
            <w:pPr>
              <w:rPr>
                <w:sz w:val="21"/>
                <w:szCs w:val="21"/>
                <w:lang w:val="en-US"/>
              </w:rPr>
            </w:pPr>
            <w:r w:rsidRPr="00D56A23">
              <w:rPr>
                <w:sz w:val="21"/>
                <w:szCs w:val="21"/>
                <w:lang w:val="en-US"/>
              </w:rPr>
              <w:t>No control group</w:t>
            </w:r>
          </w:p>
          <w:p w14:paraId="4AE9203B" w14:textId="61C93216" w:rsidR="00377EFE" w:rsidRPr="00D56A23" w:rsidRDefault="00377EFE" w:rsidP="00C07815">
            <w:pPr>
              <w:rPr>
                <w:sz w:val="21"/>
                <w:szCs w:val="21"/>
                <w:lang w:val="en-US"/>
              </w:rPr>
            </w:pPr>
            <w:r w:rsidRPr="00D56A23">
              <w:rPr>
                <w:sz w:val="21"/>
                <w:szCs w:val="21"/>
                <w:lang w:val="en-US"/>
              </w:rPr>
              <w:t>Abtibol-Bernardino et al.</w:t>
            </w:r>
            <w:r w:rsidR="00450805" w:rsidRPr="00D56A23">
              <w:rPr>
                <w:sz w:val="21"/>
                <w:szCs w:val="21"/>
                <w:lang w:val="en-US"/>
              </w:rPr>
              <w:t>,</w:t>
            </w:r>
            <w:r w:rsidRPr="00D56A23">
              <w:rPr>
                <w:sz w:val="21"/>
                <w:szCs w:val="21"/>
                <w:lang w:val="en-US"/>
              </w:rPr>
              <w:t xml:space="preserve"> (2020)</w:t>
            </w:r>
          </w:p>
          <w:p w14:paraId="6C8662A7" w14:textId="77777777" w:rsidR="00377EFE" w:rsidRPr="00D56A23" w:rsidRDefault="00377EFE" w:rsidP="00C07815">
            <w:pPr>
              <w:rPr>
                <w:sz w:val="21"/>
                <w:szCs w:val="21"/>
                <w:lang w:val="en-US"/>
              </w:rPr>
            </w:pPr>
            <w:r w:rsidRPr="00D56A23">
              <w:rPr>
                <w:sz w:val="21"/>
                <w:szCs w:val="21"/>
                <w:lang w:val="en-US"/>
              </w:rPr>
              <w:t>Manaus, Amazonas, Brazil</w:t>
            </w:r>
          </w:p>
        </w:tc>
        <w:tc>
          <w:tcPr>
            <w:tcW w:w="0" w:type="auto"/>
            <w:tcBorders>
              <w:top w:val="single" w:sz="4" w:space="0" w:color="BFBFBF" w:themeColor="background1" w:themeShade="BF"/>
              <w:bottom w:val="single" w:sz="4" w:space="0" w:color="BFBFBF" w:themeColor="background1" w:themeShade="BF"/>
            </w:tcBorders>
            <w:vAlign w:val="center"/>
          </w:tcPr>
          <w:p w14:paraId="7A839E18" w14:textId="77777777" w:rsidR="00377EFE" w:rsidRPr="00C07815" w:rsidRDefault="00377EFE" w:rsidP="00C07815">
            <w:pPr>
              <w:jc w:val="center"/>
              <w:rPr>
                <w:sz w:val="21"/>
                <w:szCs w:val="21"/>
                <w:lang w:val="en-US"/>
              </w:rPr>
            </w:pPr>
            <w:r w:rsidRPr="00C07815">
              <w:rPr>
                <w:sz w:val="21"/>
                <w:szCs w:val="21"/>
                <w:lang w:val="en-US"/>
              </w:rPr>
              <w:t>26 children of ZIKV infected mothers</w:t>
            </w:r>
          </w:p>
          <w:p w14:paraId="2655019F" w14:textId="77777777" w:rsidR="00377EFE" w:rsidRPr="00C07815" w:rsidRDefault="00377EFE" w:rsidP="00C07815">
            <w:pPr>
              <w:jc w:val="center"/>
              <w:rPr>
                <w:sz w:val="21"/>
                <w:szCs w:val="21"/>
                <w:lang w:val="en-US"/>
              </w:rPr>
            </w:pPr>
          </w:p>
        </w:tc>
        <w:tc>
          <w:tcPr>
            <w:tcW w:w="0" w:type="auto"/>
            <w:tcBorders>
              <w:top w:val="single" w:sz="4" w:space="0" w:color="BFBFBF" w:themeColor="background1" w:themeShade="BF"/>
              <w:bottom w:val="single" w:sz="4" w:space="0" w:color="BFBFBF" w:themeColor="background1" w:themeShade="BF"/>
            </w:tcBorders>
            <w:vAlign w:val="center"/>
          </w:tcPr>
          <w:p w14:paraId="262BF0D4"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7EC2B41A" w14:textId="77777777" w:rsidR="00377EFE" w:rsidRPr="00C07815" w:rsidRDefault="00377EFE" w:rsidP="00C07815">
            <w:pPr>
              <w:jc w:val="center"/>
              <w:rPr>
                <w:sz w:val="21"/>
                <w:szCs w:val="21"/>
                <w:lang w:val="en-US"/>
              </w:rPr>
            </w:pPr>
            <w:r w:rsidRPr="00C07815">
              <w:rPr>
                <w:sz w:val="21"/>
                <w:szCs w:val="21"/>
                <w:lang w:val="en-US"/>
              </w:rPr>
              <w:t>37.8 ± 3. 95m (25–42)</w:t>
            </w:r>
          </w:p>
        </w:tc>
        <w:tc>
          <w:tcPr>
            <w:tcW w:w="0" w:type="auto"/>
            <w:tcBorders>
              <w:top w:val="single" w:sz="4" w:space="0" w:color="BFBFBF" w:themeColor="background1" w:themeShade="BF"/>
              <w:bottom w:val="single" w:sz="4" w:space="0" w:color="BFBFBF" w:themeColor="background1" w:themeShade="BF"/>
            </w:tcBorders>
            <w:vAlign w:val="center"/>
          </w:tcPr>
          <w:p w14:paraId="0E844767" w14:textId="77777777" w:rsidR="00377EFE" w:rsidRPr="00C07815" w:rsidRDefault="00377EFE" w:rsidP="00C07815">
            <w:pPr>
              <w:jc w:val="center"/>
              <w:rPr>
                <w:sz w:val="21"/>
                <w:szCs w:val="21"/>
                <w:lang w:val="en-US"/>
              </w:rPr>
            </w:pPr>
            <w:r w:rsidRPr="00C07815">
              <w:rPr>
                <w:sz w:val="21"/>
                <w:szCs w:val="21"/>
                <w:lang w:val="en-US"/>
              </w:rPr>
              <w:t>BSID-III</w:t>
            </w:r>
          </w:p>
        </w:tc>
        <w:tc>
          <w:tcPr>
            <w:tcW w:w="0" w:type="auto"/>
            <w:tcBorders>
              <w:top w:val="single" w:sz="4" w:space="0" w:color="BFBFBF" w:themeColor="background1" w:themeShade="BF"/>
              <w:bottom w:val="single" w:sz="4" w:space="0" w:color="BFBFBF" w:themeColor="background1" w:themeShade="BF"/>
            </w:tcBorders>
            <w:vAlign w:val="center"/>
          </w:tcPr>
          <w:p w14:paraId="03B3FAEF" w14:textId="77777777" w:rsidR="00377EFE" w:rsidRPr="00C07815" w:rsidRDefault="00377EFE" w:rsidP="00450805">
            <w:pPr>
              <w:jc w:val="both"/>
              <w:rPr>
                <w:sz w:val="21"/>
                <w:szCs w:val="21"/>
                <w:lang w:val="en-US"/>
              </w:rPr>
            </w:pPr>
            <w:r w:rsidRPr="00C07815">
              <w:rPr>
                <w:sz w:val="21"/>
                <w:szCs w:val="21"/>
                <w:lang w:val="en-US"/>
              </w:rPr>
              <w:t>34.6% presented abnormal results: mild delays 26.9%, moderate motor delays 3.8% and severe language delays 3.8%.</w:t>
            </w:r>
          </w:p>
          <w:p w14:paraId="2AAE655D" w14:textId="77777777" w:rsidR="00377EFE" w:rsidRPr="00C07815" w:rsidRDefault="00377EFE" w:rsidP="00450805">
            <w:pPr>
              <w:jc w:val="both"/>
              <w:rPr>
                <w:sz w:val="21"/>
                <w:szCs w:val="21"/>
                <w:lang w:val="en-US"/>
              </w:rPr>
            </w:pPr>
            <w:r w:rsidRPr="00C07815">
              <w:rPr>
                <w:sz w:val="21"/>
                <w:szCs w:val="21"/>
                <w:lang w:val="en-US"/>
              </w:rPr>
              <w:t>4 (15%) had one abnormal domain, four (15%) two abnormal domains and one (3.8%) three abnormal domains. The most impaired domain was language, with an alteration in 30.7% (8/26) of children. Alterations of motor skills were present in 19.2% (5/26).</w:t>
            </w:r>
          </w:p>
        </w:tc>
      </w:tr>
      <w:tr w:rsidR="00C07815" w:rsidRPr="00C07815" w14:paraId="17D2175B" w14:textId="77777777" w:rsidTr="00450805">
        <w:trPr>
          <w:trHeight w:val="2366"/>
        </w:trPr>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8294C5C" w14:textId="77777777" w:rsidR="00377EFE" w:rsidRPr="00D56A23" w:rsidRDefault="00377EFE" w:rsidP="00C07815">
            <w:pPr>
              <w:rPr>
                <w:sz w:val="21"/>
                <w:szCs w:val="21"/>
                <w:lang w:val="en-US"/>
              </w:rPr>
            </w:pPr>
            <w:r w:rsidRPr="00D56A23">
              <w:rPr>
                <w:sz w:val="21"/>
                <w:szCs w:val="21"/>
                <w:lang w:val="en-US"/>
              </w:rPr>
              <w:lastRenderedPageBreak/>
              <w:t xml:space="preserve">Cross-sectional study </w:t>
            </w:r>
          </w:p>
          <w:p w14:paraId="33630C03" w14:textId="7E936DCD" w:rsidR="00377EFE" w:rsidRPr="00D56A23" w:rsidRDefault="00377EFE" w:rsidP="00C07815">
            <w:pPr>
              <w:rPr>
                <w:sz w:val="21"/>
                <w:szCs w:val="21"/>
                <w:lang w:val="en-US"/>
              </w:rPr>
            </w:pPr>
            <w:r w:rsidRPr="00D56A23">
              <w:rPr>
                <w:sz w:val="21"/>
                <w:szCs w:val="21"/>
                <w:lang w:val="en-US"/>
              </w:rPr>
              <w:t>Power et al.</w:t>
            </w:r>
            <w:r w:rsidR="00450805" w:rsidRPr="00D56A23">
              <w:rPr>
                <w:sz w:val="21"/>
                <w:szCs w:val="21"/>
                <w:lang w:val="en-US"/>
              </w:rPr>
              <w:t>,</w:t>
            </w:r>
            <w:r w:rsidRPr="00D56A23">
              <w:rPr>
                <w:sz w:val="21"/>
                <w:szCs w:val="21"/>
                <w:lang w:val="en-US"/>
              </w:rPr>
              <w:t xml:space="preserve"> 2020</w:t>
            </w:r>
          </w:p>
          <w:p w14:paraId="524FC244" w14:textId="31974C73" w:rsidR="00377EFE" w:rsidRPr="00D56A23" w:rsidRDefault="00377EFE" w:rsidP="00D56A23">
            <w:pPr>
              <w:rPr>
                <w:sz w:val="21"/>
                <w:szCs w:val="21"/>
                <w:lang w:val="en-US"/>
              </w:rPr>
            </w:pPr>
            <w:r w:rsidRPr="00D56A23">
              <w:rPr>
                <w:sz w:val="21"/>
                <w:szCs w:val="21"/>
                <w:lang w:val="en-US"/>
              </w:rPr>
              <w:t>Rio de Janeiro, Brazil</w:t>
            </w:r>
          </w:p>
        </w:tc>
        <w:tc>
          <w:tcPr>
            <w:tcW w:w="0" w:type="auto"/>
            <w:tcBorders>
              <w:top w:val="single" w:sz="4" w:space="0" w:color="BFBFBF" w:themeColor="background1" w:themeShade="BF"/>
              <w:bottom w:val="single" w:sz="4" w:space="0" w:color="BFBFBF" w:themeColor="background1" w:themeShade="BF"/>
            </w:tcBorders>
            <w:vAlign w:val="center"/>
          </w:tcPr>
          <w:p w14:paraId="58DC854A" w14:textId="77777777" w:rsidR="00377EFE" w:rsidRPr="00C07815" w:rsidRDefault="00377EFE" w:rsidP="00C07815">
            <w:pPr>
              <w:jc w:val="center"/>
              <w:rPr>
                <w:sz w:val="21"/>
                <w:szCs w:val="21"/>
                <w:lang w:val="en-US"/>
              </w:rPr>
            </w:pPr>
            <w:r w:rsidRPr="00C07815">
              <w:rPr>
                <w:sz w:val="21"/>
                <w:szCs w:val="21"/>
                <w:lang w:val="en-US"/>
              </w:rPr>
              <w:t>163 children of ZIKV infected mothers</w:t>
            </w:r>
          </w:p>
          <w:p w14:paraId="1EF258E1" w14:textId="77777777" w:rsidR="00377EFE" w:rsidRPr="00C07815" w:rsidRDefault="00377EFE" w:rsidP="00C07815">
            <w:pPr>
              <w:jc w:val="center"/>
              <w:rPr>
                <w:sz w:val="21"/>
                <w:szCs w:val="21"/>
                <w:lang w:val="en-US"/>
              </w:rPr>
            </w:pPr>
            <w:r w:rsidRPr="00C07815">
              <w:rPr>
                <w:sz w:val="21"/>
                <w:szCs w:val="21"/>
                <w:lang w:val="en-US"/>
              </w:rPr>
              <w:t>51 microcephaly (CZS)</w:t>
            </w:r>
          </w:p>
          <w:p w14:paraId="3D948C58" w14:textId="3F7935B7" w:rsidR="00377EFE" w:rsidRPr="00C07815" w:rsidRDefault="00377EFE" w:rsidP="00D56A23">
            <w:pPr>
              <w:jc w:val="center"/>
              <w:rPr>
                <w:sz w:val="21"/>
                <w:szCs w:val="21"/>
                <w:lang w:val="en-US"/>
              </w:rPr>
            </w:pPr>
            <w:r w:rsidRPr="00C07815">
              <w:rPr>
                <w:sz w:val="21"/>
                <w:szCs w:val="21"/>
                <w:lang w:val="en-US"/>
              </w:rPr>
              <w:t>112 normocephalic at birth.</w:t>
            </w:r>
          </w:p>
        </w:tc>
        <w:tc>
          <w:tcPr>
            <w:tcW w:w="0" w:type="auto"/>
            <w:tcBorders>
              <w:top w:val="single" w:sz="4" w:space="0" w:color="BFBFBF" w:themeColor="background1" w:themeShade="BF"/>
              <w:bottom w:val="single" w:sz="4" w:space="0" w:color="BFBFBF" w:themeColor="background1" w:themeShade="BF"/>
            </w:tcBorders>
            <w:vAlign w:val="center"/>
          </w:tcPr>
          <w:p w14:paraId="06D8DADF"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48515AC1" w14:textId="77777777" w:rsidR="00377EFE" w:rsidRPr="00C07815" w:rsidRDefault="00377EFE" w:rsidP="00C07815">
            <w:pPr>
              <w:jc w:val="center"/>
              <w:rPr>
                <w:sz w:val="21"/>
                <w:szCs w:val="21"/>
                <w:lang w:val="en-US"/>
              </w:rPr>
            </w:pPr>
            <w:r w:rsidRPr="00C07815">
              <w:rPr>
                <w:sz w:val="21"/>
                <w:szCs w:val="21"/>
                <w:lang w:val="en-US"/>
              </w:rPr>
              <w:t>19.6m</w:t>
            </w:r>
          </w:p>
          <w:p w14:paraId="280AB30A" w14:textId="145C997E" w:rsidR="00377EFE" w:rsidRPr="00C07815" w:rsidRDefault="00377EFE" w:rsidP="00D56A23">
            <w:pPr>
              <w:jc w:val="center"/>
              <w:rPr>
                <w:sz w:val="21"/>
                <w:szCs w:val="21"/>
                <w:lang w:val="en-US"/>
              </w:rPr>
            </w:pPr>
            <w:r w:rsidRPr="00C07815">
              <w:rPr>
                <w:sz w:val="21"/>
                <w:szCs w:val="21"/>
                <w:lang w:val="en-US"/>
              </w:rPr>
              <w:t>(4.9 - 40.1)</w:t>
            </w:r>
          </w:p>
        </w:tc>
        <w:tc>
          <w:tcPr>
            <w:tcW w:w="0" w:type="auto"/>
            <w:tcBorders>
              <w:top w:val="single" w:sz="4" w:space="0" w:color="BFBFBF" w:themeColor="background1" w:themeShade="BF"/>
              <w:bottom w:val="single" w:sz="4" w:space="0" w:color="BFBFBF" w:themeColor="background1" w:themeShade="BF"/>
            </w:tcBorders>
            <w:vAlign w:val="center"/>
          </w:tcPr>
          <w:p w14:paraId="3D8361F9" w14:textId="77777777" w:rsidR="00377EFE" w:rsidRPr="00C07815" w:rsidRDefault="00377EFE" w:rsidP="00C07815">
            <w:pPr>
              <w:jc w:val="center"/>
              <w:rPr>
                <w:sz w:val="21"/>
                <w:szCs w:val="21"/>
                <w:lang w:val="en-US"/>
              </w:rPr>
            </w:pPr>
            <w:r w:rsidRPr="00C07815">
              <w:rPr>
                <w:sz w:val="21"/>
                <w:szCs w:val="21"/>
                <w:lang w:val="en-US"/>
              </w:rPr>
              <w:t>BSID-III</w:t>
            </w:r>
          </w:p>
          <w:p w14:paraId="7452510A" w14:textId="77777777" w:rsidR="00377EFE" w:rsidRPr="00C07815" w:rsidRDefault="00377EFE" w:rsidP="00C07815">
            <w:pPr>
              <w:jc w:val="center"/>
              <w:rPr>
                <w:sz w:val="21"/>
                <w:szCs w:val="21"/>
                <w:lang w:val="en-US"/>
              </w:rPr>
            </w:pPr>
            <w:r w:rsidRPr="00C07815">
              <w:rPr>
                <w:sz w:val="21"/>
                <w:szCs w:val="21"/>
                <w:lang w:val="en-US"/>
              </w:rPr>
              <w:t>performed only in all normocephalic children.</w:t>
            </w:r>
          </w:p>
          <w:p w14:paraId="14FBE6B2" w14:textId="77777777" w:rsidR="00377EFE" w:rsidRPr="00C07815" w:rsidRDefault="00377EFE" w:rsidP="00C07815">
            <w:pPr>
              <w:jc w:val="center"/>
              <w:rPr>
                <w:sz w:val="21"/>
                <w:szCs w:val="21"/>
                <w:lang w:val="en-US"/>
              </w:rPr>
            </w:pPr>
          </w:p>
          <w:p w14:paraId="1ECDEA19" w14:textId="77777777" w:rsidR="00377EFE" w:rsidRPr="00C07815" w:rsidRDefault="00377EFE" w:rsidP="00C07815">
            <w:pPr>
              <w:jc w:val="center"/>
              <w:rPr>
                <w:sz w:val="21"/>
                <w:szCs w:val="21"/>
                <w:lang w:val="en-US"/>
              </w:rPr>
            </w:pPr>
            <w:r w:rsidRPr="00C07815">
              <w:rPr>
                <w:sz w:val="21"/>
                <w:szCs w:val="21"/>
                <w:lang w:val="en-US"/>
              </w:rPr>
              <w:t>In microcephaly not routinely undertaken</w:t>
            </w:r>
          </w:p>
        </w:tc>
        <w:tc>
          <w:tcPr>
            <w:tcW w:w="0" w:type="auto"/>
            <w:tcBorders>
              <w:top w:val="single" w:sz="4" w:space="0" w:color="BFBFBF" w:themeColor="background1" w:themeShade="BF"/>
              <w:bottom w:val="single" w:sz="4" w:space="0" w:color="BFBFBF" w:themeColor="background1" w:themeShade="BF"/>
            </w:tcBorders>
            <w:vAlign w:val="center"/>
          </w:tcPr>
          <w:p w14:paraId="5C9A73BB" w14:textId="64A53CBE" w:rsidR="00377EFE" w:rsidRPr="00C07815" w:rsidRDefault="00377EFE" w:rsidP="00450805">
            <w:pPr>
              <w:jc w:val="both"/>
              <w:rPr>
                <w:sz w:val="21"/>
                <w:szCs w:val="21"/>
                <w:lang w:val="en-US"/>
              </w:rPr>
            </w:pPr>
            <w:r w:rsidRPr="00C07815">
              <w:rPr>
                <w:sz w:val="21"/>
                <w:szCs w:val="21"/>
                <w:lang w:val="en-US"/>
              </w:rPr>
              <w:t>112 normocephalic infants: mean composite language score of 90.3±13.1 (range 47 - 115). Mean composite motor score of 95.3±12.4, (range 50 - 124) and mean composite cognitive score of 102.8±13.5 (range 65 – 145). 26% presented severe delay for the language domain, 20% severe delay for the motor domain and 11% severe delay for the cognitive domain.</w:t>
            </w:r>
          </w:p>
          <w:p w14:paraId="2C56C50C" w14:textId="77777777" w:rsidR="00377EFE" w:rsidRPr="00C07815" w:rsidRDefault="00377EFE" w:rsidP="00450805">
            <w:pPr>
              <w:jc w:val="both"/>
              <w:rPr>
                <w:sz w:val="21"/>
                <w:szCs w:val="21"/>
                <w:lang w:val="en-US"/>
              </w:rPr>
            </w:pPr>
            <w:r w:rsidRPr="00C07815">
              <w:rPr>
                <w:sz w:val="21"/>
                <w:szCs w:val="21"/>
                <w:lang w:val="en-US"/>
              </w:rPr>
              <w:t>Odds of microcephaly were higher in families with lower household income and higher household crowding. Maternal secondary and higher education appeared to have a protective effect for microcephaly compared to primary education.</w:t>
            </w:r>
          </w:p>
        </w:tc>
      </w:tr>
      <w:tr w:rsidR="00C07815" w:rsidRPr="00C07815" w14:paraId="37D55A6C" w14:textId="77777777" w:rsidTr="00450805">
        <w:trPr>
          <w:trHeight w:val="1783"/>
        </w:trPr>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71D6C829" w14:textId="77777777" w:rsidR="00377EFE" w:rsidRPr="00D56A23" w:rsidRDefault="00377EFE" w:rsidP="00C07815">
            <w:pPr>
              <w:rPr>
                <w:sz w:val="21"/>
                <w:szCs w:val="21"/>
                <w:lang w:val="en-US"/>
              </w:rPr>
            </w:pPr>
            <w:r w:rsidRPr="00D56A23">
              <w:rPr>
                <w:sz w:val="21"/>
                <w:szCs w:val="21"/>
                <w:lang w:val="en-US"/>
              </w:rPr>
              <w:t>Cohort study</w:t>
            </w:r>
          </w:p>
          <w:p w14:paraId="57C9BF62" w14:textId="553E43AF" w:rsidR="00377EFE" w:rsidRPr="00D56A23" w:rsidRDefault="00377EFE" w:rsidP="00C07815">
            <w:pPr>
              <w:rPr>
                <w:sz w:val="21"/>
                <w:szCs w:val="21"/>
                <w:lang w:val="en-US"/>
              </w:rPr>
            </w:pPr>
            <w:r w:rsidRPr="00D56A23">
              <w:rPr>
                <w:sz w:val="21"/>
                <w:szCs w:val="21"/>
                <w:lang w:val="en-US"/>
              </w:rPr>
              <w:t>Blackmon et al.</w:t>
            </w:r>
            <w:r w:rsidR="00450805" w:rsidRPr="00D56A23">
              <w:rPr>
                <w:sz w:val="21"/>
                <w:szCs w:val="21"/>
                <w:lang w:val="en-US"/>
              </w:rPr>
              <w:t>,</w:t>
            </w:r>
            <w:r w:rsidRPr="00D56A23">
              <w:rPr>
                <w:sz w:val="21"/>
                <w:szCs w:val="21"/>
                <w:lang w:val="en-US"/>
              </w:rPr>
              <w:t xml:space="preserve"> 2020</w:t>
            </w:r>
          </w:p>
          <w:p w14:paraId="71C0016B" w14:textId="77777777" w:rsidR="00377EFE" w:rsidRPr="00D56A23" w:rsidRDefault="00377EFE" w:rsidP="00C07815">
            <w:pPr>
              <w:rPr>
                <w:sz w:val="21"/>
                <w:szCs w:val="21"/>
                <w:lang w:val="en-US"/>
              </w:rPr>
            </w:pPr>
            <w:r w:rsidRPr="00D56A23">
              <w:rPr>
                <w:sz w:val="21"/>
                <w:szCs w:val="21"/>
                <w:lang w:val="en-US"/>
              </w:rPr>
              <w:t>Grenada</w:t>
            </w:r>
          </w:p>
        </w:tc>
        <w:tc>
          <w:tcPr>
            <w:tcW w:w="0" w:type="auto"/>
            <w:tcBorders>
              <w:top w:val="single" w:sz="4" w:space="0" w:color="BFBFBF" w:themeColor="background1" w:themeShade="BF"/>
              <w:bottom w:val="single" w:sz="4" w:space="0" w:color="BFBFBF" w:themeColor="background1" w:themeShade="BF"/>
            </w:tcBorders>
            <w:vAlign w:val="center"/>
          </w:tcPr>
          <w:p w14:paraId="6E035882" w14:textId="77777777" w:rsidR="00377EFE" w:rsidRPr="00C07815" w:rsidRDefault="00377EFE" w:rsidP="00C07815">
            <w:pPr>
              <w:jc w:val="center"/>
              <w:rPr>
                <w:sz w:val="21"/>
                <w:szCs w:val="21"/>
                <w:lang w:val="en-US"/>
              </w:rPr>
            </w:pPr>
            <w:r w:rsidRPr="00C07815">
              <w:rPr>
                <w:sz w:val="21"/>
                <w:szCs w:val="21"/>
                <w:lang w:val="en-US"/>
              </w:rPr>
              <w:t>71children of ZIKV-uninfected mothers</w:t>
            </w:r>
          </w:p>
          <w:p w14:paraId="11677023" w14:textId="77777777" w:rsidR="00377EFE" w:rsidRPr="00C07815" w:rsidRDefault="00377EFE" w:rsidP="00C07815">
            <w:pPr>
              <w:jc w:val="center"/>
              <w:rPr>
                <w:sz w:val="21"/>
                <w:szCs w:val="21"/>
                <w:lang w:val="en-US"/>
              </w:rPr>
            </w:pPr>
            <w:r w:rsidRPr="00C07815">
              <w:rPr>
                <w:sz w:val="21"/>
                <w:szCs w:val="21"/>
                <w:lang w:val="en-US"/>
              </w:rPr>
              <w:t>71 children of ZIKV infected mothers</w:t>
            </w:r>
          </w:p>
        </w:tc>
        <w:tc>
          <w:tcPr>
            <w:tcW w:w="0" w:type="auto"/>
            <w:tcBorders>
              <w:top w:val="single" w:sz="4" w:space="0" w:color="BFBFBF" w:themeColor="background1" w:themeShade="BF"/>
              <w:bottom w:val="single" w:sz="4" w:space="0" w:color="BFBFBF" w:themeColor="background1" w:themeShade="BF"/>
            </w:tcBorders>
            <w:vAlign w:val="center"/>
          </w:tcPr>
          <w:p w14:paraId="48459A66"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314110EC" w14:textId="77777777" w:rsidR="00377EFE" w:rsidRPr="00C07815" w:rsidRDefault="00377EFE" w:rsidP="00C07815">
            <w:pPr>
              <w:jc w:val="center"/>
              <w:rPr>
                <w:sz w:val="21"/>
                <w:szCs w:val="21"/>
                <w:lang w:val="en-US"/>
              </w:rPr>
            </w:pPr>
            <w:r w:rsidRPr="00C07815">
              <w:rPr>
                <w:sz w:val="21"/>
                <w:szCs w:val="21"/>
                <w:lang w:val="en-US"/>
              </w:rPr>
              <w:t>24 m</w:t>
            </w:r>
          </w:p>
        </w:tc>
        <w:tc>
          <w:tcPr>
            <w:tcW w:w="0" w:type="auto"/>
            <w:tcBorders>
              <w:top w:val="single" w:sz="4" w:space="0" w:color="BFBFBF" w:themeColor="background1" w:themeShade="BF"/>
              <w:bottom w:val="single" w:sz="4" w:space="0" w:color="BFBFBF" w:themeColor="background1" w:themeShade="BF"/>
            </w:tcBorders>
            <w:vAlign w:val="center"/>
          </w:tcPr>
          <w:p w14:paraId="28330DB8" w14:textId="77777777" w:rsidR="00377EFE" w:rsidRPr="00C07815" w:rsidRDefault="00377EFE" w:rsidP="00C07815">
            <w:pPr>
              <w:jc w:val="center"/>
              <w:rPr>
                <w:sz w:val="21"/>
                <w:szCs w:val="21"/>
                <w:lang w:val="en-US"/>
              </w:rPr>
            </w:pPr>
            <w:r w:rsidRPr="00C07815">
              <w:rPr>
                <w:sz w:val="21"/>
                <w:szCs w:val="21"/>
                <w:lang w:val="en-US"/>
              </w:rPr>
              <w:t>Pediatric epilepsy screening questionnaire</w:t>
            </w:r>
          </w:p>
          <w:p w14:paraId="49A21978" w14:textId="77777777" w:rsidR="00377EFE" w:rsidRPr="00C07815" w:rsidRDefault="00377EFE" w:rsidP="00C07815">
            <w:pPr>
              <w:jc w:val="center"/>
              <w:rPr>
                <w:sz w:val="21"/>
                <w:szCs w:val="21"/>
                <w:lang w:val="en-US"/>
              </w:rPr>
            </w:pPr>
            <w:r w:rsidRPr="00C07815">
              <w:rPr>
                <w:sz w:val="21"/>
                <w:szCs w:val="21"/>
                <w:lang w:val="en-US"/>
              </w:rPr>
              <w:t>Videoelectroencepha-lography</w:t>
            </w:r>
          </w:p>
        </w:tc>
        <w:tc>
          <w:tcPr>
            <w:tcW w:w="0" w:type="auto"/>
            <w:tcBorders>
              <w:top w:val="single" w:sz="4" w:space="0" w:color="BFBFBF" w:themeColor="background1" w:themeShade="BF"/>
              <w:bottom w:val="single" w:sz="4" w:space="0" w:color="BFBFBF" w:themeColor="background1" w:themeShade="BF"/>
            </w:tcBorders>
            <w:vAlign w:val="center"/>
          </w:tcPr>
          <w:p w14:paraId="1D6E9EF8" w14:textId="5AEB19E6" w:rsidR="00377EFE" w:rsidRPr="00C07815" w:rsidRDefault="00377EFE" w:rsidP="00450805">
            <w:pPr>
              <w:jc w:val="both"/>
              <w:rPr>
                <w:sz w:val="21"/>
                <w:szCs w:val="21"/>
                <w:lang w:val="en-US"/>
              </w:rPr>
            </w:pPr>
            <w:r w:rsidRPr="00C07815">
              <w:rPr>
                <w:sz w:val="21"/>
                <w:szCs w:val="21"/>
                <w:lang w:val="en-US"/>
              </w:rPr>
              <w:t>Epilepsy in 2/71 children of ZIKV infected mothers (IR: 2.8%; 95% CI: 0.34–9.81%) and 0/71 in children of ZIKV-uninfected mothers (IR: 0.00; 95%</w:t>
            </w:r>
            <w:r w:rsidR="00450805">
              <w:rPr>
                <w:sz w:val="21"/>
                <w:szCs w:val="21"/>
                <w:lang w:val="en-US"/>
              </w:rPr>
              <w:t xml:space="preserve"> </w:t>
            </w:r>
            <w:r w:rsidRPr="00C07815">
              <w:rPr>
                <w:sz w:val="21"/>
                <w:szCs w:val="21"/>
                <w:lang w:val="en-US"/>
              </w:rPr>
              <w:t>CI: 0.00–5.36%). Global epilepsy incidence rates range from 0.10% to 0.15% in the first year of life.</w:t>
            </w:r>
          </w:p>
        </w:tc>
      </w:tr>
      <w:tr w:rsidR="00C07815" w:rsidRPr="00C07815" w14:paraId="2BA1937A" w14:textId="77777777" w:rsidTr="00450805">
        <w:trPr>
          <w:trHeight w:val="1933"/>
        </w:trPr>
        <w:tc>
          <w:tcPr>
            <w:tcW w:w="0" w:type="auto"/>
            <w:tcBorders>
              <w:top w:val="single" w:sz="4" w:space="0" w:color="BFBFBF" w:themeColor="background1" w:themeShade="BF"/>
              <w:bottom w:val="single" w:sz="4" w:space="0" w:color="BFBFBF" w:themeColor="background1" w:themeShade="BF"/>
            </w:tcBorders>
            <w:vAlign w:val="center"/>
          </w:tcPr>
          <w:p w14:paraId="0EFAC245" w14:textId="77777777" w:rsidR="00377EFE" w:rsidRPr="00D56A23" w:rsidRDefault="00377EFE" w:rsidP="00C07815">
            <w:pPr>
              <w:rPr>
                <w:sz w:val="21"/>
                <w:szCs w:val="21"/>
                <w:lang w:val="en-US"/>
              </w:rPr>
            </w:pPr>
            <w:r w:rsidRPr="00D56A23">
              <w:rPr>
                <w:sz w:val="21"/>
                <w:szCs w:val="21"/>
                <w:lang w:val="en-US"/>
              </w:rPr>
              <w:t>Case series</w:t>
            </w:r>
          </w:p>
          <w:p w14:paraId="44FB8D29" w14:textId="77777777" w:rsidR="00377EFE" w:rsidRPr="00D56A23" w:rsidRDefault="00377EFE" w:rsidP="00C07815">
            <w:pPr>
              <w:rPr>
                <w:sz w:val="21"/>
                <w:szCs w:val="21"/>
                <w:lang w:val="en-US"/>
              </w:rPr>
            </w:pPr>
            <w:r w:rsidRPr="00D56A23">
              <w:rPr>
                <w:sz w:val="21"/>
                <w:szCs w:val="21"/>
                <w:lang w:val="en-US"/>
              </w:rPr>
              <w:t>No control group</w:t>
            </w:r>
          </w:p>
          <w:p w14:paraId="01632B4D" w14:textId="1E5F06D3" w:rsidR="00377EFE" w:rsidRPr="00D56A23" w:rsidRDefault="00377EFE" w:rsidP="00C07815">
            <w:pPr>
              <w:rPr>
                <w:sz w:val="21"/>
                <w:szCs w:val="21"/>
                <w:lang w:val="pt-BR"/>
              </w:rPr>
            </w:pPr>
            <w:r w:rsidRPr="00D56A23">
              <w:rPr>
                <w:sz w:val="21"/>
                <w:szCs w:val="21"/>
                <w:lang w:val="pt-BR"/>
              </w:rPr>
              <w:t>Andrade et al.</w:t>
            </w:r>
            <w:r w:rsidR="00450805" w:rsidRPr="00D56A23">
              <w:rPr>
                <w:sz w:val="21"/>
                <w:szCs w:val="21"/>
                <w:lang w:val="pt-BR"/>
              </w:rPr>
              <w:t>,</w:t>
            </w:r>
            <w:r w:rsidRPr="00D56A23">
              <w:rPr>
                <w:sz w:val="21"/>
                <w:szCs w:val="21"/>
                <w:lang w:val="pt-BR"/>
              </w:rPr>
              <w:t xml:space="preserve"> 202</w:t>
            </w:r>
            <w:r w:rsidR="00B90F54" w:rsidRPr="00D56A23">
              <w:rPr>
                <w:sz w:val="21"/>
                <w:szCs w:val="21"/>
                <w:lang w:val="pt-BR"/>
              </w:rPr>
              <w:t>1</w:t>
            </w:r>
          </w:p>
          <w:p w14:paraId="5480CE70" w14:textId="41496B43" w:rsidR="00377EFE" w:rsidRPr="00D56A23" w:rsidRDefault="00377EFE" w:rsidP="00C07815">
            <w:pPr>
              <w:rPr>
                <w:sz w:val="21"/>
                <w:szCs w:val="21"/>
                <w:lang w:val="en-US"/>
              </w:rPr>
            </w:pPr>
            <w:r w:rsidRPr="00D56A23">
              <w:rPr>
                <w:sz w:val="21"/>
                <w:szCs w:val="21"/>
                <w:lang w:val="pt-BR"/>
              </w:rPr>
              <w:t xml:space="preserve">Rio de Janeiro. </w:t>
            </w:r>
            <w:r w:rsidR="00D56A23" w:rsidRPr="00D56A23">
              <w:rPr>
                <w:sz w:val="21"/>
                <w:szCs w:val="21"/>
                <w:lang w:val="en-US"/>
              </w:rPr>
              <w:t>Brazil</w:t>
            </w:r>
          </w:p>
        </w:tc>
        <w:tc>
          <w:tcPr>
            <w:tcW w:w="0" w:type="auto"/>
            <w:tcBorders>
              <w:top w:val="single" w:sz="4" w:space="0" w:color="BFBFBF" w:themeColor="background1" w:themeShade="BF"/>
              <w:bottom w:val="single" w:sz="4" w:space="0" w:color="BFBFBF" w:themeColor="background1" w:themeShade="BF"/>
            </w:tcBorders>
            <w:vAlign w:val="center"/>
          </w:tcPr>
          <w:p w14:paraId="6C7C71A2" w14:textId="77777777" w:rsidR="00377EFE" w:rsidRPr="00C07815" w:rsidRDefault="00377EFE" w:rsidP="00C07815">
            <w:pPr>
              <w:jc w:val="center"/>
              <w:rPr>
                <w:sz w:val="21"/>
                <w:szCs w:val="21"/>
                <w:lang w:val="en-US"/>
              </w:rPr>
            </w:pPr>
            <w:r w:rsidRPr="00C07815">
              <w:rPr>
                <w:sz w:val="21"/>
                <w:szCs w:val="21"/>
                <w:lang w:val="en-US"/>
              </w:rPr>
              <w:t>96 children of ZIKV infected mothers</w:t>
            </w:r>
          </w:p>
        </w:tc>
        <w:tc>
          <w:tcPr>
            <w:tcW w:w="0" w:type="auto"/>
            <w:tcBorders>
              <w:top w:val="single" w:sz="4" w:space="0" w:color="BFBFBF" w:themeColor="background1" w:themeShade="BF"/>
              <w:bottom w:val="single" w:sz="4" w:space="0" w:color="BFBFBF" w:themeColor="background1" w:themeShade="BF"/>
            </w:tcBorders>
            <w:vAlign w:val="center"/>
          </w:tcPr>
          <w:p w14:paraId="7D203C13"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58AD9837" w14:textId="531C02BB" w:rsidR="00377EFE" w:rsidRPr="00C07815" w:rsidRDefault="00377EFE" w:rsidP="00C07815">
            <w:pPr>
              <w:jc w:val="center"/>
              <w:rPr>
                <w:sz w:val="21"/>
                <w:szCs w:val="21"/>
                <w:lang w:val="en-US"/>
              </w:rPr>
            </w:pPr>
            <w:r w:rsidRPr="00C07815">
              <w:rPr>
                <w:sz w:val="21"/>
                <w:szCs w:val="21"/>
                <w:lang w:val="en-US"/>
              </w:rPr>
              <w:t>12-18 m</w:t>
            </w:r>
          </w:p>
        </w:tc>
        <w:tc>
          <w:tcPr>
            <w:tcW w:w="0" w:type="auto"/>
            <w:tcBorders>
              <w:top w:val="single" w:sz="4" w:space="0" w:color="BFBFBF" w:themeColor="background1" w:themeShade="BF"/>
              <w:bottom w:val="single" w:sz="4" w:space="0" w:color="BFBFBF" w:themeColor="background1" w:themeShade="BF"/>
            </w:tcBorders>
            <w:vAlign w:val="center"/>
          </w:tcPr>
          <w:p w14:paraId="16B564CD" w14:textId="77777777" w:rsidR="00377EFE" w:rsidRPr="00C07815" w:rsidRDefault="00377EFE" w:rsidP="00C07815">
            <w:pPr>
              <w:jc w:val="center"/>
              <w:rPr>
                <w:sz w:val="21"/>
                <w:szCs w:val="21"/>
                <w:lang w:val="en-US"/>
              </w:rPr>
            </w:pPr>
            <w:r w:rsidRPr="00C07815">
              <w:rPr>
                <w:sz w:val="21"/>
                <w:szCs w:val="21"/>
                <w:lang w:val="en-US"/>
              </w:rPr>
              <w:t>BSID-III</w:t>
            </w:r>
          </w:p>
        </w:tc>
        <w:tc>
          <w:tcPr>
            <w:tcW w:w="0" w:type="auto"/>
            <w:tcBorders>
              <w:top w:val="single" w:sz="4" w:space="0" w:color="BFBFBF" w:themeColor="background1" w:themeShade="BF"/>
              <w:bottom w:val="single" w:sz="4" w:space="0" w:color="BFBFBF" w:themeColor="background1" w:themeShade="BF"/>
            </w:tcBorders>
            <w:vAlign w:val="center"/>
          </w:tcPr>
          <w:p w14:paraId="4AD01424" w14:textId="1FA83C79" w:rsidR="00377EFE" w:rsidRPr="00C07815" w:rsidRDefault="00377EFE" w:rsidP="00450805">
            <w:pPr>
              <w:jc w:val="both"/>
              <w:rPr>
                <w:sz w:val="21"/>
                <w:szCs w:val="21"/>
                <w:lang w:val="en-US"/>
              </w:rPr>
            </w:pPr>
            <w:r w:rsidRPr="00C07815">
              <w:rPr>
                <w:sz w:val="21"/>
                <w:szCs w:val="21"/>
                <w:lang w:val="en-US"/>
              </w:rPr>
              <w:t>35.4% scored below the normal range in at least one Bayley-III</w:t>
            </w:r>
            <w:r w:rsidR="00450805">
              <w:rPr>
                <w:sz w:val="21"/>
                <w:szCs w:val="21"/>
                <w:lang w:val="en-US"/>
              </w:rPr>
              <w:t xml:space="preserve"> </w:t>
            </w:r>
            <w:r w:rsidRPr="00C07815">
              <w:rPr>
                <w:sz w:val="21"/>
                <w:szCs w:val="21"/>
                <w:lang w:val="en-US"/>
              </w:rPr>
              <w:t>domain. The majority (91.2%) of the infants with delayed scores presented language delay, which was not associated with the gestational age at exposure. Receptive language was more affected than expressive language (27.0% vs 19.8%). Significant, association between the head circumference Z-score at birth and language delay.</w:t>
            </w:r>
          </w:p>
        </w:tc>
      </w:tr>
      <w:tr w:rsidR="00C07815" w:rsidRPr="00C07815" w14:paraId="37223E6D" w14:textId="77777777" w:rsidTr="00450805">
        <w:trPr>
          <w:trHeight w:val="1937"/>
        </w:trPr>
        <w:tc>
          <w:tcPr>
            <w:tcW w:w="0" w:type="auto"/>
            <w:tcBorders>
              <w:top w:val="single" w:sz="4" w:space="0" w:color="BFBFBF" w:themeColor="background1" w:themeShade="BF"/>
              <w:bottom w:val="single" w:sz="4" w:space="0" w:color="BFBFBF" w:themeColor="background1" w:themeShade="BF"/>
            </w:tcBorders>
            <w:vAlign w:val="center"/>
          </w:tcPr>
          <w:p w14:paraId="70A38676" w14:textId="77777777" w:rsidR="00377EFE" w:rsidRPr="00C07815" w:rsidRDefault="00377EFE" w:rsidP="00C07815">
            <w:pPr>
              <w:rPr>
                <w:rFonts w:eastAsia="Times New Roman"/>
                <w:sz w:val="21"/>
                <w:szCs w:val="21"/>
                <w:shd w:val="clear" w:color="auto" w:fill="FFFFFF"/>
                <w:lang w:val="en-US"/>
              </w:rPr>
            </w:pPr>
            <w:r w:rsidRPr="00C07815">
              <w:rPr>
                <w:rFonts w:eastAsia="Times New Roman"/>
                <w:sz w:val="21"/>
                <w:szCs w:val="21"/>
                <w:shd w:val="clear" w:color="auto" w:fill="FFFFFF"/>
                <w:lang w:val="en-US"/>
              </w:rPr>
              <w:t>Case series</w:t>
            </w:r>
          </w:p>
          <w:p w14:paraId="4C6A4039" w14:textId="77777777" w:rsidR="00377EFE" w:rsidRPr="00C07815" w:rsidRDefault="00377EFE" w:rsidP="00C07815">
            <w:pPr>
              <w:rPr>
                <w:rFonts w:eastAsia="Times New Roman"/>
                <w:sz w:val="21"/>
                <w:szCs w:val="21"/>
                <w:shd w:val="clear" w:color="auto" w:fill="FFFFFF"/>
                <w:lang w:val="en-US"/>
              </w:rPr>
            </w:pPr>
            <w:r w:rsidRPr="00C07815">
              <w:rPr>
                <w:rFonts w:eastAsia="Times New Roman"/>
                <w:sz w:val="21"/>
                <w:szCs w:val="21"/>
                <w:shd w:val="clear" w:color="auto" w:fill="FFFFFF"/>
                <w:lang w:val="en-US"/>
              </w:rPr>
              <w:t>No control group</w:t>
            </w:r>
          </w:p>
          <w:p w14:paraId="232E9F27" w14:textId="45A710A8" w:rsidR="00377EFE" w:rsidRPr="00C07815" w:rsidRDefault="00377EFE" w:rsidP="00C07815">
            <w:pPr>
              <w:rPr>
                <w:rFonts w:eastAsia="Times New Roman"/>
                <w:sz w:val="21"/>
                <w:szCs w:val="21"/>
                <w:lang w:val="en-US"/>
              </w:rPr>
            </w:pPr>
            <w:r w:rsidRPr="00C07815">
              <w:rPr>
                <w:rFonts w:eastAsia="Times New Roman"/>
                <w:sz w:val="21"/>
                <w:szCs w:val="21"/>
                <w:shd w:val="clear" w:color="auto" w:fill="FFFFFF"/>
                <w:lang w:val="en-US"/>
              </w:rPr>
              <w:t>Aizawa et al.</w:t>
            </w:r>
            <w:r w:rsidR="00450805">
              <w:rPr>
                <w:rFonts w:eastAsia="Times New Roman"/>
                <w:sz w:val="21"/>
                <w:szCs w:val="21"/>
                <w:shd w:val="clear" w:color="auto" w:fill="FFFFFF"/>
                <w:lang w:val="en-US"/>
              </w:rPr>
              <w:t>,</w:t>
            </w:r>
            <w:r w:rsidRPr="00C07815">
              <w:rPr>
                <w:rFonts w:eastAsia="Times New Roman"/>
                <w:sz w:val="21"/>
                <w:szCs w:val="21"/>
                <w:shd w:val="clear" w:color="auto" w:fill="FFFFFF"/>
                <w:lang w:val="en-US"/>
              </w:rPr>
              <w:t xml:space="preserve"> 2020</w:t>
            </w:r>
          </w:p>
          <w:p w14:paraId="4E9C69D8" w14:textId="24A6E476" w:rsidR="00377EFE" w:rsidRPr="00C07815" w:rsidRDefault="00377EFE" w:rsidP="00C07815">
            <w:pPr>
              <w:rPr>
                <w:sz w:val="21"/>
                <w:szCs w:val="21"/>
                <w:lang w:val="en-US"/>
              </w:rPr>
            </w:pPr>
            <w:r w:rsidRPr="00C07815">
              <w:rPr>
                <w:sz w:val="21"/>
                <w:szCs w:val="21"/>
                <w:lang w:val="en-US"/>
              </w:rPr>
              <w:t xml:space="preserve">Sao Paulo, </w:t>
            </w:r>
            <w:r w:rsidR="00D56A23" w:rsidRPr="00C07815">
              <w:rPr>
                <w:sz w:val="21"/>
                <w:szCs w:val="21"/>
                <w:lang w:val="en-US"/>
              </w:rPr>
              <w:t>Brazil</w:t>
            </w:r>
          </w:p>
        </w:tc>
        <w:tc>
          <w:tcPr>
            <w:tcW w:w="0" w:type="auto"/>
            <w:tcBorders>
              <w:top w:val="single" w:sz="4" w:space="0" w:color="BFBFBF" w:themeColor="background1" w:themeShade="BF"/>
              <w:bottom w:val="single" w:sz="4" w:space="0" w:color="BFBFBF" w:themeColor="background1" w:themeShade="BF"/>
            </w:tcBorders>
            <w:vAlign w:val="center"/>
          </w:tcPr>
          <w:p w14:paraId="619552AB" w14:textId="77777777" w:rsidR="00377EFE" w:rsidRPr="00C07815" w:rsidRDefault="00377EFE" w:rsidP="00C07815">
            <w:pPr>
              <w:jc w:val="center"/>
              <w:rPr>
                <w:sz w:val="21"/>
                <w:szCs w:val="21"/>
                <w:lang w:val="en-US"/>
              </w:rPr>
            </w:pPr>
            <w:r w:rsidRPr="00C07815">
              <w:rPr>
                <w:sz w:val="21"/>
                <w:szCs w:val="21"/>
                <w:lang w:val="en-US"/>
              </w:rPr>
              <w:t>31 children of ZIKV infected mothers</w:t>
            </w:r>
          </w:p>
        </w:tc>
        <w:tc>
          <w:tcPr>
            <w:tcW w:w="0" w:type="auto"/>
            <w:tcBorders>
              <w:top w:val="single" w:sz="4" w:space="0" w:color="BFBFBF" w:themeColor="background1" w:themeShade="BF"/>
              <w:bottom w:val="single" w:sz="4" w:space="0" w:color="BFBFBF" w:themeColor="background1" w:themeShade="BF"/>
            </w:tcBorders>
            <w:vAlign w:val="center"/>
          </w:tcPr>
          <w:p w14:paraId="389143BC"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37E0666E" w14:textId="77777777" w:rsidR="00377EFE" w:rsidRPr="00C07815" w:rsidRDefault="00377EFE" w:rsidP="00C07815">
            <w:pPr>
              <w:jc w:val="center"/>
              <w:rPr>
                <w:sz w:val="21"/>
                <w:szCs w:val="21"/>
                <w:lang w:val="en-US"/>
              </w:rPr>
            </w:pPr>
            <w:r w:rsidRPr="00C07815">
              <w:rPr>
                <w:sz w:val="21"/>
                <w:szCs w:val="21"/>
                <w:lang w:val="en-US"/>
              </w:rPr>
              <w:t>33–38 m 36±1,24 m</w:t>
            </w:r>
          </w:p>
        </w:tc>
        <w:tc>
          <w:tcPr>
            <w:tcW w:w="0" w:type="auto"/>
            <w:tcBorders>
              <w:top w:val="single" w:sz="4" w:space="0" w:color="BFBFBF" w:themeColor="background1" w:themeShade="BF"/>
              <w:bottom w:val="single" w:sz="4" w:space="0" w:color="BFBFBF" w:themeColor="background1" w:themeShade="BF"/>
            </w:tcBorders>
            <w:vAlign w:val="center"/>
          </w:tcPr>
          <w:p w14:paraId="36C6495A" w14:textId="77777777" w:rsidR="00377EFE" w:rsidRPr="00C07815" w:rsidRDefault="00377EFE" w:rsidP="00C07815">
            <w:pPr>
              <w:jc w:val="center"/>
              <w:rPr>
                <w:sz w:val="21"/>
                <w:szCs w:val="21"/>
                <w:lang w:val="en-US"/>
              </w:rPr>
            </w:pPr>
            <w:r w:rsidRPr="00C07815">
              <w:rPr>
                <w:sz w:val="21"/>
                <w:szCs w:val="21"/>
                <w:lang w:val="en-US"/>
              </w:rPr>
              <w:t>BSID-III</w:t>
            </w:r>
          </w:p>
        </w:tc>
        <w:tc>
          <w:tcPr>
            <w:tcW w:w="0" w:type="auto"/>
            <w:tcBorders>
              <w:top w:val="single" w:sz="4" w:space="0" w:color="BFBFBF" w:themeColor="background1" w:themeShade="BF"/>
              <w:bottom w:val="single" w:sz="4" w:space="0" w:color="BFBFBF" w:themeColor="background1" w:themeShade="BF"/>
            </w:tcBorders>
            <w:vAlign w:val="center"/>
          </w:tcPr>
          <w:p w14:paraId="6FF8CECB" w14:textId="77777777" w:rsidR="00377EFE" w:rsidRPr="00C07815" w:rsidRDefault="00377EFE" w:rsidP="00450805">
            <w:pPr>
              <w:jc w:val="both"/>
              <w:rPr>
                <w:sz w:val="21"/>
                <w:szCs w:val="21"/>
                <w:lang w:val="en-US"/>
              </w:rPr>
            </w:pPr>
            <w:r w:rsidRPr="00C07815">
              <w:rPr>
                <w:sz w:val="21"/>
                <w:szCs w:val="21"/>
                <w:lang w:val="en-US"/>
              </w:rPr>
              <w:t>Most children (74%) had average neurodevelopmental scores and 8 children (26%) presented delay in some domain. Language was the most affected: 7 (22.6%) had a delay in this domain (2 severe delay). Moderate delay was detected in the cognitive (3.2%) and motor (10%) domains. Maternal illness in the third trimester of pregnancy and later gestational age at birth were associated with higher Bayley-III scores</w:t>
            </w:r>
          </w:p>
        </w:tc>
      </w:tr>
      <w:tr w:rsidR="00C07815" w:rsidRPr="00C07815" w14:paraId="7E7C868F" w14:textId="77777777" w:rsidTr="00450805">
        <w:trPr>
          <w:trHeight w:val="1475"/>
        </w:trPr>
        <w:tc>
          <w:tcPr>
            <w:tcW w:w="0" w:type="auto"/>
            <w:tcBorders>
              <w:top w:val="single" w:sz="4" w:space="0" w:color="BFBFBF" w:themeColor="background1" w:themeShade="BF"/>
              <w:bottom w:val="single" w:sz="4" w:space="0" w:color="BFBFBF" w:themeColor="background1" w:themeShade="BF"/>
            </w:tcBorders>
            <w:vAlign w:val="center"/>
          </w:tcPr>
          <w:p w14:paraId="37C1BF07" w14:textId="77777777" w:rsidR="00377EFE" w:rsidRPr="00C07815" w:rsidRDefault="00377EFE" w:rsidP="00C07815">
            <w:pPr>
              <w:rPr>
                <w:sz w:val="21"/>
                <w:szCs w:val="21"/>
                <w:shd w:val="clear" w:color="auto" w:fill="FFFFFF"/>
                <w:lang w:val="en-US"/>
              </w:rPr>
            </w:pPr>
            <w:r w:rsidRPr="00C07815">
              <w:rPr>
                <w:sz w:val="21"/>
                <w:szCs w:val="21"/>
                <w:shd w:val="clear" w:color="auto" w:fill="FFFFFF"/>
                <w:lang w:val="en-US"/>
              </w:rPr>
              <w:lastRenderedPageBreak/>
              <w:t>Case-series</w:t>
            </w:r>
          </w:p>
          <w:p w14:paraId="1ECA4ACF" w14:textId="77777777" w:rsidR="00377EFE" w:rsidRPr="00C07815" w:rsidRDefault="00377EFE" w:rsidP="00C07815">
            <w:pPr>
              <w:rPr>
                <w:sz w:val="21"/>
                <w:szCs w:val="21"/>
                <w:shd w:val="clear" w:color="auto" w:fill="FFFFFF"/>
                <w:lang w:val="en-US"/>
              </w:rPr>
            </w:pPr>
            <w:r w:rsidRPr="00C07815">
              <w:rPr>
                <w:sz w:val="21"/>
                <w:szCs w:val="21"/>
                <w:shd w:val="clear" w:color="auto" w:fill="FFFFFF"/>
                <w:lang w:val="en-US"/>
              </w:rPr>
              <w:t>No control group</w:t>
            </w:r>
          </w:p>
          <w:p w14:paraId="51A4A3D1" w14:textId="3577B6DA" w:rsidR="00377EFE" w:rsidRPr="00C07815" w:rsidRDefault="00377EFE" w:rsidP="00C07815">
            <w:pPr>
              <w:rPr>
                <w:sz w:val="21"/>
                <w:szCs w:val="21"/>
                <w:shd w:val="clear" w:color="auto" w:fill="FFFFFF"/>
                <w:lang w:val="en-US"/>
              </w:rPr>
            </w:pPr>
            <w:r w:rsidRPr="00C07815">
              <w:rPr>
                <w:sz w:val="21"/>
                <w:szCs w:val="21"/>
                <w:shd w:val="clear" w:color="auto" w:fill="FFFFFF"/>
                <w:lang w:val="en-US"/>
              </w:rPr>
              <w:t>Cardona-Ospina</w:t>
            </w:r>
            <w:r w:rsidR="00450805">
              <w:rPr>
                <w:sz w:val="21"/>
                <w:szCs w:val="21"/>
                <w:shd w:val="clear" w:color="auto" w:fill="FFFFFF"/>
                <w:lang w:val="en-US"/>
              </w:rPr>
              <w:t xml:space="preserve"> </w:t>
            </w:r>
            <w:r w:rsidRPr="00C07815">
              <w:rPr>
                <w:sz w:val="21"/>
                <w:szCs w:val="21"/>
                <w:shd w:val="clear" w:color="auto" w:fill="FFFFFF"/>
                <w:lang w:val="en-US"/>
              </w:rPr>
              <w:t>et al.</w:t>
            </w:r>
            <w:r w:rsidR="00450805">
              <w:rPr>
                <w:sz w:val="21"/>
                <w:szCs w:val="21"/>
                <w:shd w:val="clear" w:color="auto" w:fill="FFFFFF"/>
                <w:lang w:val="en-US"/>
              </w:rPr>
              <w:t>,</w:t>
            </w:r>
            <w:r w:rsidRPr="00C07815">
              <w:rPr>
                <w:sz w:val="21"/>
                <w:szCs w:val="21"/>
                <w:shd w:val="clear" w:color="auto" w:fill="FFFFFF"/>
                <w:lang w:val="en-US"/>
              </w:rPr>
              <w:t xml:space="preserve"> 2021</w:t>
            </w:r>
          </w:p>
          <w:p w14:paraId="342D60BE" w14:textId="77777777" w:rsidR="00377EFE" w:rsidRPr="00C07815" w:rsidRDefault="00377EFE" w:rsidP="00C07815">
            <w:pPr>
              <w:rPr>
                <w:sz w:val="21"/>
                <w:szCs w:val="21"/>
                <w:lang w:val="en-US"/>
              </w:rPr>
            </w:pPr>
            <w:r w:rsidRPr="00C07815">
              <w:rPr>
                <w:sz w:val="21"/>
                <w:szCs w:val="21"/>
                <w:lang w:val="en-US"/>
              </w:rPr>
              <w:t>Risaralda, Colombia</w:t>
            </w:r>
          </w:p>
        </w:tc>
        <w:tc>
          <w:tcPr>
            <w:tcW w:w="0" w:type="auto"/>
            <w:tcBorders>
              <w:top w:val="single" w:sz="4" w:space="0" w:color="BFBFBF" w:themeColor="background1" w:themeShade="BF"/>
              <w:bottom w:val="single" w:sz="4" w:space="0" w:color="BFBFBF" w:themeColor="background1" w:themeShade="BF"/>
            </w:tcBorders>
            <w:vAlign w:val="center"/>
          </w:tcPr>
          <w:p w14:paraId="4BE52E5E" w14:textId="77777777" w:rsidR="00377EFE" w:rsidRPr="00C07815" w:rsidRDefault="00377EFE" w:rsidP="00C07815">
            <w:pPr>
              <w:jc w:val="center"/>
              <w:rPr>
                <w:sz w:val="21"/>
                <w:szCs w:val="21"/>
                <w:lang w:val="en-US"/>
              </w:rPr>
            </w:pPr>
            <w:r w:rsidRPr="00C07815">
              <w:rPr>
                <w:sz w:val="21"/>
                <w:szCs w:val="21"/>
                <w:lang w:val="en-US"/>
              </w:rPr>
              <w:t>16 normocephalic</w:t>
            </w:r>
          </w:p>
        </w:tc>
        <w:tc>
          <w:tcPr>
            <w:tcW w:w="0" w:type="auto"/>
            <w:tcBorders>
              <w:top w:val="single" w:sz="4" w:space="0" w:color="BFBFBF" w:themeColor="background1" w:themeShade="BF"/>
              <w:bottom w:val="single" w:sz="4" w:space="0" w:color="BFBFBF" w:themeColor="background1" w:themeShade="BF"/>
            </w:tcBorders>
            <w:vAlign w:val="center"/>
          </w:tcPr>
          <w:p w14:paraId="3230A1B8"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0EB8D3F5" w14:textId="36FDC6F9" w:rsidR="00377EFE" w:rsidRPr="00C07815" w:rsidRDefault="00377EFE" w:rsidP="00C07815">
            <w:pPr>
              <w:jc w:val="center"/>
              <w:rPr>
                <w:sz w:val="21"/>
                <w:szCs w:val="21"/>
                <w:lang w:val="en-US"/>
              </w:rPr>
            </w:pPr>
            <w:r w:rsidRPr="00C07815">
              <w:rPr>
                <w:sz w:val="21"/>
                <w:szCs w:val="21"/>
                <w:lang w:val="en-US"/>
              </w:rPr>
              <w:t>28 m</w:t>
            </w:r>
          </w:p>
          <w:p w14:paraId="63A815C0" w14:textId="77777777" w:rsidR="00377EFE" w:rsidRPr="00C07815" w:rsidRDefault="00377EFE" w:rsidP="00C07815">
            <w:pPr>
              <w:jc w:val="center"/>
              <w:rPr>
                <w:sz w:val="21"/>
                <w:szCs w:val="21"/>
                <w:lang w:val="en-US"/>
              </w:rPr>
            </w:pPr>
            <w:r w:rsidRPr="00C07815">
              <w:rPr>
                <w:sz w:val="21"/>
                <w:szCs w:val="21"/>
                <w:lang w:val="en-US"/>
              </w:rPr>
              <w:t>(23-31)</w:t>
            </w:r>
          </w:p>
        </w:tc>
        <w:tc>
          <w:tcPr>
            <w:tcW w:w="0" w:type="auto"/>
            <w:tcBorders>
              <w:top w:val="single" w:sz="4" w:space="0" w:color="BFBFBF" w:themeColor="background1" w:themeShade="BF"/>
              <w:bottom w:val="single" w:sz="4" w:space="0" w:color="BFBFBF" w:themeColor="background1" w:themeShade="BF"/>
            </w:tcBorders>
            <w:vAlign w:val="center"/>
          </w:tcPr>
          <w:p w14:paraId="425745FC" w14:textId="77777777" w:rsidR="00377EFE" w:rsidRPr="00C07815" w:rsidRDefault="00377EFE" w:rsidP="00C07815">
            <w:pPr>
              <w:jc w:val="center"/>
              <w:rPr>
                <w:sz w:val="21"/>
                <w:szCs w:val="21"/>
                <w:lang w:val="en-US"/>
              </w:rPr>
            </w:pPr>
            <w:r w:rsidRPr="00C07815">
              <w:rPr>
                <w:sz w:val="21"/>
                <w:szCs w:val="21"/>
                <w:lang w:val="en-US"/>
              </w:rPr>
              <w:t>Abbreviated neurodevelopment scale 2 validated for Colombia</w:t>
            </w:r>
          </w:p>
        </w:tc>
        <w:tc>
          <w:tcPr>
            <w:tcW w:w="0" w:type="auto"/>
            <w:tcBorders>
              <w:top w:val="single" w:sz="4" w:space="0" w:color="BFBFBF" w:themeColor="background1" w:themeShade="BF"/>
              <w:bottom w:val="single" w:sz="4" w:space="0" w:color="BFBFBF" w:themeColor="background1" w:themeShade="BF"/>
            </w:tcBorders>
            <w:vAlign w:val="center"/>
          </w:tcPr>
          <w:p w14:paraId="2924A938" w14:textId="77777777" w:rsidR="00377EFE" w:rsidRPr="00C07815" w:rsidRDefault="00377EFE" w:rsidP="00450805">
            <w:pPr>
              <w:jc w:val="both"/>
              <w:rPr>
                <w:sz w:val="21"/>
                <w:szCs w:val="21"/>
                <w:lang w:val="en-US"/>
              </w:rPr>
            </w:pPr>
            <w:r w:rsidRPr="00C07815">
              <w:rPr>
                <w:sz w:val="21"/>
                <w:szCs w:val="21"/>
                <w:lang w:val="en-US"/>
              </w:rPr>
              <w:t>Five patients presented post-natal microcephaly and six patients developed macrocephaly. Patients with a normal head circumference had normal neurodevelopment. 15/16 had normal neurodevelopment, only one patient with microcephaly persisted with impairment of the neurodevelopment at the end of follow-up.</w:t>
            </w:r>
          </w:p>
        </w:tc>
      </w:tr>
      <w:tr w:rsidR="00C07815" w:rsidRPr="00C07815" w14:paraId="60EBFFA2" w14:textId="77777777" w:rsidTr="00450805">
        <w:trPr>
          <w:trHeight w:val="1475"/>
        </w:trPr>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A430527" w14:textId="77777777" w:rsidR="00377EFE" w:rsidRPr="00C07815" w:rsidRDefault="00377EFE" w:rsidP="00C07815">
            <w:pPr>
              <w:rPr>
                <w:sz w:val="21"/>
                <w:szCs w:val="21"/>
                <w:shd w:val="clear" w:color="auto" w:fill="FFFFFF"/>
                <w:lang w:val="en-US"/>
              </w:rPr>
            </w:pPr>
            <w:r w:rsidRPr="00C07815">
              <w:rPr>
                <w:sz w:val="21"/>
                <w:szCs w:val="21"/>
                <w:lang w:val="en-US"/>
              </w:rPr>
              <w:t>Cohort study</w:t>
            </w:r>
          </w:p>
          <w:p w14:paraId="48295D8B" w14:textId="24CC40C4" w:rsidR="00377EFE" w:rsidRPr="00C07815" w:rsidRDefault="00377EFE" w:rsidP="00C07815">
            <w:pPr>
              <w:rPr>
                <w:sz w:val="21"/>
                <w:szCs w:val="21"/>
                <w:shd w:val="clear" w:color="auto" w:fill="FFFFFF"/>
                <w:lang w:val="en-US"/>
              </w:rPr>
            </w:pPr>
            <w:r w:rsidRPr="00C07815">
              <w:rPr>
                <w:sz w:val="21"/>
                <w:szCs w:val="21"/>
                <w:shd w:val="clear" w:color="auto" w:fill="FFFFFF"/>
                <w:lang w:val="en-US"/>
              </w:rPr>
              <w:t>Grant et al.</w:t>
            </w:r>
            <w:r w:rsidR="00450805">
              <w:rPr>
                <w:sz w:val="21"/>
                <w:szCs w:val="21"/>
                <w:shd w:val="clear" w:color="auto" w:fill="FFFFFF"/>
                <w:lang w:val="en-US"/>
              </w:rPr>
              <w:t>,</w:t>
            </w:r>
            <w:r w:rsidRPr="00C07815">
              <w:rPr>
                <w:sz w:val="21"/>
                <w:szCs w:val="21"/>
                <w:shd w:val="clear" w:color="auto" w:fill="FFFFFF"/>
                <w:lang w:val="en-US"/>
              </w:rPr>
              <w:t xml:space="preserve"> 2021</w:t>
            </w:r>
          </w:p>
          <w:p w14:paraId="75F6760F" w14:textId="77777777" w:rsidR="00377EFE" w:rsidRPr="00C07815" w:rsidRDefault="00377EFE" w:rsidP="00C07815">
            <w:pPr>
              <w:rPr>
                <w:sz w:val="21"/>
                <w:szCs w:val="21"/>
                <w:shd w:val="clear" w:color="auto" w:fill="FFFFFF"/>
                <w:lang w:val="en-US"/>
              </w:rPr>
            </w:pPr>
            <w:r w:rsidRPr="00C07815">
              <w:rPr>
                <w:sz w:val="21"/>
                <w:szCs w:val="21"/>
                <w:lang w:val="en-US"/>
              </w:rPr>
              <w:t>Guadeloupe, Martinique, and French Guiana</w:t>
            </w:r>
          </w:p>
        </w:tc>
        <w:tc>
          <w:tcPr>
            <w:tcW w:w="0" w:type="auto"/>
            <w:tcBorders>
              <w:top w:val="single" w:sz="4" w:space="0" w:color="BFBFBF" w:themeColor="background1" w:themeShade="BF"/>
              <w:bottom w:val="single" w:sz="4" w:space="0" w:color="BFBFBF" w:themeColor="background1" w:themeShade="BF"/>
            </w:tcBorders>
            <w:vAlign w:val="center"/>
          </w:tcPr>
          <w:p w14:paraId="0B1C121E" w14:textId="77777777" w:rsidR="00377EFE" w:rsidRPr="00C07815" w:rsidRDefault="00377EFE" w:rsidP="00C07815">
            <w:pPr>
              <w:jc w:val="center"/>
              <w:rPr>
                <w:sz w:val="21"/>
                <w:szCs w:val="21"/>
                <w:lang w:val="en-US"/>
              </w:rPr>
            </w:pPr>
            <w:r w:rsidRPr="00C07815">
              <w:rPr>
                <w:sz w:val="21"/>
                <w:szCs w:val="21"/>
                <w:lang w:val="en-US"/>
              </w:rPr>
              <w:t>156 of ZIKV infected mothers vs</w:t>
            </w:r>
          </w:p>
          <w:p w14:paraId="4EEFB555" w14:textId="5E8BDED6" w:rsidR="00377EFE" w:rsidRPr="00C07815" w:rsidRDefault="00377EFE" w:rsidP="00C07815">
            <w:pPr>
              <w:jc w:val="center"/>
              <w:rPr>
                <w:sz w:val="21"/>
                <w:szCs w:val="21"/>
                <w:lang w:val="en-US"/>
              </w:rPr>
            </w:pPr>
            <w:r w:rsidRPr="00C07815">
              <w:rPr>
                <w:sz w:val="21"/>
                <w:szCs w:val="21"/>
                <w:lang w:val="en-US"/>
              </w:rPr>
              <w:t xml:space="preserve">79 </w:t>
            </w:r>
            <w:r w:rsidR="00C07815" w:rsidRPr="00C07815">
              <w:rPr>
                <w:sz w:val="21"/>
                <w:szCs w:val="21"/>
                <w:lang w:val="en-US"/>
              </w:rPr>
              <w:t>without</w:t>
            </w:r>
            <w:r w:rsidRPr="00C07815">
              <w:rPr>
                <w:sz w:val="21"/>
                <w:szCs w:val="21"/>
                <w:lang w:val="en-US"/>
              </w:rPr>
              <w:t xml:space="preserve"> ZIKV exposure</w:t>
            </w:r>
          </w:p>
        </w:tc>
        <w:tc>
          <w:tcPr>
            <w:tcW w:w="0" w:type="auto"/>
            <w:tcBorders>
              <w:top w:val="single" w:sz="4" w:space="0" w:color="BFBFBF" w:themeColor="background1" w:themeShade="BF"/>
              <w:bottom w:val="single" w:sz="4" w:space="0" w:color="BFBFBF" w:themeColor="background1" w:themeShade="BF"/>
            </w:tcBorders>
            <w:vAlign w:val="center"/>
          </w:tcPr>
          <w:p w14:paraId="5D0C4CB4"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BFBFBF" w:themeColor="background1" w:themeShade="BF"/>
            </w:tcBorders>
            <w:vAlign w:val="center"/>
          </w:tcPr>
          <w:p w14:paraId="3BE77287" w14:textId="77777777" w:rsidR="00377EFE" w:rsidRPr="00C07815" w:rsidRDefault="00377EFE" w:rsidP="00C07815">
            <w:pPr>
              <w:jc w:val="center"/>
              <w:rPr>
                <w:sz w:val="21"/>
                <w:szCs w:val="21"/>
                <w:lang w:val="en-US"/>
              </w:rPr>
            </w:pPr>
            <w:r w:rsidRPr="00C07815">
              <w:rPr>
                <w:sz w:val="21"/>
                <w:szCs w:val="21"/>
                <w:lang w:val="en-US"/>
              </w:rPr>
              <w:t>24 m (±1 m)</w:t>
            </w:r>
          </w:p>
        </w:tc>
        <w:tc>
          <w:tcPr>
            <w:tcW w:w="0" w:type="auto"/>
            <w:tcBorders>
              <w:top w:val="single" w:sz="4" w:space="0" w:color="BFBFBF" w:themeColor="background1" w:themeShade="BF"/>
              <w:bottom w:val="single" w:sz="4" w:space="0" w:color="BFBFBF" w:themeColor="background1" w:themeShade="BF"/>
            </w:tcBorders>
            <w:vAlign w:val="center"/>
          </w:tcPr>
          <w:p w14:paraId="3921766A" w14:textId="77777777" w:rsidR="00377EFE" w:rsidRPr="00C07815" w:rsidRDefault="00377EFE" w:rsidP="00C07815">
            <w:pPr>
              <w:jc w:val="center"/>
              <w:rPr>
                <w:sz w:val="21"/>
                <w:szCs w:val="21"/>
                <w:lang w:val="en-US"/>
              </w:rPr>
            </w:pPr>
            <w:r w:rsidRPr="00C07815">
              <w:rPr>
                <w:sz w:val="21"/>
                <w:szCs w:val="21"/>
                <w:lang w:val="en-US"/>
              </w:rPr>
              <w:t>ASQ3</w:t>
            </w:r>
          </w:p>
          <w:p w14:paraId="53C8A463" w14:textId="77777777" w:rsidR="00377EFE" w:rsidRPr="00C07815" w:rsidRDefault="00377EFE" w:rsidP="00C07815">
            <w:pPr>
              <w:jc w:val="center"/>
              <w:rPr>
                <w:sz w:val="21"/>
                <w:szCs w:val="21"/>
                <w:lang w:val="en-US"/>
              </w:rPr>
            </w:pPr>
            <w:r w:rsidRPr="00C07815">
              <w:rPr>
                <w:sz w:val="21"/>
                <w:szCs w:val="21"/>
                <w:lang w:val="en-US"/>
              </w:rPr>
              <w:t>M-CHAT</w:t>
            </w:r>
          </w:p>
          <w:p w14:paraId="535748AC" w14:textId="77777777" w:rsidR="00377EFE" w:rsidRPr="00C07815" w:rsidRDefault="00377EFE" w:rsidP="00C07815">
            <w:pPr>
              <w:jc w:val="center"/>
              <w:rPr>
                <w:sz w:val="21"/>
                <w:szCs w:val="21"/>
                <w:lang w:val="en-US"/>
              </w:rPr>
            </w:pPr>
            <w:r w:rsidRPr="00C07815">
              <w:rPr>
                <w:sz w:val="21"/>
                <w:szCs w:val="21"/>
                <w:lang w:val="en-US"/>
              </w:rPr>
              <w:t>French MacArthur Inventory Scales (IFDC) for French language acquisition.</w:t>
            </w:r>
          </w:p>
        </w:tc>
        <w:tc>
          <w:tcPr>
            <w:tcW w:w="0" w:type="auto"/>
            <w:tcBorders>
              <w:top w:val="single" w:sz="4" w:space="0" w:color="BFBFBF" w:themeColor="background1" w:themeShade="BF"/>
              <w:bottom w:val="single" w:sz="4" w:space="0" w:color="BFBFBF" w:themeColor="background1" w:themeShade="BF"/>
            </w:tcBorders>
            <w:vAlign w:val="center"/>
          </w:tcPr>
          <w:p w14:paraId="4EFAC282" w14:textId="5F45EEFB" w:rsidR="00377EFE" w:rsidRPr="00C07815" w:rsidRDefault="00377EFE" w:rsidP="00450805">
            <w:pPr>
              <w:jc w:val="both"/>
              <w:rPr>
                <w:sz w:val="21"/>
                <w:szCs w:val="21"/>
                <w:lang w:val="en-US"/>
              </w:rPr>
            </w:pPr>
            <w:r w:rsidRPr="00C07815">
              <w:rPr>
                <w:sz w:val="21"/>
                <w:szCs w:val="21"/>
                <w:lang w:val="en-US"/>
              </w:rPr>
              <w:t>15.4% ZIKV-exposed toddlers and 25.3% ZIKV-unexposed</w:t>
            </w:r>
            <w:r w:rsidR="00450805">
              <w:rPr>
                <w:sz w:val="21"/>
                <w:szCs w:val="21"/>
                <w:lang w:val="en-US"/>
              </w:rPr>
              <w:t xml:space="preserve"> </w:t>
            </w:r>
            <w:r w:rsidRPr="00C07815">
              <w:rPr>
                <w:sz w:val="21"/>
                <w:szCs w:val="21"/>
                <w:lang w:val="en-US"/>
              </w:rPr>
              <w:t>toddlers had an ASQ result below the reference − 2SD cut-off (P = 0.10) for at least one of the five ASQ dimensions.</w:t>
            </w:r>
          </w:p>
          <w:p w14:paraId="0504DBCF" w14:textId="77777777" w:rsidR="00377EFE" w:rsidRPr="00C07815" w:rsidRDefault="00377EFE" w:rsidP="00450805">
            <w:pPr>
              <w:jc w:val="both"/>
              <w:rPr>
                <w:sz w:val="21"/>
                <w:szCs w:val="21"/>
                <w:lang w:val="en-US"/>
              </w:rPr>
            </w:pPr>
            <w:r w:rsidRPr="00450805">
              <w:rPr>
                <w:i/>
                <w:iCs/>
                <w:sz w:val="21"/>
                <w:szCs w:val="21"/>
                <w:lang w:val="en-US"/>
              </w:rPr>
              <w:t>In utero</w:t>
            </w:r>
            <w:r w:rsidRPr="00C07815">
              <w:rPr>
                <w:sz w:val="21"/>
                <w:szCs w:val="21"/>
                <w:lang w:val="en-US"/>
              </w:rPr>
              <w:t xml:space="preserve"> ZIKV exposure and sex were identified as independent predictors of an ASQ score for communication below the − 2SD cut-off. </w:t>
            </w:r>
          </w:p>
          <w:p w14:paraId="26713ADD" w14:textId="65CBCEC5" w:rsidR="00377EFE" w:rsidRPr="00C07815" w:rsidRDefault="00377EFE" w:rsidP="00450805">
            <w:pPr>
              <w:jc w:val="both"/>
              <w:rPr>
                <w:sz w:val="21"/>
                <w:szCs w:val="21"/>
                <w:lang w:val="en-US"/>
              </w:rPr>
            </w:pPr>
            <w:r w:rsidRPr="00C07815">
              <w:rPr>
                <w:sz w:val="21"/>
                <w:szCs w:val="21"/>
                <w:lang w:val="en-US"/>
              </w:rPr>
              <w:t>No differences in M-CHAT and in mean language acquisition</w:t>
            </w:r>
            <w:r w:rsidR="00450805">
              <w:rPr>
                <w:sz w:val="21"/>
                <w:szCs w:val="21"/>
                <w:lang w:val="en-US"/>
              </w:rPr>
              <w:t>.</w:t>
            </w:r>
          </w:p>
        </w:tc>
      </w:tr>
      <w:tr w:rsidR="00C07815" w:rsidRPr="00C07815" w14:paraId="4A46BD2D" w14:textId="77777777" w:rsidTr="00450805">
        <w:trPr>
          <w:trHeight w:val="1419"/>
        </w:trPr>
        <w:tc>
          <w:tcPr>
            <w:tcW w:w="0" w:type="auto"/>
            <w:tcBorders>
              <w:top w:val="single" w:sz="4" w:space="0" w:color="BFBFBF" w:themeColor="background1" w:themeShade="BF"/>
              <w:bottom w:val="single" w:sz="4" w:space="0" w:color="auto"/>
            </w:tcBorders>
            <w:shd w:val="clear" w:color="auto" w:fill="auto"/>
            <w:vAlign w:val="center"/>
          </w:tcPr>
          <w:p w14:paraId="58BAD167" w14:textId="77777777" w:rsidR="00377EFE" w:rsidRPr="00C07815" w:rsidRDefault="00377EFE" w:rsidP="00C07815">
            <w:pPr>
              <w:rPr>
                <w:sz w:val="21"/>
                <w:szCs w:val="21"/>
                <w:shd w:val="clear" w:color="auto" w:fill="FFFFFF"/>
                <w:lang w:val="en-US"/>
              </w:rPr>
            </w:pPr>
            <w:r w:rsidRPr="00C07815">
              <w:rPr>
                <w:sz w:val="21"/>
                <w:szCs w:val="21"/>
                <w:lang w:val="en-US"/>
              </w:rPr>
              <w:t>Cohort study</w:t>
            </w:r>
          </w:p>
          <w:p w14:paraId="1200374F" w14:textId="3455A09A" w:rsidR="00377EFE" w:rsidRPr="00C07815" w:rsidRDefault="00377EFE" w:rsidP="00C07815">
            <w:pPr>
              <w:rPr>
                <w:sz w:val="21"/>
                <w:szCs w:val="21"/>
                <w:lang w:val="en-US"/>
              </w:rPr>
            </w:pPr>
            <w:r w:rsidRPr="00C07815">
              <w:rPr>
                <w:sz w:val="21"/>
                <w:szCs w:val="21"/>
                <w:lang w:val="en-US"/>
              </w:rPr>
              <w:t>Familiar et al.</w:t>
            </w:r>
            <w:r w:rsidR="00450805">
              <w:rPr>
                <w:sz w:val="21"/>
                <w:szCs w:val="21"/>
                <w:lang w:val="en-US"/>
              </w:rPr>
              <w:t>,</w:t>
            </w:r>
            <w:r w:rsidRPr="00C07815">
              <w:rPr>
                <w:sz w:val="21"/>
                <w:szCs w:val="21"/>
                <w:lang w:val="en-US"/>
              </w:rPr>
              <w:t xml:space="preserve"> 2021</w:t>
            </w:r>
          </w:p>
          <w:p w14:paraId="2D5691D7" w14:textId="77777777" w:rsidR="00377EFE" w:rsidRPr="00C07815" w:rsidRDefault="00377EFE" w:rsidP="00C07815">
            <w:pPr>
              <w:rPr>
                <w:sz w:val="21"/>
                <w:szCs w:val="21"/>
                <w:lang w:val="en-US"/>
              </w:rPr>
            </w:pPr>
            <w:r w:rsidRPr="00C07815">
              <w:rPr>
                <w:sz w:val="21"/>
                <w:szCs w:val="21"/>
                <w:lang w:val="en-US"/>
              </w:rPr>
              <w:t>Yucatan, Mexico</w:t>
            </w:r>
          </w:p>
        </w:tc>
        <w:tc>
          <w:tcPr>
            <w:tcW w:w="0" w:type="auto"/>
            <w:tcBorders>
              <w:top w:val="single" w:sz="4" w:space="0" w:color="BFBFBF" w:themeColor="background1" w:themeShade="BF"/>
              <w:bottom w:val="single" w:sz="4" w:space="0" w:color="auto"/>
            </w:tcBorders>
            <w:vAlign w:val="center"/>
          </w:tcPr>
          <w:p w14:paraId="6D25AB29" w14:textId="77777777" w:rsidR="00377EFE" w:rsidRPr="00C07815" w:rsidRDefault="00377EFE" w:rsidP="00C07815">
            <w:pPr>
              <w:jc w:val="center"/>
              <w:rPr>
                <w:sz w:val="21"/>
                <w:szCs w:val="21"/>
                <w:lang w:val="en-US"/>
              </w:rPr>
            </w:pPr>
            <w:r w:rsidRPr="00C07815">
              <w:rPr>
                <w:sz w:val="21"/>
                <w:szCs w:val="21"/>
                <w:lang w:val="en-US"/>
              </w:rPr>
              <w:t>60 of ZIKV infected mothers vs</w:t>
            </w:r>
          </w:p>
          <w:p w14:paraId="59243DBA" w14:textId="77777777" w:rsidR="00377EFE" w:rsidRPr="00C07815" w:rsidRDefault="00377EFE" w:rsidP="00C07815">
            <w:pPr>
              <w:jc w:val="center"/>
              <w:rPr>
                <w:sz w:val="21"/>
                <w:szCs w:val="21"/>
                <w:lang w:val="en-US"/>
              </w:rPr>
            </w:pPr>
            <w:r w:rsidRPr="00C07815">
              <w:rPr>
                <w:sz w:val="21"/>
                <w:szCs w:val="21"/>
                <w:lang w:val="en-US"/>
              </w:rPr>
              <w:t>60 without ZIKV exposure</w:t>
            </w:r>
          </w:p>
        </w:tc>
        <w:tc>
          <w:tcPr>
            <w:tcW w:w="0" w:type="auto"/>
            <w:tcBorders>
              <w:top w:val="single" w:sz="4" w:space="0" w:color="BFBFBF" w:themeColor="background1" w:themeShade="BF"/>
              <w:bottom w:val="single" w:sz="4" w:space="0" w:color="auto"/>
            </w:tcBorders>
            <w:vAlign w:val="center"/>
          </w:tcPr>
          <w:p w14:paraId="5E60EFE5" w14:textId="77777777" w:rsidR="00377EFE" w:rsidRPr="00C07815" w:rsidRDefault="00377EFE" w:rsidP="00C07815">
            <w:pPr>
              <w:pStyle w:val="p1"/>
              <w:jc w:val="center"/>
              <w:rPr>
                <w:rFonts w:ascii="Times New Roman" w:hAnsi="Times New Roman"/>
                <w:sz w:val="21"/>
                <w:szCs w:val="21"/>
                <w:shd w:val="clear" w:color="auto" w:fill="FFFFFF"/>
                <w:lang w:val="en-US"/>
              </w:rPr>
            </w:pPr>
            <w:r w:rsidRPr="00C07815">
              <w:rPr>
                <w:rFonts w:ascii="Times New Roman" w:hAnsi="Times New Roman"/>
                <w:sz w:val="21"/>
                <w:szCs w:val="21"/>
                <w:shd w:val="clear" w:color="auto" w:fill="FFFFFF"/>
                <w:lang w:val="en-US"/>
              </w:rPr>
              <w:t>Yes</w:t>
            </w:r>
          </w:p>
        </w:tc>
        <w:tc>
          <w:tcPr>
            <w:tcW w:w="0" w:type="auto"/>
            <w:tcBorders>
              <w:top w:val="single" w:sz="4" w:space="0" w:color="BFBFBF" w:themeColor="background1" w:themeShade="BF"/>
              <w:bottom w:val="single" w:sz="4" w:space="0" w:color="auto"/>
            </w:tcBorders>
            <w:vAlign w:val="center"/>
          </w:tcPr>
          <w:p w14:paraId="47E0108A" w14:textId="77777777" w:rsidR="00377EFE" w:rsidRPr="00C07815" w:rsidRDefault="00377EFE" w:rsidP="00C07815">
            <w:pPr>
              <w:jc w:val="center"/>
              <w:rPr>
                <w:sz w:val="21"/>
                <w:szCs w:val="21"/>
                <w:lang w:val="en-US"/>
              </w:rPr>
            </w:pPr>
            <w:r w:rsidRPr="00C07815">
              <w:rPr>
                <w:sz w:val="21"/>
                <w:szCs w:val="21"/>
                <w:lang w:val="en-US"/>
              </w:rPr>
              <w:t>Approximately 6 m</w:t>
            </w:r>
          </w:p>
          <w:p w14:paraId="79E74AA2" w14:textId="77777777" w:rsidR="00377EFE" w:rsidRPr="00C07815" w:rsidRDefault="00377EFE" w:rsidP="00C07815">
            <w:pPr>
              <w:jc w:val="center"/>
              <w:rPr>
                <w:sz w:val="21"/>
                <w:szCs w:val="21"/>
                <w:lang w:val="en-US"/>
              </w:rPr>
            </w:pPr>
          </w:p>
        </w:tc>
        <w:tc>
          <w:tcPr>
            <w:tcW w:w="0" w:type="auto"/>
            <w:tcBorders>
              <w:top w:val="single" w:sz="4" w:space="0" w:color="BFBFBF" w:themeColor="background1" w:themeShade="BF"/>
              <w:bottom w:val="single" w:sz="4" w:space="0" w:color="auto"/>
            </w:tcBorders>
            <w:vAlign w:val="center"/>
          </w:tcPr>
          <w:p w14:paraId="39271426" w14:textId="77777777" w:rsidR="00377EFE" w:rsidRPr="00C07815" w:rsidRDefault="00377EFE" w:rsidP="00C07815">
            <w:pPr>
              <w:jc w:val="center"/>
              <w:rPr>
                <w:sz w:val="21"/>
                <w:szCs w:val="21"/>
                <w:lang w:val="en-US" w:eastAsia="en-US"/>
              </w:rPr>
            </w:pPr>
            <w:r w:rsidRPr="00C07815">
              <w:rPr>
                <w:sz w:val="21"/>
                <w:szCs w:val="21"/>
                <w:lang w:val="en-US" w:eastAsia="en-US"/>
              </w:rPr>
              <w:t>MSEL</w:t>
            </w:r>
          </w:p>
          <w:p w14:paraId="2B3CD3D7" w14:textId="77777777" w:rsidR="00377EFE" w:rsidRPr="00C07815" w:rsidRDefault="00377EFE" w:rsidP="00C07815">
            <w:pPr>
              <w:jc w:val="center"/>
              <w:rPr>
                <w:rFonts w:eastAsia="Times New Roman"/>
                <w:sz w:val="21"/>
                <w:szCs w:val="21"/>
                <w:lang w:val="en-US"/>
              </w:rPr>
            </w:pPr>
            <w:r w:rsidRPr="00C07815">
              <w:rPr>
                <w:rFonts w:eastAsia="Times New Roman"/>
                <w:sz w:val="21"/>
                <w:szCs w:val="21"/>
                <w:shd w:val="clear" w:color="auto" w:fill="FFFFFF"/>
                <w:lang w:val="en-US"/>
              </w:rPr>
              <w:t>FTII using automated eye-tracking instrumentation</w:t>
            </w:r>
          </w:p>
        </w:tc>
        <w:tc>
          <w:tcPr>
            <w:tcW w:w="0" w:type="auto"/>
            <w:tcBorders>
              <w:top w:val="single" w:sz="4" w:space="0" w:color="BFBFBF" w:themeColor="background1" w:themeShade="BF"/>
              <w:bottom w:val="single" w:sz="4" w:space="0" w:color="auto"/>
            </w:tcBorders>
            <w:vAlign w:val="center"/>
          </w:tcPr>
          <w:p w14:paraId="5797B75F" w14:textId="77777777" w:rsidR="00377EFE" w:rsidRPr="00C07815" w:rsidRDefault="00377EFE" w:rsidP="00450805">
            <w:pPr>
              <w:jc w:val="both"/>
              <w:rPr>
                <w:rFonts w:eastAsia="Times New Roman"/>
                <w:sz w:val="21"/>
                <w:szCs w:val="21"/>
                <w:lang w:val="en-US"/>
              </w:rPr>
            </w:pPr>
            <w:r w:rsidRPr="00C07815">
              <w:rPr>
                <w:rFonts w:eastAsia="Times New Roman"/>
                <w:sz w:val="21"/>
                <w:szCs w:val="21"/>
                <w:shd w:val="clear" w:color="auto" w:fill="FFFFFF"/>
                <w:lang w:val="en-US"/>
              </w:rPr>
              <w:t>All MSEL subscale scores, except expressive language, significantly lower among ZIKV exposed children compared to controls, including the overall standard composite (80 ± 10 vs. 87 ± 7.4, respectively).</w:t>
            </w:r>
          </w:p>
          <w:p w14:paraId="7262904D" w14:textId="32183591" w:rsidR="00377EFE" w:rsidRPr="00C07815" w:rsidRDefault="00377EFE" w:rsidP="00450805">
            <w:pPr>
              <w:jc w:val="both"/>
              <w:rPr>
                <w:rFonts w:eastAsia="Times New Roman"/>
                <w:sz w:val="21"/>
                <w:szCs w:val="21"/>
                <w:lang w:val="en-US"/>
              </w:rPr>
            </w:pPr>
            <w:r w:rsidRPr="00C07815">
              <w:rPr>
                <w:sz w:val="21"/>
                <w:szCs w:val="21"/>
                <w:lang w:val="en-US"/>
              </w:rPr>
              <w:t xml:space="preserve">No statistical differences in </w:t>
            </w:r>
            <w:r w:rsidRPr="00C07815">
              <w:rPr>
                <w:rFonts w:eastAsia="Times New Roman"/>
                <w:sz w:val="21"/>
                <w:szCs w:val="21"/>
                <w:shd w:val="clear" w:color="auto" w:fill="FFFFFF"/>
                <w:lang w:val="en-US"/>
              </w:rPr>
              <w:t>FTII eye-tracking measures of fixation and gaze</w:t>
            </w:r>
            <w:r w:rsidR="00450805">
              <w:rPr>
                <w:rFonts w:eastAsia="Times New Roman"/>
                <w:sz w:val="21"/>
                <w:szCs w:val="21"/>
                <w:shd w:val="clear" w:color="auto" w:fill="FFFFFF"/>
                <w:lang w:val="en-US"/>
              </w:rPr>
              <w:t>.</w:t>
            </w:r>
          </w:p>
        </w:tc>
      </w:tr>
      <w:tr w:rsidR="00C07815" w:rsidRPr="00C07815" w14:paraId="1ADF5C62" w14:textId="77777777" w:rsidTr="00450805">
        <w:trPr>
          <w:trHeight w:val="1419"/>
        </w:trPr>
        <w:tc>
          <w:tcPr>
            <w:tcW w:w="0" w:type="auto"/>
            <w:gridSpan w:val="6"/>
            <w:tcBorders>
              <w:top w:val="single" w:sz="4" w:space="0" w:color="auto"/>
            </w:tcBorders>
            <w:shd w:val="clear" w:color="auto" w:fill="auto"/>
            <w:vAlign w:val="center"/>
          </w:tcPr>
          <w:p w14:paraId="599DEECF" w14:textId="696A283F" w:rsidR="00C07815" w:rsidRPr="00C07815" w:rsidRDefault="00C07815" w:rsidP="00C07815">
            <w:pPr>
              <w:pStyle w:val="p1"/>
              <w:ind w:firstLine="0"/>
              <w:rPr>
                <w:rFonts w:ascii="Times New Roman" w:hAnsi="Times New Roman"/>
                <w:sz w:val="21"/>
                <w:szCs w:val="21"/>
                <w:lang w:val="en-US" w:eastAsia="en-US"/>
              </w:rPr>
            </w:pPr>
            <w:r w:rsidRPr="00C07815">
              <w:rPr>
                <w:rStyle w:val="tlid-translation"/>
                <w:rFonts w:ascii="Times New Roman" w:hAnsi="Times New Roman"/>
                <w:sz w:val="21"/>
                <w:szCs w:val="21"/>
                <w:lang w:val="en-US"/>
              </w:rPr>
              <w:t xml:space="preserve">Age of evaluation: </w:t>
            </w:r>
            <w:r w:rsidRPr="00C07815">
              <w:rPr>
                <w:rFonts w:ascii="Times New Roman" w:hAnsi="Times New Roman"/>
                <w:sz w:val="21"/>
                <w:szCs w:val="21"/>
                <w:lang w:val="en-US"/>
              </w:rPr>
              <w:t xml:space="preserve">mean ± standard deviation or </w:t>
            </w:r>
            <w:r w:rsidR="00D56A23" w:rsidRPr="00C07815">
              <w:rPr>
                <w:rFonts w:ascii="Times New Roman" w:hAnsi="Times New Roman"/>
                <w:sz w:val="21"/>
                <w:szCs w:val="21"/>
                <w:lang w:val="en-US"/>
              </w:rPr>
              <w:t>median</w:t>
            </w:r>
            <w:r w:rsidRPr="00C07815">
              <w:rPr>
                <w:rFonts w:ascii="Times New Roman" w:hAnsi="Times New Roman"/>
                <w:sz w:val="21"/>
                <w:szCs w:val="21"/>
                <w:lang w:val="en-US"/>
              </w:rPr>
              <w:t xml:space="preserve"> (range). m=months, wks= weeks, y= years. </w:t>
            </w:r>
            <w:r w:rsidRPr="00C07815">
              <w:rPr>
                <w:rStyle w:val="tlid-translation"/>
                <w:rFonts w:ascii="Times New Roman" w:hAnsi="Times New Roman"/>
                <w:sz w:val="21"/>
                <w:szCs w:val="21"/>
                <w:lang w:val="en-US"/>
              </w:rPr>
              <w:t xml:space="preserve">AIMS - </w:t>
            </w:r>
            <w:r w:rsidRPr="00C07815">
              <w:rPr>
                <w:rFonts w:ascii="Times New Roman" w:hAnsi="Times New Roman"/>
                <w:i/>
                <w:sz w:val="21"/>
                <w:szCs w:val="21"/>
                <w:lang w:val="en-US"/>
              </w:rPr>
              <w:t xml:space="preserve">Alberta Infant Motor Scale; </w:t>
            </w:r>
            <w:r w:rsidRPr="00C07815">
              <w:rPr>
                <w:rFonts w:ascii="Times New Roman" w:hAnsi="Times New Roman"/>
                <w:iCs/>
                <w:sz w:val="21"/>
                <w:szCs w:val="21"/>
                <w:lang w:val="en-US"/>
              </w:rPr>
              <w:t xml:space="preserve">ICF: </w:t>
            </w:r>
            <w:r w:rsidRPr="00C07815">
              <w:rPr>
                <w:rFonts w:ascii="Times New Roman" w:hAnsi="Times New Roman"/>
                <w:i/>
                <w:iCs/>
                <w:sz w:val="21"/>
                <w:szCs w:val="21"/>
                <w:lang w:val="en-US" w:eastAsia="en-US"/>
              </w:rPr>
              <w:t>The International Classification of Functioning Disability and Health</w:t>
            </w:r>
            <w:r w:rsidRPr="00C07815">
              <w:rPr>
                <w:rFonts w:ascii="Times New Roman" w:hAnsi="Times New Roman"/>
                <w:sz w:val="21"/>
                <w:szCs w:val="21"/>
                <w:lang w:val="en-US" w:eastAsia="en-US"/>
              </w:rPr>
              <w:t xml:space="preserve">; </w:t>
            </w:r>
            <w:r w:rsidRPr="00C07815">
              <w:rPr>
                <w:rFonts w:ascii="Times New Roman" w:hAnsi="Times New Roman"/>
                <w:sz w:val="21"/>
                <w:szCs w:val="21"/>
                <w:lang w:val="en-US"/>
              </w:rPr>
              <w:t>ASQ-3</w:t>
            </w:r>
            <w:r w:rsidRPr="00C07815">
              <w:rPr>
                <w:rFonts w:ascii="Times New Roman" w:hAnsi="Times New Roman"/>
                <w:sz w:val="21"/>
                <w:szCs w:val="21"/>
                <w:lang w:val="en-US" w:eastAsia="en-US"/>
              </w:rPr>
              <w:t xml:space="preserve"> </w:t>
            </w:r>
            <w:r w:rsidRPr="00C07815">
              <w:rPr>
                <w:rFonts w:ascii="Times New Roman" w:hAnsi="Times New Roman"/>
                <w:i/>
                <w:iCs/>
                <w:sz w:val="21"/>
                <w:szCs w:val="21"/>
                <w:lang w:val="en-US" w:eastAsia="en-US"/>
              </w:rPr>
              <w:t>Ages and Stages Questionnaire, 3rd edition</w:t>
            </w:r>
            <w:r w:rsidRPr="00C07815">
              <w:rPr>
                <w:rFonts w:ascii="Times New Roman" w:hAnsi="Times New Roman"/>
                <w:sz w:val="21"/>
                <w:szCs w:val="21"/>
                <w:lang w:val="en-US" w:eastAsia="en-US"/>
              </w:rPr>
              <w:t xml:space="preserve">; </w:t>
            </w:r>
            <w:r w:rsidRPr="00C07815">
              <w:rPr>
                <w:rFonts w:ascii="Times New Roman" w:hAnsi="Times New Roman"/>
                <w:sz w:val="21"/>
                <w:szCs w:val="21"/>
                <w:lang w:val="en-US"/>
              </w:rPr>
              <w:t>BSID-III</w:t>
            </w:r>
            <w:r w:rsidRPr="00C07815">
              <w:rPr>
                <w:rFonts w:ascii="Times New Roman" w:hAnsi="Times New Roman"/>
                <w:sz w:val="21"/>
                <w:szCs w:val="21"/>
                <w:lang w:val="en-US" w:eastAsia="en-US"/>
              </w:rPr>
              <w:t xml:space="preserve">: </w:t>
            </w:r>
            <w:r w:rsidRPr="00C07815">
              <w:rPr>
                <w:rFonts w:ascii="Times New Roman" w:hAnsi="Times New Roman"/>
                <w:i/>
                <w:sz w:val="21"/>
                <w:szCs w:val="21"/>
                <w:lang w:val="en-US"/>
              </w:rPr>
              <w:t>Bayley Scales of Infants and Toddler Development – 3rd edition</w:t>
            </w:r>
            <w:r w:rsidRPr="00C07815">
              <w:rPr>
                <w:rFonts w:ascii="Times New Roman" w:hAnsi="Times New Roman"/>
                <w:iCs/>
                <w:sz w:val="21"/>
                <w:szCs w:val="21"/>
                <w:lang w:val="en-US"/>
              </w:rPr>
              <w:t xml:space="preserve">; </w:t>
            </w:r>
            <w:r w:rsidRPr="00C07815">
              <w:rPr>
                <w:rFonts w:ascii="Times New Roman" w:hAnsi="Times New Roman"/>
                <w:sz w:val="21"/>
                <w:szCs w:val="21"/>
                <w:lang w:val="en-US" w:eastAsia="en-US"/>
              </w:rPr>
              <w:t xml:space="preserve">BISQ:  </w:t>
            </w:r>
            <w:r w:rsidRPr="00C07815">
              <w:rPr>
                <w:rFonts w:ascii="Times New Roman" w:hAnsi="Times New Roman"/>
                <w:i/>
                <w:iCs/>
                <w:sz w:val="21"/>
                <w:szCs w:val="21"/>
                <w:lang w:val="en-US" w:eastAsia="en-US"/>
              </w:rPr>
              <w:t>Brief Infant Sleep Questionnaire;</w:t>
            </w:r>
            <w:r w:rsidRPr="00C07815">
              <w:rPr>
                <w:rFonts w:ascii="Times New Roman" w:hAnsi="Times New Roman"/>
                <w:iCs/>
                <w:sz w:val="21"/>
                <w:szCs w:val="21"/>
                <w:lang w:val="en-US"/>
              </w:rPr>
              <w:t xml:space="preserve"> BPSC: </w:t>
            </w:r>
            <w:r w:rsidRPr="00C07815">
              <w:rPr>
                <w:rFonts w:ascii="Times New Roman" w:hAnsi="Times New Roman"/>
                <w:i/>
                <w:sz w:val="21"/>
                <w:szCs w:val="21"/>
                <w:lang w:val="en-US"/>
              </w:rPr>
              <w:t>Baby Pediatric Symptom Checklist</w:t>
            </w:r>
            <w:r w:rsidRPr="00C07815">
              <w:rPr>
                <w:rFonts w:ascii="Times New Roman" w:hAnsi="Times New Roman"/>
                <w:sz w:val="21"/>
                <w:szCs w:val="21"/>
                <w:lang w:val="en-US"/>
              </w:rPr>
              <w:t xml:space="preserve">; </w:t>
            </w:r>
            <w:r w:rsidRPr="00C07815">
              <w:rPr>
                <w:rFonts w:ascii="Times New Roman" w:hAnsi="Times New Roman"/>
                <w:i/>
                <w:iCs/>
                <w:sz w:val="21"/>
                <w:szCs w:val="21"/>
                <w:lang w:val="en-US" w:eastAsia="en-US"/>
              </w:rPr>
              <w:t>CFCS = communication function classification scale</w:t>
            </w:r>
            <w:r w:rsidRPr="00C07815">
              <w:rPr>
                <w:rFonts w:ascii="Times New Roman" w:hAnsi="Times New Roman"/>
                <w:iCs/>
                <w:sz w:val="21"/>
                <w:szCs w:val="21"/>
                <w:lang w:val="en-US"/>
              </w:rPr>
              <w:t xml:space="preserve">; DDST: </w:t>
            </w:r>
            <w:r w:rsidRPr="00C07815">
              <w:rPr>
                <w:rFonts w:ascii="Times New Roman" w:hAnsi="Times New Roman"/>
                <w:sz w:val="21"/>
                <w:szCs w:val="21"/>
                <w:lang w:val="en-US"/>
              </w:rPr>
              <w:t xml:space="preserve">Denver Developmental </w:t>
            </w:r>
            <w:r w:rsidRPr="00C07815">
              <w:rPr>
                <w:rFonts w:ascii="Times New Roman" w:hAnsi="Times New Roman"/>
                <w:i/>
                <w:iCs/>
                <w:sz w:val="21"/>
                <w:szCs w:val="21"/>
                <w:lang w:val="en-US"/>
              </w:rPr>
              <w:t xml:space="preserve">Screening Test II; </w:t>
            </w:r>
            <w:r w:rsidRPr="00C07815">
              <w:rPr>
                <w:rFonts w:ascii="Times New Roman" w:hAnsi="Times New Roman"/>
                <w:iCs/>
                <w:sz w:val="21"/>
                <w:szCs w:val="21"/>
                <w:lang w:val="en-US"/>
              </w:rPr>
              <w:t>EABR:</w:t>
            </w:r>
            <w:r w:rsidRPr="00C07815">
              <w:rPr>
                <w:rFonts w:ascii="Times New Roman" w:hAnsi="Times New Roman"/>
                <w:i/>
                <w:iCs/>
                <w:sz w:val="21"/>
                <w:szCs w:val="21"/>
                <w:lang w:val="en-US"/>
              </w:rPr>
              <w:t xml:space="preserve"> </w:t>
            </w:r>
            <w:r w:rsidRPr="00C07815">
              <w:rPr>
                <w:rFonts w:ascii="Times New Roman" w:eastAsia="Times New Roman" w:hAnsi="Times New Roman"/>
                <w:sz w:val="21"/>
                <w:szCs w:val="21"/>
                <w:shd w:val="clear" w:color="auto" w:fill="FFFFFF"/>
                <w:lang w:val="en-US"/>
              </w:rPr>
              <w:t xml:space="preserve">Electrical Auditory Brainstem Response; </w:t>
            </w:r>
            <w:r w:rsidRPr="00C07815">
              <w:rPr>
                <w:rFonts w:ascii="Times New Roman" w:hAnsi="Times New Roman"/>
                <w:iCs/>
                <w:sz w:val="21"/>
                <w:szCs w:val="21"/>
                <w:lang w:val="en-US" w:eastAsia="en-US"/>
              </w:rPr>
              <w:t>EADCS</w:t>
            </w:r>
            <w:r w:rsidRPr="00C07815">
              <w:rPr>
                <w:rFonts w:ascii="Times New Roman" w:hAnsi="Times New Roman"/>
                <w:i/>
                <w:iCs/>
                <w:sz w:val="21"/>
                <w:szCs w:val="21"/>
                <w:lang w:val="en-US" w:eastAsia="en-US"/>
              </w:rPr>
              <w:t xml:space="preserve"> = eating and drinking ability classification scale;</w:t>
            </w:r>
            <w:r w:rsidRPr="00C07815">
              <w:rPr>
                <w:rFonts w:ascii="Times New Roman" w:hAnsi="Times New Roman"/>
                <w:sz w:val="21"/>
                <w:szCs w:val="21"/>
                <w:lang w:val="en-US"/>
              </w:rPr>
              <w:t xml:space="preserve"> FTII =</w:t>
            </w:r>
            <w:r w:rsidRPr="00C07815">
              <w:rPr>
                <w:rFonts w:ascii="Times New Roman" w:eastAsia="Times New Roman" w:hAnsi="Times New Roman"/>
                <w:sz w:val="21"/>
                <w:szCs w:val="21"/>
                <w:shd w:val="clear" w:color="auto" w:fill="FFFFFF"/>
                <w:lang w:val="en-US"/>
              </w:rPr>
              <w:t xml:space="preserve"> Fagan test of infant intelligence</w:t>
            </w:r>
            <w:r w:rsidRPr="00C07815">
              <w:rPr>
                <w:rFonts w:ascii="Times New Roman" w:hAnsi="Times New Roman"/>
                <w:sz w:val="21"/>
                <w:szCs w:val="21"/>
                <w:lang w:val="en-US"/>
              </w:rPr>
              <w:t xml:space="preserve">; GMA: </w:t>
            </w:r>
            <w:r w:rsidRPr="00C07815">
              <w:rPr>
                <w:rFonts w:ascii="Times New Roman" w:hAnsi="Times New Roman"/>
                <w:i/>
                <w:iCs/>
                <w:sz w:val="21"/>
                <w:szCs w:val="21"/>
                <w:lang w:val="en-US"/>
              </w:rPr>
              <w:t xml:space="preserve">General Movements Assessment; </w:t>
            </w:r>
            <w:r w:rsidRPr="00C07815">
              <w:rPr>
                <w:rFonts w:ascii="Times New Roman" w:hAnsi="Times New Roman"/>
                <w:sz w:val="21"/>
                <w:szCs w:val="21"/>
                <w:lang w:val="en-US" w:eastAsia="en-US"/>
              </w:rPr>
              <w:t xml:space="preserve">GMFM-66: </w:t>
            </w:r>
            <w:r w:rsidRPr="00C07815">
              <w:rPr>
                <w:rFonts w:ascii="Times New Roman" w:hAnsi="Times New Roman"/>
                <w:i/>
                <w:iCs/>
                <w:sz w:val="21"/>
                <w:szCs w:val="21"/>
                <w:lang w:val="en-US" w:eastAsia="en-US"/>
              </w:rPr>
              <w:t>Gross Motor Function Measure;</w:t>
            </w:r>
            <w:r w:rsidRPr="00C07815">
              <w:rPr>
                <w:rFonts w:ascii="Times New Roman" w:hAnsi="Times New Roman"/>
                <w:sz w:val="21"/>
                <w:szCs w:val="21"/>
                <w:lang w:val="en-US" w:eastAsia="en-US"/>
              </w:rPr>
              <w:t xml:space="preserve"> </w:t>
            </w:r>
            <w:r w:rsidRPr="00C07815">
              <w:rPr>
                <w:rFonts w:ascii="Times New Roman" w:hAnsi="Times New Roman"/>
                <w:sz w:val="21"/>
                <w:szCs w:val="21"/>
                <w:lang w:val="en-US"/>
              </w:rPr>
              <w:t xml:space="preserve">GMFCS: </w:t>
            </w:r>
            <w:r w:rsidRPr="00C07815">
              <w:rPr>
                <w:rFonts w:ascii="Times New Roman" w:hAnsi="Times New Roman"/>
                <w:i/>
                <w:iCs/>
                <w:sz w:val="21"/>
                <w:szCs w:val="21"/>
                <w:lang w:val="en-US" w:eastAsia="en-US"/>
              </w:rPr>
              <w:t>Gross Motor Function Classification System;</w:t>
            </w:r>
            <w:r w:rsidRPr="00C07815">
              <w:rPr>
                <w:rFonts w:ascii="Times New Roman" w:hAnsi="Times New Roman"/>
                <w:sz w:val="21"/>
                <w:szCs w:val="21"/>
                <w:lang w:val="en-US"/>
              </w:rPr>
              <w:t xml:space="preserve"> HINE: </w:t>
            </w:r>
            <w:r w:rsidRPr="00C07815">
              <w:rPr>
                <w:rFonts w:ascii="Times New Roman" w:hAnsi="Times New Roman"/>
                <w:i/>
                <w:iCs/>
                <w:sz w:val="21"/>
                <w:szCs w:val="21"/>
                <w:lang w:val="en-US"/>
              </w:rPr>
              <w:t>Hammersmith Infant Neurological Examination</w:t>
            </w:r>
            <w:r w:rsidRPr="00C07815">
              <w:rPr>
                <w:rFonts w:ascii="Times New Roman" w:hAnsi="Times New Roman"/>
                <w:sz w:val="21"/>
                <w:szCs w:val="21"/>
                <w:lang w:val="en-US" w:eastAsia="en-US"/>
              </w:rPr>
              <w:t xml:space="preserve">; IQR: interquartile range, </w:t>
            </w:r>
            <w:r w:rsidRPr="00C07815">
              <w:rPr>
                <w:rFonts w:ascii="Times New Roman" w:hAnsi="Times New Roman"/>
                <w:iCs/>
                <w:sz w:val="21"/>
                <w:szCs w:val="21"/>
                <w:lang w:val="en-US" w:eastAsia="en-US"/>
              </w:rPr>
              <w:t>MACS</w:t>
            </w:r>
            <w:r w:rsidRPr="00C07815">
              <w:rPr>
                <w:rFonts w:ascii="Times New Roman" w:hAnsi="Times New Roman"/>
                <w:i/>
                <w:iCs/>
                <w:sz w:val="21"/>
                <w:szCs w:val="21"/>
                <w:lang w:val="en-US" w:eastAsia="en-US"/>
              </w:rPr>
              <w:t>: manual ability classification scale</w:t>
            </w:r>
            <w:r w:rsidRPr="00C07815">
              <w:rPr>
                <w:rFonts w:ascii="Times New Roman" w:hAnsi="Times New Roman"/>
                <w:iCs/>
                <w:sz w:val="21"/>
                <w:szCs w:val="21"/>
                <w:lang w:val="en-US" w:eastAsia="en-US"/>
              </w:rPr>
              <w:t xml:space="preserve">, </w:t>
            </w:r>
            <w:r w:rsidRPr="00C07815">
              <w:rPr>
                <w:rFonts w:ascii="Times New Roman" w:hAnsi="Times New Roman"/>
                <w:sz w:val="21"/>
                <w:szCs w:val="21"/>
                <w:lang w:val="en-US"/>
              </w:rPr>
              <w:t>M-CHAT=Modified Checklist for Autism on Toddlers;</w:t>
            </w:r>
            <w:r w:rsidRPr="00C07815">
              <w:rPr>
                <w:rFonts w:ascii="Times New Roman" w:hAnsi="Times New Roman"/>
                <w:iCs/>
                <w:sz w:val="21"/>
                <w:szCs w:val="21"/>
                <w:lang w:val="en-US" w:eastAsia="en-US"/>
              </w:rPr>
              <w:t xml:space="preserve"> MOS</w:t>
            </w:r>
            <w:r w:rsidRPr="00C07815">
              <w:rPr>
                <w:rFonts w:ascii="Times New Roman" w:hAnsi="Times New Roman"/>
                <w:i/>
                <w:iCs/>
                <w:sz w:val="21"/>
                <w:szCs w:val="21"/>
                <w:lang w:val="en-US" w:eastAsia="en-US"/>
              </w:rPr>
              <w:t xml:space="preserve">: </w:t>
            </w:r>
            <w:r w:rsidRPr="00C07815">
              <w:rPr>
                <w:rFonts w:ascii="Times New Roman" w:hAnsi="Times New Roman"/>
                <w:i/>
                <w:sz w:val="21"/>
                <w:szCs w:val="21"/>
                <w:lang w:val="en-US"/>
              </w:rPr>
              <w:t xml:space="preserve">Motor Optimality Score; </w:t>
            </w:r>
            <w:r w:rsidRPr="00C07815">
              <w:rPr>
                <w:rFonts w:ascii="Times New Roman" w:hAnsi="Times New Roman"/>
                <w:sz w:val="21"/>
                <w:szCs w:val="21"/>
                <w:lang w:val="en-US" w:eastAsia="en-US"/>
              </w:rPr>
              <w:t xml:space="preserve">MSEL: </w:t>
            </w:r>
            <w:r w:rsidRPr="00C07815">
              <w:rPr>
                <w:rFonts w:ascii="Times New Roman" w:hAnsi="Times New Roman"/>
                <w:i/>
                <w:iCs/>
                <w:sz w:val="21"/>
                <w:szCs w:val="21"/>
                <w:lang w:val="en-US" w:eastAsia="en-US"/>
              </w:rPr>
              <w:t>Mullen Scales of Early Learning;</w:t>
            </w:r>
            <w:r w:rsidRPr="00C07815">
              <w:rPr>
                <w:rFonts w:ascii="Times New Roman" w:hAnsi="Times New Roman"/>
                <w:sz w:val="21"/>
                <w:szCs w:val="21"/>
                <w:lang w:val="en-US" w:eastAsia="en-US"/>
              </w:rPr>
              <w:t xml:space="preserve"> NR:  </w:t>
            </w:r>
            <w:r w:rsidRPr="00C07815">
              <w:rPr>
                <w:rFonts w:ascii="Times New Roman" w:hAnsi="Times New Roman"/>
                <w:i/>
                <w:sz w:val="21"/>
                <w:szCs w:val="21"/>
                <w:lang w:val="en-US" w:eastAsia="en-US"/>
              </w:rPr>
              <w:t>Non reported</w:t>
            </w:r>
            <w:r w:rsidRPr="00C07815">
              <w:rPr>
                <w:rFonts w:ascii="Times New Roman" w:hAnsi="Times New Roman"/>
                <w:sz w:val="21"/>
                <w:szCs w:val="21"/>
                <w:lang w:val="en-US" w:eastAsia="en-US"/>
              </w:rPr>
              <w:t xml:space="preserve">; PEDI: </w:t>
            </w:r>
            <w:r w:rsidRPr="00C07815">
              <w:rPr>
                <w:rFonts w:ascii="Times New Roman" w:hAnsi="Times New Roman"/>
                <w:i/>
                <w:iCs/>
                <w:sz w:val="21"/>
                <w:szCs w:val="21"/>
                <w:lang w:val="en-US"/>
              </w:rPr>
              <w:t>Pediatric Evaluation of Disability Inventory</w:t>
            </w:r>
            <w:r w:rsidRPr="00C07815">
              <w:rPr>
                <w:rFonts w:ascii="Times New Roman" w:hAnsi="Times New Roman"/>
                <w:sz w:val="21"/>
                <w:szCs w:val="21"/>
                <w:lang w:val="en-US"/>
              </w:rPr>
              <w:t>;</w:t>
            </w:r>
            <w:r w:rsidRPr="00C07815">
              <w:rPr>
                <w:rFonts w:ascii="Times New Roman" w:hAnsi="Times New Roman"/>
                <w:i/>
                <w:iCs/>
                <w:sz w:val="21"/>
                <w:szCs w:val="21"/>
                <w:lang w:val="en-US" w:eastAsia="en-US"/>
              </w:rPr>
              <w:t xml:space="preserve"> </w:t>
            </w:r>
            <w:r w:rsidRPr="00C07815">
              <w:rPr>
                <w:rFonts w:ascii="Times New Roman" w:hAnsi="Times New Roman"/>
                <w:iCs/>
                <w:sz w:val="21"/>
                <w:szCs w:val="21"/>
                <w:lang w:val="en-US" w:eastAsia="en-US"/>
              </w:rPr>
              <w:t>PPSC:</w:t>
            </w:r>
            <w:r w:rsidRPr="00C07815">
              <w:rPr>
                <w:rFonts w:ascii="Times New Roman" w:hAnsi="Times New Roman"/>
                <w:i/>
                <w:iCs/>
                <w:sz w:val="21"/>
                <w:szCs w:val="21"/>
                <w:lang w:val="en-US" w:eastAsia="en-US"/>
              </w:rPr>
              <w:t xml:space="preserve"> </w:t>
            </w:r>
            <w:r w:rsidRPr="00C07815">
              <w:rPr>
                <w:rFonts w:ascii="Times New Roman" w:hAnsi="Times New Roman"/>
                <w:i/>
                <w:sz w:val="21"/>
                <w:szCs w:val="21"/>
                <w:lang w:val="en-US"/>
              </w:rPr>
              <w:t>Preschool Pediatric Symptom Checklist</w:t>
            </w:r>
            <w:r w:rsidRPr="00C07815">
              <w:rPr>
                <w:rFonts w:ascii="Times New Roman" w:hAnsi="Times New Roman"/>
                <w:i/>
                <w:iCs/>
                <w:sz w:val="21"/>
                <w:szCs w:val="21"/>
                <w:lang w:val="en-US" w:eastAsia="en-US"/>
              </w:rPr>
              <w:t xml:space="preserve">; </w:t>
            </w:r>
            <w:r w:rsidRPr="00C07815">
              <w:rPr>
                <w:rFonts w:ascii="Times New Roman" w:hAnsi="Times New Roman"/>
                <w:iCs/>
                <w:sz w:val="21"/>
                <w:szCs w:val="21"/>
                <w:lang w:val="en-US" w:eastAsia="en-US"/>
              </w:rPr>
              <w:t>SD:</w:t>
            </w:r>
            <w:r w:rsidRPr="00C07815">
              <w:rPr>
                <w:rFonts w:ascii="Times New Roman" w:hAnsi="Times New Roman"/>
                <w:i/>
                <w:iCs/>
                <w:sz w:val="21"/>
                <w:szCs w:val="21"/>
                <w:lang w:val="en-US" w:eastAsia="en-US"/>
              </w:rPr>
              <w:t xml:space="preserve"> standard deviation; SWYC: </w:t>
            </w:r>
            <w:r w:rsidRPr="00C07815">
              <w:rPr>
                <w:rFonts w:ascii="Times New Roman" w:hAnsi="Times New Roman"/>
                <w:sz w:val="21"/>
                <w:szCs w:val="21"/>
                <w:lang w:val="en-US"/>
              </w:rPr>
              <w:t xml:space="preserve">Survey of Wellbeing of Young Children. </w:t>
            </w:r>
            <w:r w:rsidRPr="00C07815">
              <w:rPr>
                <w:rFonts w:ascii="Times New Roman" w:hAnsi="Times New Roman"/>
                <w:i/>
                <w:iCs/>
                <w:sz w:val="21"/>
                <w:szCs w:val="21"/>
                <w:lang w:val="en-US" w:eastAsia="en-US"/>
              </w:rPr>
              <w:t xml:space="preserve"> </w:t>
            </w:r>
            <w:r w:rsidRPr="00C07815">
              <w:rPr>
                <w:rFonts w:ascii="Times New Roman" w:hAnsi="Times New Roman"/>
                <w:sz w:val="21"/>
                <w:szCs w:val="21"/>
                <w:lang w:val="en-US" w:eastAsia="en-US"/>
              </w:rPr>
              <w:t xml:space="preserve">WIDEA: </w:t>
            </w:r>
            <w:r w:rsidRPr="00C07815">
              <w:rPr>
                <w:rFonts w:ascii="Times New Roman" w:hAnsi="Times New Roman"/>
                <w:i/>
                <w:iCs/>
                <w:sz w:val="21"/>
                <w:szCs w:val="21"/>
                <w:lang w:val="en-US" w:eastAsia="en-US"/>
              </w:rPr>
              <w:t>Warner Initial Developmental Evaluation of Adaptive and Functional Skills.</w:t>
            </w:r>
          </w:p>
        </w:tc>
      </w:tr>
    </w:tbl>
    <w:p w14:paraId="058DBC8B" w14:textId="77777777" w:rsidR="00C07815" w:rsidRPr="00C07815" w:rsidRDefault="00C07815" w:rsidP="00377EFE">
      <w:pPr>
        <w:rPr>
          <w:b/>
          <w:bCs/>
          <w:lang w:val="en-US"/>
        </w:rPr>
      </w:pPr>
    </w:p>
    <w:p w14:paraId="3C9A54F1" w14:textId="4ABB1126" w:rsidR="00377EFE" w:rsidRPr="00C07815" w:rsidRDefault="00377EFE" w:rsidP="00377EFE">
      <w:pPr>
        <w:rPr>
          <w:b/>
          <w:bCs/>
          <w:lang w:val="en-US"/>
        </w:rPr>
      </w:pPr>
      <w:r w:rsidRPr="00C07815">
        <w:rPr>
          <w:b/>
          <w:bCs/>
          <w:lang w:val="en-US"/>
        </w:rPr>
        <w:t>References</w:t>
      </w:r>
    </w:p>
    <w:p w14:paraId="4C7B2AAA" w14:textId="77777777" w:rsidR="00D56A23" w:rsidRPr="00304BE3" w:rsidRDefault="00D56A23" w:rsidP="005D1DF3">
      <w:pPr>
        <w:spacing w:before="120" w:after="120"/>
        <w:ind w:left="284" w:hanging="284"/>
        <w:jc w:val="both"/>
        <w:rPr>
          <w:color w:val="212121"/>
          <w:shd w:val="clear" w:color="auto" w:fill="FFFFFF"/>
          <w:lang w:val="en-US"/>
        </w:rPr>
      </w:pPr>
      <w:r w:rsidRPr="00304BE3">
        <w:rPr>
          <w:color w:val="212121"/>
          <w:shd w:val="clear" w:color="auto" w:fill="FFFFFF"/>
          <w:lang w:val="en-US"/>
        </w:rPr>
        <w:t xml:space="preserve">Lopes Moreira, M. E., Nielsen-Saines, K., Brasil, P., Kerin, T., Damasceno, L., Pone, M., et al. (2018). Neurodevelopment in Infants Exposed to Zika Virus In Utero. </w:t>
      </w:r>
      <w:r w:rsidRPr="00304BE3">
        <w:rPr>
          <w:i/>
          <w:iCs/>
          <w:color w:val="212121"/>
          <w:shd w:val="clear" w:color="auto" w:fill="FFFFFF"/>
          <w:lang w:val="en-US"/>
        </w:rPr>
        <w:t>The New England journal of medicine</w:t>
      </w:r>
      <w:r w:rsidRPr="00304BE3">
        <w:rPr>
          <w:color w:val="212121"/>
          <w:shd w:val="clear" w:color="auto" w:fill="FFFFFF"/>
          <w:lang w:val="en-US"/>
        </w:rPr>
        <w:t xml:space="preserve">, </w:t>
      </w:r>
      <w:r w:rsidRPr="00304BE3">
        <w:rPr>
          <w:i/>
          <w:iCs/>
          <w:color w:val="212121"/>
          <w:shd w:val="clear" w:color="auto" w:fill="FFFFFF"/>
          <w:lang w:val="en-US"/>
        </w:rPr>
        <w:t>379</w:t>
      </w:r>
      <w:r w:rsidRPr="00304BE3">
        <w:rPr>
          <w:color w:val="212121"/>
          <w:shd w:val="clear" w:color="auto" w:fill="FFFFFF"/>
          <w:lang w:val="en-US"/>
        </w:rPr>
        <w:t>(24), 2377–2379. doi: 10.1056/NEJMc1800098</w:t>
      </w:r>
    </w:p>
    <w:p w14:paraId="579B9338" w14:textId="77777777" w:rsidR="00D56A23" w:rsidRPr="009C75A2" w:rsidRDefault="00D56A23" w:rsidP="005D1DF3">
      <w:pPr>
        <w:spacing w:before="120" w:after="120"/>
        <w:ind w:left="284" w:hanging="284"/>
        <w:jc w:val="both"/>
        <w:rPr>
          <w:color w:val="212121"/>
          <w:shd w:val="clear" w:color="auto" w:fill="FFFFFF"/>
          <w:lang w:val="pt-BR"/>
        </w:rPr>
      </w:pPr>
      <w:r w:rsidRPr="00304BE3">
        <w:rPr>
          <w:color w:val="212121"/>
          <w:shd w:val="clear" w:color="auto" w:fill="FFFFFF"/>
          <w:lang w:val="en-US"/>
        </w:rPr>
        <w:lastRenderedPageBreak/>
        <w:t xml:space="preserve">Einspieler, C., Utsch, F., Brasil, P., Panvequio Aizawa, C. Y., Peyton, C., Hydee Hasue, R., et al. (2019). Association of Infants Exposed to Prenatal Zika Virus Infection With Their Clinical, Neurologic, and Developmental Status Evaluated via the General Movement Assessment Tool. </w:t>
      </w:r>
      <w:r w:rsidRPr="009C75A2">
        <w:rPr>
          <w:i/>
          <w:iCs/>
          <w:color w:val="212121"/>
          <w:shd w:val="clear" w:color="auto" w:fill="FFFFFF"/>
          <w:lang w:val="pt-BR"/>
        </w:rPr>
        <w:t>JAMA network open</w:t>
      </w:r>
      <w:r w:rsidRPr="009C75A2">
        <w:rPr>
          <w:color w:val="212121"/>
          <w:shd w:val="clear" w:color="auto" w:fill="FFFFFF"/>
          <w:lang w:val="pt-BR"/>
        </w:rPr>
        <w:t xml:space="preserve">, </w:t>
      </w:r>
      <w:r w:rsidRPr="009C75A2">
        <w:rPr>
          <w:i/>
          <w:iCs/>
          <w:color w:val="212121"/>
          <w:shd w:val="clear" w:color="auto" w:fill="FFFFFF"/>
          <w:lang w:val="pt-BR"/>
        </w:rPr>
        <w:t>2</w:t>
      </w:r>
      <w:r w:rsidRPr="009C75A2">
        <w:rPr>
          <w:color w:val="212121"/>
          <w:shd w:val="clear" w:color="auto" w:fill="FFFFFF"/>
          <w:lang w:val="pt-BR"/>
        </w:rPr>
        <w:t>(1), e187235. doi: 10.1001/jamanetworkopen.2018.7235</w:t>
      </w:r>
    </w:p>
    <w:p w14:paraId="718A75A5" w14:textId="77777777" w:rsidR="00D56A23" w:rsidRPr="009C75A2" w:rsidRDefault="00D56A23" w:rsidP="005D1DF3">
      <w:pPr>
        <w:spacing w:before="120" w:after="120"/>
        <w:ind w:left="284" w:hanging="284"/>
        <w:jc w:val="both"/>
        <w:rPr>
          <w:color w:val="212121"/>
          <w:shd w:val="clear" w:color="auto" w:fill="FFFFFF"/>
          <w:lang w:val="pt-BR"/>
        </w:rPr>
      </w:pPr>
      <w:r w:rsidRPr="009C75A2">
        <w:rPr>
          <w:color w:val="212121"/>
          <w:shd w:val="clear" w:color="auto" w:fill="FFFFFF"/>
          <w:lang w:val="pt-BR"/>
        </w:rPr>
        <w:t xml:space="preserve">Nielsen-Saines, K., Brasil, P., Kerin, T., Vasconcelos, Z., Gabaglia, C. R., Damasceno, L., et al. </w:t>
      </w:r>
      <w:r w:rsidRPr="00304BE3">
        <w:rPr>
          <w:color w:val="212121"/>
          <w:shd w:val="clear" w:color="auto" w:fill="FFFFFF"/>
          <w:lang w:val="en-US"/>
        </w:rPr>
        <w:t xml:space="preserve">(2019). Delayed childhood neurodevelopment and neurosensory alterations in the second year of life in a prospective cohort of ZIKV-exposed children. </w:t>
      </w:r>
      <w:r w:rsidRPr="009C75A2">
        <w:rPr>
          <w:i/>
          <w:iCs/>
          <w:color w:val="212121"/>
          <w:shd w:val="clear" w:color="auto" w:fill="FFFFFF"/>
          <w:lang w:val="pt-BR"/>
        </w:rPr>
        <w:t>Nature medicine</w:t>
      </w:r>
      <w:r w:rsidRPr="009C75A2">
        <w:rPr>
          <w:color w:val="212121"/>
          <w:shd w:val="clear" w:color="auto" w:fill="FFFFFF"/>
          <w:lang w:val="pt-BR"/>
        </w:rPr>
        <w:t xml:space="preserve">, </w:t>
      </w:r>
      <w:r w:rsidRPr="009C75A2">
        <w:rPr>
          <w:i/>
          <w:iCs/>
          <w:color w:val="212121"/>
          <w:shd w:val="clear" w:color="auto" w:fill="FFFFFF"/>
          <w:lang w:val="pt-BR"/>
        </w:rPr>
        <w:t>25</w:t>
      </w:r>
      <w:r w:rsidRPr="009C75A2">
        <w:rPr>
          <w:color w:val="212121"/>
          <w:shd w:val="clear" w:color="auto" w:fill="FFFFFF"/>
          <w:lang w:val="pt-BR"/>
        </w:rPr>
        <w:t>(8), 1213–1217. doi: 10.1038/s41591-019-0496-1</w:t>
      </w:r>
    </w:p>
    <w:p w14:paraId="781470E4" w14:textId="77777777" w:rsidR="00D56A23" w:rsidRPr="00304BE3" w:rsidRDefault="00D56A23" w:rsidP="005D1DF3">
      <w:pPr>
        <w:spacing w:before="120" w:after="120"/>
        <w:ind w:left="284" w:hanging="284"/>
        <w:jc w:val="both"/>
        <w:rPr>
          <w:color w:val="212121"/>
          <w:shd w:val="clear" w:color="auto" w:fill="FFFFFF"/>
          <w:lang w:val="en-US"/>
        </w:rPr>
      </w:pPr>
      <w:r w:rsidRPr="009C75A2">
        <w:rPr>
          <w:color w:val="212121"/>
          <w:shd w:val="clear" w:color="auto" w:fill="FFFFFF"/>
          <w:lang w:val="pt-BR"/>
        </w:rPr>
        <w:t xml:space="preserve">Cardoso, T. F., Jr, Santos, R., Corrêa, R. M., Campos, J. V., Silva, R. B., Tobias, C. C., et al. </w:t>
      </w:r>
      <w:r w:rsidRPr="00304BE3">
        <w:rPr>
          <w:color w:val="212121"/>
          <w:shd w:val="clear" w:color="auto" w:fill="FFFFFF"/>
          <w:lang w:val="en-US"/>
        </w:rPr>
        <w:t xml:space="preserve">(2019). Congenital Zika infection: neurology can occur without microcephaly. </w:t>
      </w:r>
      <w:r w:rsidRPr="00304BE3">
        <w:rPr>
          <w:i/>
          <w:iCs/>
          <w:color w:val="212121"/>
          <w:shd w:val="clear" w:color="auto" w:fill="FFFFFF"/>
          <w:lang w:val="en-US"/>
        </w:rPr>
        <w:t>Archives of disease in childhood</w:t>
      </w:r>
      <w:r w:rsidRPr="00304BE3">
        <w:rPr>
          <w:color w:val="212121"/>
          <w:shd w:val="clear" w:color="auto" w:fill="FFFFFF"/>
          <w:lang w:val="en-US"/>
        </w:rPr>
        <w:t xml:space="preserve">, </w:t>
      </w:r>
      <w:r w:rsidRPr="00304BE3">
        <w:rPr>
          <w:i/>
          <w:iCs/>
          <w:color w:val="212121"/>
          <w:shd w:val="clear" w:color="auto" w:fill="FFFFFF"/>
          <w:lang w:val="en-US"/>
        </w:rPr>
        <w:t>104</w:t>
      </w:r>
      <w:r w:rsidRPr="00304BE3">
        <w:rPr>
          <w:color w:val="212121"/>
          <w:shd w:val="clear" w:color="auto" w:fill="FFFFFF"/>
          <w:lang w:val="en-US"/>
        </w:rPr>
        <w:t>(2), 199–200. doi: 10.1136/archdischild-2018-314782</w:t>
      </w:r>
    </w:p>
    <w:p w14:paraId="65CF4D35" w14:textId="77777777" w:rsidR="00D56A23" w:rsidRPr="005D1DF3" w:rsidRDefault="00D56A23" w:rsidP="005D1DF3">
      <w:pPr>
        <w:spacing w:before="120" w:after="120"/>
        <w:ind w:left="284" w:hanging="284"/>
        <w:jc w:val="both"/>
        <w:rPr>
          <w:color w:val="212121"/>
          <w:shd w:val="clear" w:color="auto" w:fill="FFFFFF"/>
          <w:lang w:val="en-US"/>
        </w:rPr>
      </w:pPr>
      <w:r w:rsidRPr="00D56A23">
        <w:rPr>
          <w:color w:val="212121"/>
          <w:shd w:val="clear" w:color="auto" w:fill="FFFFFF"/>
          <w:lang w:val="pt-BR"/>
        </w:rPr>
        <w:t xml:space="preserve">Valdes, V., Zorrilla, C. D., Gabard-Durnam, L., Muler-Mendez, N., Rahman, Z. I., Rivera, D., et al. </w:t>
      </w:r>
      <w:r w:rsidRPr="00304BE3">
        <w:rPr>
          <w:color w:val="212121"/>
          <w:shd w:val="clear" w:color="auto" w:fill="FFFFFF"/>
          <w:lang w:val="en-US"/>
        </w:rPr>
        <w:t xml:space="preserve">(2019). Cognitive Development of Infants Exposed to the Zika Virus in Puerto Rico. </w:t>
      </w:r>
      <w:r w:rsidRPr="005D1DF3">
        <w:rPr>
          <w:i/>
          <w:iCs/>
          <w:color w:val="212121"/>
          <w:shd w:val="clear" w:color="auto" w:fill="FFFFFF"/>
          <w:lang w:val="en-US"/>
        </w:rPr>
        <w:t>JAMA network open</w:t>
      </w:r>
      <w:r w:rsidRPr="005D1DF3">
        <w:rPr>
          <w:color w:val="212121"/>
          <w:shd w:val="clear" w:color="auto" w:fill="FFFFFF"/>
          <w:lang w:val="en-US"/>
        </w:rPr>
        <w:t xml:space="preserve">, </w:t>
      </w:r>
      <w:r w:rsidRPr="005D1DF3">
        <w:rPr>
          <w:i/>
          <w:iCs/>
          <w:color w:val="212121"/>
          <w:shd w:val="clear" w:color="auto" w:fill="FFFFFF"/>
          <w:lang w:val="en-US"/>
        </w:rPr>
        <w:t>2</w:t>
      </w:r>
      <w:r w:rsidRPr="005D1DF3">
        <w:rPr>
          <w:color w:val="212121"/>
          <w:shd w:val="clear" w:color="auto" w:fill="FFFFFF"/>
          <w:lang w:val="en-US"/>
        </w:rPr>
        <w:t>(10), e1914061. doi: 10.1001/jamanetworkopen.2019.14061</w:t>
      </w:r>
    </w:p>
    <w:p w14:paraId="34A5343F" w14:textId="77777777" w:rsidR="005D1DF3" w:rsidRPr="00C44B06" w:rsidRDefault="005D1DF3" w:rsidP="005D1DF3">
      <w:pPr>
        <w:spacing w:before="120" w:after="120"/>
        <w:ind w:left="284" w:hanging="284"/>
        <w:jc w:val="both"/>
        <w:rPr>
          <w:color w:val="212121"/>
          <w:shd w:val="clear" w:color="auto" w:fill="FFFFFF"/>
          <w:lang w:val="en-US"/>
        </w:rPr>
      </w:pPr>
      <w:r w:rsidRPr="00C44B06">
        <w:rPr>
          <w:color w:val="212121"/>
          <w:shd w:val="clear" w:color="auto" w:fill="FFFFFF"/>
          <w:lang w:val="en-US"/>
        </w:rPr>
        <w:t xml:space="preserve">Bertolli, J., Attell, J. E., Rose, C., Moore, C. A., Melo, F., Staples, J. E., etal. (2020). Functional Outcomes among a Cohort of Children in Northeastern Brazil Meeting Criteria for Follow-Up of Congenital Zika Virus Infection. </w:t>
      </w:r>
      <w:r w:rsidRPr="00C44B06">
        <w:rPr>
          <w:i/>
          <w:iCs/>
          <w:color w:val="212121"/>
          <w:shd w:val="clear" w:color="auto" w:fill="FFFFFF"/>
          <w:lang w:val="en-US"/>
        </w:rPr>
        <w:t>The American journal of tropical medicine and hygiene</w:t>
      </w:r>
      <w:r w:rsidRPr="00C44B06">
        <w:rPr>
          <w:color w:val="212121"/>
          <w:shd w:val="clear" w:color="auto" w:fill="FFFFFF"/>
          <w:lang w:val="en-US"/>
        </w:rPr>
        <w:t>, 102(5), 955–963. doi: 10.4269/ajtmh.19-0961</w:t>
      </w:r>
    </w:p>
    <w:p w14:paraId="4D4E291B" w14:textId="77777777" w:rsidR="005D1DF3" w:rsidRPr="00304BE3" w:rsidRDefault="005D1DF3" w:rsidP="005D1DF3">
      <w:pPr>
        <w:spacing w:before="120" w:after="120"/>
        <w:ind w:left="284" w:hanging="284"/>
        <w:jc w:val="both"/>
        <w:rPr>
          <w:color w:val="212121"/>
          <w:shd w:val="clear" w:color="auto" w:fill="FFFFFF"/>
          <w:lang w:val="en-US"/>
        </w:rPr>
      </w:pPr>
      <w:r w:rsidRPr="009C75A2">
        <w:rPr>
          <w:color w:val="212121"/>
          <w:shd w:val="clear" w:color="auto" w:fill="FFFFFF"/>
          <w:lang w:val="pt-BR"/>
        </w:rPr>
        <w:t xml:space="preserve">Faiçal, A. V., de Oliveira, J. C., Oliveira, J., de Almeida, B. L., Agra, I. A., Alcantara, L., et al. </w:t>
      </w:r>
      <w:r w:rsidRPr="00304BE3">
        <w:rPr>
          <w:color w:val="212121"/>
          <w:shd w:val="clear" w:color="auto" w:fill="FFFFFF"/>
          <w:lang w:val="en-US"/>
        </w:rPr>
        <w:t xml:space="preserve">(2019). Neurodevelopmental delay in normocephalic children with in utero exposure to Zika virus. </w:t>
      </w:r>
      <w:r w:rsidRPr="00304BE3">
        <w:rPr>
          <w:i/>
          <w:iCs/>
          <w:color w:val="212121"/>
          <w:shd w:val="clear" w:color="auto" w:fill="FFFFFF"/>
          <w:lang w:val="en-US"/>
        </w:rPr>
        <w:t>BMJ paediatrics open</w:t>
      </w:r>
      <w:r w:rsidRPr="00304BE3">
        <w:rPr>
          <w:color w:val="212121"/>
          <w:shd w:val="clear" w:color="auto" w:fill="FFFFFF"/>
          <w:lang w:val="en-US"/>
        </w:rPr>
        <w:t xml:space="preserve">, </w:t>
      </w:r>
      <w:r w:rsidRPr="00304BE3">
        <w:rPr>
          <w:i/>
          <w:iCs/>
          <w:color w:val="212121"/>
          <w:shd w:val="clear" w:color="auto" w:fill="FFFFFF"/>
          <w:lang w:val="en-US"/>
        </w:rPr>
        <w:t>3</w:t>
      </w:r>
      <w:r w:rsidRPr="00304BE3">
        <w:rPr>
          <w:color w:val="212121"/>
          <w:shd w:val="clear" w:color="auto" w:fill="FFFFFF"/>
          <w:lang w:val="en-US"/>
        </w:rPr>
        <w:t>(1), e000486. doi: 10.1136/bmjpo-2019-000486</w:t>
      </w:r>
    </w:p>
    <w:p w14:paraId="1C2B20CA" w14:textId="379765B7" w:rsidR="005D1DF3" w:rsidRDefault="005D1DF3" w:rsidP="005D1DF3">
      <w:pPr>
        <w:spacing w:before="120" w:after="120"/>
        <w:ind w:left="284" w:hanging="284"/>
        <w:jc w:val="both"/>
        <w:rPr>
          <w:color w:val="212121"/>
          <w:shd w:val="clear" w:color="auto" w:fill="FFFFFF"/>
          <w:lang w:val="pt-BR"/>
        </w:rPr>
      </w:pPr>
      <w:r w:rsidRPr="005D1DF3">
        <w:rPr>
          <w:color w:val="212121"/>
          <w:shd w:val="clear" w:color="auto" w:fill="FFFFFF"/>
          <w:lang w:val="en-US"/>
        </w:rPr>
        <w:t xml:space="preserve">Mulkey, S. B., Arroyave-Wessel, M., Peyton, C., Bulas, D. I., Fourzali, Y., Jiang, J., et al. </w:t>
      </w:r>
      <w:r w:rsidRPr="005D1DF3">
        <w:rPr>
          <w:color w:val="212121"/>
          <w:shd w:val="clear" w:color="auto" w:fill="FFFFFF"/>
          <w:lang w:val="pt-BR"/>
        </w:rPr>
        <w:t xml:space="preserve">(2020). </w:t>
      </w:r>
      <w:r w:rsidRPr="005D1DF3">
        <w:rPr>
          <w:color w:val="212121"/>
          <w:shd w:val="clear" w:color="auto" w:fill="FFFFFF"/>
          <w:lang w:val="en-US"/>
        </w:rPr>
        <w:t xml:space="preserve">Neurodevelopmental Abnormalities in Children With In Utero Zika Virus Exposure Without Congenital Zika Syndrome. </w:t>
      </w:r>
      <w:r w:rsidRPr="005D1DF3">
        <w:rPr>
          <w:i/>
          <w:iCs/>
          <w:color w:val="212121"/>
          <w:shd w:val="clear" w:color="auto" w:fill="FFFFFF"/>
          <w:lang w:val="pt-BR"/>
        </w:rPr>
        <w:t>JAMA pediatrics</w:t>
      </w:r>
      <w:r w:rsidRPr="005D1DF3">
        <w:rPr>
          <w:color w:val="212121"/>
          <w:shd w:val="clear" w:color="auto" w:fill="FFFFFF"/>
          <w:lang w:val="pt-BR"/>
        </w:rPr>
        <w:t>,</w:t>
      </w:r>
      <w:r>
        <w:rPr>
          <w:color w:val="212121"/>
          <w:shd w:val="clear" w:color="auto" w:fill="FFFFFF"/>
          <w:lang w:val="pt-BR"/>
        </w:rPr>
        <w:t xml:space="preserve"> </w:t>
      </w:r>
      <w:r w:rsidRPr="005D1DF3">
        <w:rPr>
          <w:color w:val="212121"/>
          <w:shd w:val="clear" w:color="auto" w:fill="FFFFFF"/>
          <w:lang w:val="pt-BR"/>
        </w:rPr>
        <w:t xml:space="preserve">174(3), 269–276. </w:t>
      </w:r>
      <w:r>
        <w:rPr>
          <w:color w:val="212121"/>
          <w:shd w:val="clear" w:color="auto" w:fill="FFFFFF"/>
          <w:lang w:val="pt-BR"/>
        </w:rPr>
        <w:t xml:space="preserve">doi: </w:t>
      </w:r>
      <w:r w:rsidRPr="005D1DF3">
        <w:rPr>
          <w:color w:val="212121"/>
          <w:shd w:val="clear" w:color="auto" w:fill="FFFFFF"/>
          <w:lang w:val="pt-BR"/>
        </w:rPr>
        <w:t>10.1001/jamapediatrics.2019.5204</w:t>
      </w:r>
    </w:p>
    <w:p w14:paraId="7F11A7FB" w14:textId="77777777" w:rsidR="005D1DF3" w:rsidRPr="00304BE3" w:rsidRDefault="005D1DF3" w:rsidP="005D1DF3">
      <w:pPr>
        <w:spacing w:before="120" w:after="120"/>
        <w:ind w:left="284" w:hanging="284"/>
        <w:jc w:val="both"/>
        <w:rPr>
          <w:color w:val="212121"/>
          <w:shd w:val="clear" w:color="auto" w:fill="FFFFFF"/>
          <w:lang w:val="en-US"/>
        </w:rPr>
      </w:pPr>
      <w:r w:rsidRPr="009C75A2">
        <w:rPr>
          <w:color w:val="212121"/>
          <w:shd w:val="clear" w:color="auto" w:fill="FFFFFF"/>
          <w:lang w:val="pt-BR"/>
        </w:rPr>
        <w:t xml:space="preserve">Gerzson, L. R., de Almeida, C. S., Silva, J., Feitosa, M., de Oliveira, L. N., &amp; Schuler-Faccini, L. (2020). </w:t>
      </w:r>
      <w:r w:rsidRPr="00304BE3">
        <w:rPr>
          <w:color w:val="212121"/>
          <w:shd w:val="clear" w:color="auto" w:fill="FFFFFF"/>
          <w:lang w:val="en-US"/>
        </w:rPr>
        <w:t xml:space="preserve">Neurodevelopment of Nonmicrocephalic Children, After 18 Months of Life, Exposed Prenatally to Zika Virus. </w:t>
      </w:r>
      <w:r w:rsidRPr="00304BE3">
        <w:rPr>
          <w:i/>
          <w:iCs/>
          <w:color w:val="212121"/>
          <w:shd w:val="clear" w:color="auto" w:fill="FFFFFF"/>
          <w:lang w:val="en-US"/>
        </w:rPr>
        <w:t>Journal of child neurology</w:t>
      </w:r>
      <w:r w:rsidRPr="00304BE3">
        <w:rPr>
          <w:color w:val="212121"/>
          <w:shd w:val="clear" w:color="auto" w:fill="FFFFFF"/>
          <w:lang w:val="en-US"/>
        </w:rPr>
        <w:t xml:space="preserve">, </w:t>
      </w:r>
      <w:r w:rsidRPr="00304BE3">
        <w:rPr>
          <w:i/>
          <w:iCs/>
          <w:color w:val="212121"/>
          <w:shd w:val="clear" w:color="auto" w:fill="FFFFFF"/>
          <w:lang w:val="en-US"/>
        </w:rPr>
        <w:t>35</w:t>
      </w:r>
      <w:r w:rsidRPr="00304BE3">
        <w:rPr>
          <w:color w:val="212121"/>
          <w:shd w:val="clear" w:color="auto" w:fill="FFFFFF"/>
          <w:lang w:val="en-US"/>
        </w:rPr>
        <w:t>(4), 278–282. doi: 10.1177/0883073819892128</w:t>
      </w:r>
    </w:p>
    <w:p w14:paraId="205E6AAC" w14:textId="77777777" w:rsidR="005D1DF3" w:rsidRPr="009C75A2" w:rsidRDefault="005D1DF3" w:rsidP="005D1DF3">
      <w:pPr>
        <w:spacing w:before="120" w:after="120"/>
        <w:ind w:left="284" w:hanging="284"/>
        <w:jc w:val="both"/>
        <w:rPr>
          <w:color w:val="212121"/>
          <w:shd w:val="clear" w:color="auto" w:fill="FFFFFF"/>
          <w:lang w:val="pt-BR"/>
        </w:rPr>
      </w:pPr>
      <w:r w:rsidRPr="00304BE3">
        <w:rPr>
          <w:color w:val="212121"/>
          <w:shd w:val="clear" w:color="auto" w:fill="FFFFFF"/>
          <w:lang w:val="en-US"/>
        </w:rPr>
        <w:t xml:space="preserve">Peçanha, P. M., Gomes Junior, S. C., Pone, S. M., Pone, M., Vasconcelos, Z., Zin, A., </w:t>
      </w:r>
      <w:r>
        <w:rPr>
          <w:color w:val="212121"/>
          <w:shd w:val="clear" w:color="auto" w:fill="FFFFFF"/>
          <w:lang w:val="en-US"/>
        </w:rPr>
        <w:t>et al</w:t>
      </w:r>
      <w:r w:rsidRPr="00304BE3">
        <w:rPr>
          <w:color w:val="212121"/>
          <w:shd w:val="clear" w:color="auto" w:fill="FFFFFF"/>
          <w:lang w:val="en-US"/>
        </w:rPr>
        <w:t xml:space="preserve">. (2020). Neurodevelopment of children exposed intra-uterus by Zika virus: A case series. </w:t>
      </w:r>
      <w:r w:rsidRPr="009C75A2">
        <w:rPr>
          <w:i/>
          <w:iCs/>
          <w:color w:val="212121"/>
          <w:shd w:val="clear" w:color="auto" w:fill="FFFFFF"/>
          <w:lang w:val="pt-BR"/>
        </w:rPr>
        <w:t>PloS one</w:t>
      </w:r>
      <w:r w:rsidRPr="009C75A2">
        <w:rPr>
          <w:color w:val="212121"/>
          <w:shd w:val="clear" w:color="auto" w:fill="FFFFFF"/>
          <w:lang w:val="pt-BR"/>
        </w:rPr>
        <w:t xml:space="preserve">, </w:t>
      </w:r>
      <w:r w:rsidRPr="009C75A2">
        <w:rPr>
          <w:i/>
          <w:iCs/>
          <w:color w:val="212121"/>
          <w:shd w:val="clear" w:color="auto" w:fill="FFFFFF"/>
          <w:lang w:val="pt-BR"/>
        </w:rPr>
        <w:t>15</w:t>
      </w:r>
      <w:r w:rsidRPr="009C75A2">
        <w:rPr>
          <w:color w:val="212121"/>
          <w:shd w:val="clear" w:color="auto" w:fill="FFFFFF"/>
          <w:lang w:val="pt-BR"/>
        </w:rPr>
        <w:t>(2), e0229434. doi: 10.1371/journal.pone.0229434</w:t>
      </w:r>
    </w:p>
    <w:p w14:paraId="39A8024B" w14:textId="77777777" w:rsidR="005D1DF3" w:rsidRPr="009C75A2" w:rsidRDefault="005D1DF3" w:rsidP="005D1DF3">
      <w:pPr>
        <w:spacing w:before="120" w:after="120"/>
        <w:ind w:left="284" w:hanging="284"/>
        <w:jc w:val="both"/>
        <w:rPr>
          <w:color w:val="212121"/>
          <w:shd w:val="clear" w:color="auto" w:fill="FFFFFF"/>
          <w:lang w:val="pt-BR"/>
        </w:rPr>
      </w:pPr>
      <w:r w:rsidRPr="009C75A2">
        <w:rPr>
          <w:color w:val="212121"/>
          <w:shd w:val="clear" w:color="auto" w:fill="FFFFFF"/>
          <w:lang w:val="pt-BR"/>
        </w:rPr>
        <w:t xml:space="preserve">Sobral da Silva, P. F., Eickmann, S. H., Arraes de Alencar Ximenes, R., Ramos Montarroyos, U., de Carvalho Lima, M., Turchi Martelli, C. M., et al. </w:t>
      </w:r>
      <w:r w:rsidRPr="00304BE3">
        <w:rPr>
          <w:color w:val="212121"/>
          <w:shd w:val="clear" w:color="auto" w:fill="FFFFFF"/>
          <w:lang w:val="en-US"/>
        </w:rPr>
        <w:t xml:space="preserve">(2020). Pediatric neurodevelopment by prenatal Zika virus exposure: a cross-sectional study of the Microcephaly Epidemic Research Group Cohort. </w:t>
      </w:r>
      <w:r w:rsidRPr="009C75A2">
        <w:rPr>
          <w:i/>
          <w:iCs/>
          <w:color w:val="212121"/>
          <w:shd w:val="clear" w:color="auto" w:fill="FFFFFF"/>
          <w:lang w:val="pt-BR"/>
        </w:rPr>
        <w:t>BMC pediatrics</w:t>
      </w:r>
      <w:r w:rsidRPr="009C75A2">
        <w:rPr>
          <w:color w:val="212121"/>
          <w:shd w:val="clear" w:color="auto" w:fill="FFFFFF"/>
          <w:lang w:val="pt-BR"/>
        </w:rPr>
        <w:t xml:space="preserve">, </w:t>
      </w:r>
      <w:r w:rsidRPr="009C75A2">
        <w:rPr>
          <w:i/>
          <w:iCs/>
          <w:color w:val="212121"/>
          <w:shd w:val="clear" w:color="auto" w:fill="FFFFFF"/>
          <w:lang w:val="pt-BR"/>
        </w:rPr>
        <w:t>20</w:t>
      </w:r>
      <w:r w:rsidRPr="009C75A2">
        <w:rPr>
          <w:color w:val="212121"/>
          <w:shd w:val="clear" w:color="auto" w:fill="FFFFFF"/>
          <w:lang w:val="pt-BR"/>
        </w:rPr>
        <w:t>(1), 472. doi: 10.1186/s12887-020-02331-2</w:t>
      </w:r>
    </w:p>
    <w:p w14:paraId="599184C0" w14:textId="77777777" w:rsidR="005D1DF3" w:rsidRPr="005D1DF3" w:rsidRDefault="005D1DF3" w:rsidP="005D1DF3">
      <w:pPr>
        <w:spacing w:before="120" w:after="120"/>
        <w:ind w:left="284" w:hanging="284"/>
        <w:jc w:val="both"/>
        <w:rPr>
          <w:color w:val="212121"/>
          <w:shd w:val="clear" w:color="auto" w:fill="FFFFFF"/>
          <w:lang w:val="pt-BR"/>
        </w:rPr>
      </w:pPr>
      <w:r w:rsidRPr="009C75A2">
        <w:rPr>
          <w:color w:val="212121"/>
          <w:shd w:val="clear" w:color="auto" w:fill="FFFFFF"/>
          <w:lang w:val="pt-BR"/>
        </w:rPr>
        <w:t xml:space="preserve">Abtibol-Bernardino, M. R., de Almeida Peixoto, L., de Oliveira, G. A., de Almeida, T. F., Rodrigues, G., Otani, R. H., et al. </w:t>
      </w:r>
      <w:r w:rsidRPr="00304BE3">
        <w:rPr>
          <w:color w:val="212121"/>
          <w:shd w:val="clear" w:color="auto" w:fill="FFFFFF"/>
          <w:lang w:val="en-US"/>
        </w:rPr>
        <w:t xml:space="preserve">(2020). Neurological Findings in Children without Congenital Microcephaly Exposed to Zika Virus in Utero: A Case Series Study. </w:t>
      </w:r>
      <w:r w:rsidRPr="005D1DF3">
        <w:rPr>
          <w:i/>
          <w:iCs/>
          <w:color w:val="212121"/>
          <w:shd w:val="clear" w:color="auto" w:fill="FFFFFF"/>
          <w:lang w:val="pt-BR"/>
        </w:rPr>
        <w:t>Viruses</w:t>
      </w:r>
      <w:r w:rsidRPr="005D1DF3">
        <w:rPr>
          <w:color w:val="212121"/>
          <w:shd w:val="clear" w:color="auto" w:fill="FFFFFF"/>
          <w:lang w:val="pt-BR"/>
        </w:rPr>
        <w:t xml:space="preserve">, </w:t>
      </w:r>
      <w:r w:rsidRPr="005D1DF3">
        <w:rPr>
          <w:i/>
          <w:iCs/>
          <w:color w:val="212121"/>
          <w:shd w:val="clear" w:color="auto" w:fill="FFFFFF"/>
          <w:lang w:val="pt-BR"/>
        </w:rPr>
        <w:t>12</w:t>
      </w:r>
      <w:r w:rsidRPr="005D1DF3">
        <w:rPr>
          <w:color w:val="212121"/>
          <w:shd w:val="clear" w:color="auto" w:fill="FFFFFF"/>
          <w:lang w:val="pt-BR"/>
        </w:rPr>
        <w:t>(11), 1335. doi: 10.3390/v12111335</w:t>
      </w:r>
    </w:p>
    <w:p w14:paraId="1C890CFE" w14:textId="1A3BDF64" w:rsidR="005D1DF3" w:rsidRPr="005D1DF3" w:rsidRDefault="005D1DF3" w:rsidP="005D1DF3">
      <w:pPr>
        <w:spacing w:before="120" w:after="120"/>
        <w:ind w:left="284" w:hanging="284"/>
        <w:jc w:val="both"/>
        <w:rPr>
          <w:color w:val="212121"/>
          <w:shd w:val="clear" w:color="auto" w:fill="FFFFFF"/>
          <w:lang w:val="pt-BR"/>
        </w:rPr>
      </w:pPr>
      <w:r w:rsidRPr="005D1DF3">
        <w:rPr>
          <w:color w:val="212121"/>
          <w:shd w:val="clear" w:color="auto" w:fill="FFFFFF"/>
          <w:lang w:val="pt-BR"/>
        </w:rPr>
        <w:lastRenderedPageBreak/>
        <w:t xml:space="preserve">Power, G. M., Francis, S. C., Sanchez Clemente, N., Vasconcelos, Z., Brasil, P., et al. (2020). Examining the Association of Socioeconomic Position with Microcephaly and Delayed Childhood Neurodevelopment among Children with Prenatal Zika Virus Exposure. </w:t>
      </w:r>
      <w:r w:rsidRPr="005D1DF3">
        <w:rPr>
          <w:i/>
          <w:iCs/>
          <w:color w:val="212121"/>
          <w:shd w:val="clear" w:color="auto" w:fill="FFFFFF"/>
          <w:lang w:val="pt-BR"/>
        </w:rPr>
        <w:t>Viruses</w:t>
      </w:r>
      <w:r w:rsidRPr="005D1DF3">
        <w:rPr>
          <w:color w:val="212121"/>
          <w:shd w:val="clear" w:color="auto" w:fill="FFFFFF"/>
          <w:lang w:val="pt-BR"/>
        </w:rPr>
        <w:t xml:space="preserve">, 12(11), 1342. </w:t>
      </w:r>
      <w:r>
        <w:rPr>
          <w:color w:val="212121"/>
          <w:shd w:val="clear" w:color="auto" w:fill="FFFFFF"/>
          <w:lang w:val="pt-BR"/>
        </w:rPr>
        <w:t xml:space="preserve">doi: </w:t>
      </w:r>
      <w:r w:rsidRPr="005D1DF3">
        <w:rPr>
          <w:color w:val="212121"/>
          <w:shd w:val="clear" w:color="auto" w:fill="FFFFFF"/>
          <w:lang w:val="pt-BR"/>
        </w:rPr>
        <w:t>10.3390/v12111342</w:t>
      </w:r>
    </w:p>
    <w:p w14:paraId="06A22BF0" w14:textId="6FD6BFCD" w:rsidR="00450805" w:rsidRPr="009C75A2" w:rsidRDefault="00450805" w:rsidP="005D1DF3">
      <w:pPr>
        <w:spacing w:before="120" w:after="120"/>
        <w:ind w:left="284" w:hanging="284"/>
        <w:jc w:val="both"/>
        <w:rPr>
          <w:color w:val="212121"/>
          <w:shd w:val="clear" w:color="auto" w:fill="FFFFFF"/>
          <w:lang w:val="pt-BR"/>
        </w:rPr>
      </w:pPr>
      <w:r w:rsidRPr="00304BE3">
        <w:rPr>
          <w:color w:val="212121"/>
          <w:shd w:val="clear" w:color="auto" w:fill="FFFFFF"/>
          <w:lang w:val="en-US"/>
        </w:rPr>
        <w:t xml:space="preserve">Blackmon, K., Waechter, R., Landon, B., Noël, T., Macpherson, C., Donald, T., et al. (2020). Epilepsy surveillance in normocephalic children with and without prenatal Zika virus exposure. </w:t>
      </w:r>
      <w:r w:rsidRPr="009C75A2">
        <w:rPr>
          <w:i/>
          <w:iCs/>
          <w:color w:val="212121"/>
          <w:shd w:val="clear" w:color="auto" w:fill="FFFFFF"/>
          <w:lang w:val="pt-BR"/>
        </w:rPr>
        <w:t>PLoS neglected tropical diseases</w:t>
      </w:r>
      <w:r w:rsidRPr="009C75A2">
        <w:rPr>
          <w:color w:val="212121"/>
          <w:shd w:val="clear" w:color="auto" w:fill="FFFFFF"/>
          <w:lang w:val="pt-BR"/>
        </w:rPr>
        <w:t xml:space="preserve">, </w:t>
      </w:r>
      <w:r w:rsidRPr="009C75A2">
        <w:rPr>
          <w:i/>
          <w:iCs/>
          <w:color w:val="212121"/>
          <w:shd w:val="clear" w:color="auto" w:fill="FFFFFF"/>
          <w:lang w:val="pt-BR"/>
        </w:rPr>
        <w:t>14</w:t>
      </w:r>
      <w:r w:rsidRPr="009C75A2">
        <w:rPr>
          <w:color w:val="212121"/>
          <w:shd w:val="clear" w:color="auto" w:fill="FFFFFF"/>
          <w:lang w:val="pt-BR"/>
        </w:rPr>
        <w:t>(11), e0008874. doi: 10.1371/journal.pntd.0008874</w:t>
      </w:r>
    </w:p>
    <w:p w14:paraId="0D046E41" w14:textId="5C469FC9" w:rsidR="00B90F54" w:rsidRPr="00B90F54" w:rsidRDefault="00B90F54" w:rsidP="005D1DF3">
      <w:pPr>
        <w:spacing w:before="120" w:after="120"/>
        <w:ind w:left="284" w:hanging="284"/>
        <w:jc w:val="both"/>
        <w:rPr>
          <w:color w:val="212121"/>
          <w:shd w:val="clear" w:color="auto" w:fill="FFFFFF"/>
          <w:lang w:val="en-US"/>
        </w:rPr>
      </w:pPr>
      <w:r w:rsidRPr="00B90F54">
        <w:rPr>
          <w:color w:val="212121"/>
          <w:shd w:val="clear" w:color="auto" w:fill="FFFFFF"/>
          <w:lang w:val="pt-BR"/>
        </w:rPr>
        <w:t xml:space="preserve">Andrade, L. M., Baker Meio, M. D., Gomes, S. C., Jr, Souza, J. P., Figueiredo, M. R., Costa, et al. </w:t>
      </w:r>
      <w:r w:rsidRPr="00304BE3">
        <w:rPr>
          <w:color w:val="212121"/>
          <w:shd w:val="clear" w:color="auto" w:fill="FFFFFF"/>
          <w:lang w:val="en-US"/>
        </w:rPr>
        <w:t xml:space="preserve">(2021). Language delay was associated with a smaller head circumference at birth in asymptomatic infants prenatally exposed to the Zika virus. </w:t>
      </w:r>
      <w:r w:rsidRPr="00B90F54">
        <w:rPr>
          <w:i/>
          <w:iCs/>
          <w:color w:val="212121"/>
          <w:shd w:val="clear" w:color="auto" w:fill="FFFFFF"/>
          <w:lang w:val="en-US"/>
        </w:rPr>
        <w:t>Acta paediatrica</w:t>
      </w:r>
      <w:r w:rsidRPr="00B90F54">
        <w:rPr>
          <w:color w:val="212121"/>
          <w:shd w:val="clear" w:color="auto" w:fill="FFFFFF"/>
          <w:lang w:val="en-US"/>
        </w:rPr>
        <w:t>, 10.1111/apa.15878. Advance online publication. doi: 10.1111/apa.15878</w:t>
      </w:r>
    </w:p>
    <w:p w14:paraId="29FE6AA9" w14:textId="03D8F63B" w:rsidR="003259D3" w:rsidRDefault="00B90F54" w:rsidP="005D1DF3">
      <w:pPr>
        <w:spacing w:before="120" w:after="120"/>
        <w:ind w:left="284" w:hanging="284"/>
        <w:jc w:val="both"/>
        <w:rPr>
          <w:lang w:val="en-US"/>
        </w:rPr>
      </w:pPr>
      <w:r w:rsidRPr="00B90F54">
        <w:rPr>
          <w:lang w:val="pt-BR"/>
        </w:rPr>
        <w:t xml:space="preserve">Aizawa, C., Caron, D., Souza, C. B., Kozima, P., Damasceno, L., Einspieler, C., et al. </w:t>
      </w:r>
      <w:r w:rsidRPr="00B90F54">
        <w:rPr>
          <w:lang w:val="en-US"/>
        </w:rPr>
        <w:t xml:space="preserve">(2021). Neurodevelopment in the third year of life in children with antenatal ZIKV-exposure. </w:t>
      </w:r>
      <w:r w:rsidRPr="00B90F54">
        <w:rPr>
          <w:i/>
          <w:iCs/>
          <w:lang w:val="en-US"/>
        </w:rPr>
        <w:t>Revista de saude publica</w:t>
      </w:r>
      <w:r w:rsidRPr="00B90F54">
        <w:rPr>
          <w:lang w:val="en-US"/>
        </w:rPr>
        <w:t xml:space="preserve">, 55, 15. </w:t>
      </w:r>
      <w:r>
        <w:rPr>
          <w:lang w:val="en-US"/>
        </w:rPr>
        <w:t xml:space="preserve">doi: </w:t>
      </w:r>
      <w:r w:rsidRPr="00B90F54">
        <w:rPr>
          <w:lang w:val="en-US"/>
        </w:rPr>
        <w:t>10.11606/s1518-8787.2021055002798</w:t>
      </w:r>
    </w:p>
    <w:p w14:paraId="637B6D09" w14:textId="77777777" w:rsidR="00B90F54" w:rsidRPr="00B90F54" w:rsidRDefault="00B90F54" w:rsidP="005D1DF3">
      <w:pPr>
        <w:spacing w:before="120" w:after="120"/>
        <w:ind w:left="284" w:hanging="284"/>
        <w:jc w:val="both"/>
        <w:rPr>
          <w:color w:val="212121"/>
          <w:shd w:val="clear" w:color="auto" w:fill="FFFFFF"/>
          <w:lang w:val="en-US"/>
        </w:rPr>
      </w:pPr>
      <w:r w:rsidRPr="009C75A2">
        <w:rPr>
          <w:color w:val="212121"/>
          <w:shd w:val="clear" w:color="auto" w:fill="FFFFFF"/>
          <w:lang w:val="pt-BR"/>
        </w:rPr>
        <w:t xml:space="preserve">Cardona-Ospina, J. A., Zapata, M. F., Grajales, M., Arias, M. A., Grajales, J., Bedoya-Rendón, H. D., et al. </w:t>
      </w:r>
      <w:r w:rsidRPr="00304BE3">
        <w:rPr>
          <w:color w:val="212121"/>
          <w:shd w:val="clear" w:color="auto" w:fill="FFFFFF"/>
          <w:lang w:val="en-US"/>
        </w:rPr>
        <w:t xml:space="preserve">(2021). Physical Growth and Neurodevelopment of a Cohort of Children after 3.5 Years of Follow-up from Mothers with Zika Infection during Pregnancy-Third Report of the ZIKERNCOL Study. </w:t>
      </w:r>
      <w:r w:rsidRPr="00B90F54">
        <w:rPr>
          <w:i/>
          <w:iCs/>
          <w:color w:val="212121"/>
          <w:shd w:val="clear" w:color="auto" w:fill="FFFFFF"/>
          <w:lang w:val="en-US"/>
        </w:rPr>
        <w:t>Journal of tropical pediatrics</w:t>
      </w:r>
      <w:r w:rsidRPr="00B90F54">
        <w:rPr>
          <w:color w:val="212121"/>
          <w:shd w:val="clear" w:color="auto" w:fill="FFFFFF"/>
          <w:lang w:val="en-US"/>
        </w:rPr>
        <w:t xml:space="preserve">, </w:t>
      </w:r>
      <w:r w:rsidRPr="00B90F54">
        <w:rPr>
          <w:i/>
          <w:iCs/>
          <w:color w:val="212121"/>
          <w:shd w:val="clear" w:color="auto" w:fill="FFFFFF"/>
          <w:lang w:val="en-US"/>
        </w:rPr>
        <w:t>67</w:t>
      </w:r>
      <w:r w:rsidRPr="00B90F54">
        <w:rPr>
          <w:color w:val="212121"/>
          <w:shd w:val="clear" w:color="auto" w:fill="FFFFFF"/>
          <w:lang w:val="en-US"/>
        </w:rPr>
        <w:t>(2), fmab032. doi: 10.1093/tropej/fmab032</w:t>
      </w:r>
    </w:p>
    <w:p w14:paraId="6C223F5D" w14:textId="274CC350" w:rsidR="00B90F54" w:rsidRDefault="00B90F54" w:rsidP="005D1DF3">
      <w:pPr>
        <w:spacing w:before="120" w:after="120"/>
        <w:ind w:left="284" w:hanging="284"/>
        <w:jc w:val="both"/>
        <w:rPr>
          <w:color w:val="212121"/>
          <w:shd w:val="clear" w:color="auto" w:fill="FFFFFF"/>
          <w:lang w:val="en-US"/>
        </w:rPr>
      </w:pPr>
      <w:r w:rsidRPr="00304BE3">
        <w:rPr>
          <w:color w:val="212121"/>
          <w:shd w:val="clear" w:color="auto" w:fill="FFFFFF"/>
          <w:lang w:val="en-US"/>
        </w:rPr>
        <w:t xml:space="preserve">Grant, R., Fléchelles, O., Tressières, B., Dialo, M., Elenga, N., Mediamolle, N., et al. (2021). In utero Zika virus exposure and neurodevelopment at 24 months in toddlers normocephalic at birth: a cohort study. </w:t>
      </w:r>
      <w:r w:rsidRPr="00304BE3">
        <w:rPr>
          <w:i/>
          <w:iCs/>
          <w:color w:val="212121"/>
          <w:shd w:val="clear" w:color="auto" w:fill="FFFFFF"/>
          <w:lang w:val="en-US"/>
        </w:rPr>
        <w:t>BMC medicine</w:t>
      </w:r>
      <w:r w:rsidRPr="00304BE3">
        <w:rPr>
          <w:color w:val="212121"/>
          <w:shd w:val="clear" w:color="auto" w:fill="FFFFFF"/>
          <w:lang w:val="en-US"/>
        </w:rPr>
        <w:t xml:space="preserve">, </w:t>
      </w:r>
      <w:r w:rsidRPr="00304BE3">
        <w:rPr>
          <w:i/>
          <w:iCs/>
          <w:color w:val="212121"/>
          <w:shd w:val="clear" w:color="auto" w:fill="FFFFFF"/>
          <w:lang w:val="en-US"/>
        </w:rPr>
        <w:t>19</w:t>
      </w:r>
      <w:r w:rsidRPr="00304BE3">
        <w:rPr>
          <w:color w:val="212121"/>
          <w:shd w:val="clear" w:color="auto" w:fill="FFFFFF"/>
          <w:lang w:val="en-US"/>
        </w:rPr>
        <w:t>(1), 12. doi: 10.1186/s12916-020-01888-0</w:t>
      </w:r>
    </w:p>
    <w:p w14:paraId="356AF666" w14:textId="05F5B595" w:rsidR="00B90F54" w:rsidRPr="005D1DF3" w:rsidRDefault="00B90F54" w:rsidP="005D1DF3">
      <w:pPr>
        <w:spacing w:before="120" w:after="120"/>
        <w:ind w:left="284" w:hanging="284"/>
        <w:jc w:val="both"/>
        <w:rPr>
          <w:color w:val="212121"/>
          <w:shd w:val="clear" w:color="auto" w:fill="FFFFFF"/>
          <w:lang w:val="en-US"/>
        </w:rPr>
      </w:pPr>
      <w:r w:rsidRPr="00304BE3">
        <w:rPr>
          <w:color w:val="212121"/>
          <w:shd w:val="clear" w:color="auto" w:fill="FFFFFF"/>
          <w:lang w:val="en-US"/>
        </w:rPr>
        <w:t xml:space="preserve">Familiar, I., Boivin, M., Magen, J., Azcorra, J. A., Phippen, C., Barrett, E. A., et al. (2021). Neurodevelopment outcomes in infants born to women with Zika virus infection during pregnancy in Mexico. </w:t>
      </w:r>
      <w:r w:rsidRPr="00304BE3">
        <w:rPr>
          <w:i/>
          <w:iCs/>
          <w:color w:val="212121"/>
          <w:shd w:val="clear" w:color="auto" w:fill="FFFFFF"/>
          <w:lang w:val="en-US"/>
        </w:rPr>
        <w:t>Child: care, health and development</w:t>
      </w:r>
      <w:r w:rsidRPr="00304BE3">
        <w:rPr>
          <w:color w:val="212121"/>
          <w:shd w:val="clear" w:color="auto" w:fill="FFFFFF"/>
          <w:lang w:val="en-US"/>
        </w:rPr>
        <w:t xml:space="preserve">, </w:t>
      </w:r>
      <w:r w:rsidRPr="00304BE3">
        <w:rPr>
          <w:i/>
          <w:iCs/>
          <w:color w:val="212121"/>
          <w:shd w:val="clear" w:color="auto" w:fill="FFFFFF"/>
          <w:lang w:val="en-US"/>
        </w:rPr>
        <w:t>47</w:t>
      </w:r>
      <w:r w:rsidRPr="00304BE3">
        <w:rPr>
          <w:color w:val="212121"/>
          <w:shd w:val="clear" w:color="auto" w:fill="FFFFFF"/>
          <w:lang w:val="en-US"/>
        </w:rPr>
        <w:t>(3), 311–318. doi: 10.1111/cch.12842</w:t>
      </w:r>
    </w:p>
    <w:sectPr w:rsidR="00B90F54" w:rsidRPr="005D1DF3" w:rsidSect="00C07815">
      <w:footerReference w:type="even" r:id="rId6"/>
      <w:footerReference w:type="default" r:id="rId7"/>
      <w:pgSz w:w="16820" w:h="1190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76FD" w14:textId="77777777" w:rsidR="002D54D0" w:rsidRDefault="002D54D0">
      <w:r>
        <w:separator/>
      </w:r>
    </w:p>
  </w:endnote>
  <w:endnote w:type="continuationSeparator" w:id="0">
    <w:p w14:paraId="32702421" w14:textId="77777777" w:rsidR="002D54D0" w:rsidRDefault="002D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F4A2" w14:textId="77777777" w:rsidR="00253547" w:rsidRDefault="00377EFE" w:rsidP="00822B84">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2BD7DF" w14:textId="77777777" w:rsidR="00253547" w:rsidRDefault="002D54D0" w:rsidP="00303E6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8D02" w14:textId="77777777" w:rsidR="00253547" w:rsidRDefault="00377EFE" w:rsidP="00822B84">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4EB4EB4" w14:textId="77777777" w:rsidR="00253547" w:rsidRDefault="002D54D0" w:rsidP="00303E6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3F4E" w14:textId="77777777" w:rsidR="002D54D0" w:rsidRDefault="002D54D0">
      <w:r>
        <w:separator/>
      </w:r>
    </w:p>
  </w:footnote>
  <w:footnote w:type="continuationSeparator" w:id="0">
    <w:p w14:paraId="5993B507" w14:textId="77777777" w:rsidR="002D54D0" w:rsidRDefault="002D5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FE"/>
    <w:rsid w:val="002D54D0"/>
    <w:rsid w:val="003259D3"/>
    <w:rsid w:val="00377EFE"/>
    <w:rsid w:val="00450805"/>
    <w:rsid w:val="005D1DF3"/>
    <w:rsid w:val="00641CFB"/>
    <w:rsid w:val="009A0761"/>
    <w:rsid w:val="00A23B71"/>
    <w:rsid w:val="00B90F54"/>
    <w:rsid w:val="00C07815"/>
    <w:rsid w:val="00D36EBC"/>
    <w:rsid w:val="00D56A23"/>
    <w:rsid w:val="00DB0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BA87"/>
  <w15:chartTrackingRefBased/>
  <w15:docId w15:val="{10A9C7AF-610A-41D6-8B7F-E361F6C1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EFE"/>
    <w:pPr>
      <w:jc w:val="left"/>
    </w:pPr>
    <w:rPr>
      <w:rFonts w:ascii="Times New Roman" w:hAnsi="Times New Roman" w:cs="Times New Roman"/>
      <w:sz w:val="24"/>
      <w:szCs w:val="24"/>
      <w:lang w:val="es-ES_tradnl" w:eastAsia="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77EFE"/>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377EFE"/>
  </w:style>
  <w:style w:type="paragraph" w:customStyle="1" w:styleId="p1">
    <w:name w:val="p1"/>
    <w:basedOn w:val="Normal"/>
    <w:rsid w:val="00377EFE"/>
    <w:pPr>
      <w:spacing w:line="167" w:lineRule="atLeast"/>
      <w:ind w:firstLine="135"/>
      <w:jc w:val="both"/>
    </w:pPr>
    <w:rPr>
      <w:rFonts w:ascii="Times" w:hAnsi="Times"/>
      <w:sz w:val="17"/>
      <w:szCs w:val="17"/>
    </w:rPr>
  </w:style>
  <w:style w:type="paragraph" w:styleId="Rodap">
    <w:name w:val="footer"/>
    <w:basedOn w:val="Normal"/>
    <w:link w:val="RodapChar"/>
    <w:uiPriority w:val="99"/>
    <w:unhideWhenUsed/>
    <w:rsid w:val="00377EFE"/>
    <w:pPr>
      <w:tabs>
        <w:tab w:val="center" w:pos="4252"/>
        <w:tab w:val="right" w:pos="8504"/>
      </w:tabs>
    </w:pPr>
    <w:rPr>
      <w:rFonts w:eastAsia="Times New Roman"/>
      <w:lang w:val="pt-BR" w:eastAsia="pt-BR"/>
    </w:rPr>
  </w:style>
  <w:style w:type="character" w:customStyle="1" w:styleId="RodapChar">
    <w:name w:val="Rodapé Char"/>
    <w:basedOn w:val="Fontepargpadro"/>
    <w:link w:val="Rodap"/>
    <w:uiPriority w:val="99"/>
    <w:rsid w:val="00377EFE"/>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37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77EFE"/>
    <w:rPr>
      <w:rFonts w:ascii="Courier New" w:hAnsi="Courier New" w:cs="Courier New"/>
      <w:sz w:val="20"/>
      <w:szCs w:val="20"/>
      <w:lang w:val="es-ES_tradnl" w:eastAsia="es-ES_tradnl"/>
    </w:rPr>
  </w:style>
  <w:style w:type="character" w:styleId="Nmerodepgina">
    <w:name w:val="page number"/>
    <w:basedOn w:val="Fontepargpadro"/>
    <w:uiPriority w:val="99"/>
    <w:semiHidden/>
    <w:unhideWhenUsed/>
    <w:rsid w:val="00377EFE"/>
  </w:style>
  <w:style w:type="character" w:styleId="Hyperlink">
    <w:name w:val="Hyperlink"/>
    <w:basedOn w:val="Fontepargpadro"/>
    <w:uiPriority w:val="99"/>
    <w:unhideWhenUsed/>
    <w:rsid w:val="005D1DF3"/>
    <w:rPr>
      <w:color w:val="0563C1" w:themeColor="hyperlink"/>
      <w:u w:val="single"/>
    </w:rPr>
  </w:style>
  <w:style w:type="character" w:styleId="MenoPendente">
    <w:name w:val="Unresolved Mention"/>
    <w:basedOn w:val="Fontepargpadro"/>
    <w:uiPriority w:val="99"/>
    <w:semiHidden/>
    <w:unhideWhenUsed/>
    <w:rsid w:val="005D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2697</Words>
  <Characters>14565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Boquett</dc:creator>
  <cp:keywords/>
  <dc:description/>
  <cp:lastModifiedBy>Lavinia Schuler Faccini</cp:lastModifiedBy>
  <cp:revision>2</cp:revision>
  <dcterms:created xsi:type="dcterms:W3CDTF">2021-08-08T20:09:00Z</dcterms:created>
  <dcterms:modified xsi:type="dcterms:W3CDTF">2021-08-08T20:09:00Z</dcterms:modified>
</cp:coreProperties>
</file>