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97C1" w14:textId="3568DA29" w:rsidR="00A765AA" w:rsidRPr="00E378B5" w:rsidRDefault="000C6F5C" w:rsidP="00A765AA">
      <w:pPr>
        <w:spacing w:line="480" w:lineRule="auto"/>
        <w:ind w:right="866"/>
        <w:jc w:val="center"/>
        <w:rPr>
          <w:b/>
          <w:sz w:val="28"/>
          <w:szCs w:val="28"/>
          <w:u w:val="single"/>
          <w:lang w:val="en-US"/>
        </w:rPr>
      </w:pPr>
      <w:r w:rsidRPr="00E378B5">
        <w:rPr>
          <w:b/>
          <w:sz w:val="28"/>
          <w:szCs w:val="28"/>
          <w:u w:val="single"/>
          <w:lang w:val="en-US"/>
        </w:rPr>
        <w:t xml:space="preserve">SUPPLEMENTAL MATERIAL </w:t>
      </w:r>
    </w:p>
    <w:p w14:paraId="2B94B2B6" w14:textId="77777777" w:rsidR="00A765AA" w:rsidRPr="00E378B5" w:rsidRDefault="00A765AA" w:rsidP="00A765AA">
      <w:pPr>
        <w:spacing w:line="360" w:lineRule="auto"/>
        <w:rPr>
          <w:b/>
          <w:lang w:val="en-US"/>
        </w:rPr>
      </w:pPr>
    </w:p>
    <w:p w14:paraId="0298C3AB" w14:textId="77777777" w:rsidR="00A765AA" w:rsidRPr="00E378B5" w:rsidRDefault="00A765AA" w:rsidP="00810D52">
      <w:pPr>
        <w:spacing w:line="480" w:lineRule="auto"/>
        <w:rPr>
          <w:b/>
          <w:lang w:val="en-US"/>
        </w:rPr>
      </w:pPr>
      <w:r w:rsidRPr="00E378B5">
        <w:rPr>
          <w:b/>
          <w:lang w:val="en-US"/>
        </w:rPr>
        <w:t>Table of Contents:</w:t>
      </w:r>
    </w:p>
    <w:p w14:paraId="43683166" w14:textId="432745F5" w:rsidR="00FD629B" w:rsidRPr="00E378B5" w:rsidRDefault="00FD629B" w:rsidP="00FD629B">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1: </w:t>
      </w:r>
      <w:r w:rsidR="00BC56D2" w:rsidRPr="00E378B5">
        <w:rPr>
          <w:rFonts w:ascii="Times New Roman" w:hAnsi="Times New Roman"/>
          <w:sz w:val="24"/>
          <w:szCs w:val="24"/>
          <w:lang w:val="en-US"/>
        </w:rPr>
        <w:t>List of exclusion criteria</w:t>
      </w:r>
      <w:r w:rsidRPr="00E378B5">
        <w:rPr>
          <w:rFonts w:ascii="Times New Roman" w:hAnsi="Times New Roman"/>
          <w:sz w:val="24"/>
          <w:szCs w:val="24"/>
          <w:lang w:val="en-US"/>
        </w:rPr>
        <w:t>.</w:t>
      </w:r>
    </w:p>
    <w:p w14:paraId="71C0A0B7" w14:textId="090D3A44" w:rsidR="00141CC9" w:rsidRPr="00E378B5" w:rsidRDefault="000C6F5C"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FD629B" w:rsidRPr="00E378B5">
        <w:rPr>
          <w:rFonts w:ascii="Times New Roman" w:hAnsi="Times New Roman"/>
          <w:sz w:val="24"/>
          <w:szCs w:val="24"/>
          <w:lang w:val="en-US"/>
        </w:rPr>
        <w:t>2</w:t>
      </w:r>
      <w:r w:rsidR="00141CC9" w:rsidRPr="00E378B5">
        <w:rPr>
          <w:rFonts w:ascii="Times New Roman" w:hAnsi="Times New Roman"/>
          <w:sz w:val="24"/>
          <w:szCs w:val="24"/>
          <w:lang w:val="en-US"/>
        </w:rPr>
        <w:t>: Definition of clinical events.</w:t>
      </w:r>
    </w:p>
    <w:p w14:paraId="078BB060" w14:textId="280F5A45" w:rsidR="00CB0440" w:rsidRPr="00E378B5" w:rsidRDefault="00CB0440" w:rsidP="00CB0440">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FD629B" w:rsidRPr="00E378B5">
        <w:rPr>
          <w:rFonts w:ascii="Times New Roman" w:hAnsi="Times New Roman"/>
          <w:sz w:val="24"/>
          <w:szCs w:val="24"/>
          <w:lang w:val="en-US"/>
        </w:rPr>
        <w:t>3</w:t>
      </w:r>
      <w:r w:rsidRPr="00E378B5">
        <w:rPr>
          <w:rFonts w:ascii="Times New Roman" w:hAnsi="Times New Roman"/>
          <w:sz w:val="24"/>
          <w:szCs w:val="24"/>
          <w:lang w:val="en-US"/>
        </w:rPr>
        <w:t xml:space="preserve">: </w:t>
      </w:r>
      <w:r w:rsidR="00FD629B" w:rsidRPr="00E378B5">
        <w:rPr>
          <w:rFonts w:ascii="Times New Roman" w:hAnsi="Times New Roman"/>
          <w:sz w:val="24"/>
          <w:szCs w:val="24"/>
          <w:lang w:val="en-US"/>
        </w:rPr>
        <w:t>CCTA</w:t>
      </w:r>
      <w:r w:rsidRPr="00E378B5">
        <w:rPr>
          <w:rFonts w:ascii="Times New Roman" w:hAnsi="Times New Roman"/>
          <w:sz w:val="24"/>
          <w:szCs w:val="24"/>
          <w:lang w:val="en-US"/>
        </w:rPr>
        <w:t xml:space="preserve"> </w:t>
      </w:r>
      <w:r w:rsidR="00A13558" w:rsidRPr="00E378B5">
        <w:rPr>
          <w:rFonts w:ascii="Times New Roman" w:hAnsi="Times New Roman"/>
          <w:sz w:val="24"/>
          <w:szCs w:val="24"/>
          <w:lang w:val="en-US"/>
        </w:rPr>
        <w:t>protocols</w:t>
      </w:r>
      <w:r w:rsidRPr="00E378B5">
        <w:rPr>
          <w:rFonts w:ascii="Times New Roman" w:hAnsi="Times New Roman"/>
          <w:sz w:val="24"/>
          <w:szCs w:val="24"/>
          <w:lang w:val="en-US"/>
        </w:rPr>
        <w:t>.</w:t>
      </w:r>
    </w:p>
    <w:p w14:paraId="78122AE5" w14:textId="11165545" w:rsidR="00CB0440" w:rsidRPr="00E378B5" w:rsidRDefault="00CB0440" w:rsidP="009976CA">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FD629B" w:rsidRPr="00E378B5">
        <w:rPr>
          <w:rFonts w:ascii="Times New Roman" w:hAnsi="Times New Roman"/>
          <w:sz w:val="24"/>
          <w:szCs w:val="24"/>
          <w:lang w:val="en-US"/>
        </w:rPr>
        <w:t>4</w:t>
      </w:r>
      <w:r w:rsidRPr="00E378B5">
        <w:rPr>
          <w:rFonts w:ascii="Times New Roman" w:hAnsi="Times New Roman"/>
          <w:sz w:val="24"/>
          <w:szCs w:val="24"/>
          <w:lang w:val="en-US"/>
        </w:rPr>
        <w:t>: Radiation exposure.</w:t>
      </w:r>
    </w:p>
    <w:p w14:paraId="60A76403" w14:textId="2E93F8B3" w:rsidR="00DE2B4F" w:rsidRPr="00E378B5" w:rsidRDefault="000C6F5C"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FD629B" w:rsidRPr="00E378B5">
        <w:rPr>
          <w:rFonts w:ascii="Times New Roman" w:hAnsi="Times New Roman"/>
          <w:sz w:val="24"/>
          <w:szCs w:val="24"/>
          <w:lang w:val="en-US"/>
        </w:rPr>
        <w:t>5</w:t>
      </w:r>
      <w:r w:rsidR="00141CC9" w:rsidRPr="00E378B5">
        <w:rPr>
          <w:rFonts w:ascii="Times New Roman" w:hAnsi="Times New Roman"/>
          <w:sz w:val="24"/>
          <w:szCs w:val="24"/>
          <w:lang w:val="en-US"/>
        </w:rPr>
        <w:t xml:space="preserve">: </w:t>
      </w:r>
      <w:r w:rsidR="001629E7" w:rsidRPr="00E378B5">
        <w:rPr>
          <w:rFonts w:ascii="Times New Roman" w:hAnsi="Times New Roman"/>
          <w:sz w:val="24"/>
          <w:szCs w:val="24"/>
          <w:lang w:val="en-US"/>
        </w:rPr>
        <w:t>CMR protocol and analysis</w:t>
      </w:r>
      <w:r w:rsidR="00141CC9" w:rsidRPr="00E378B5">
        <w:rPr>
          <w:rFonts w:ascii="Times New Roman" w:hAnsi="Times New Roman"/>
          <w:sz w:val="24"/>
          <w:szCs w:val="24"/>
          <w:lang w:val="en-US"/>
        </w:rPr>
        <w:t>.</w:t>
      </w:r>
    </w:p>
    <w:p w14:paraId="36977D1F" w14:textId="1D448F25" w:rsidR="009976CA" w:rsidRPr="00E378B5" w:rsidRDefault="000C6F5C" w:rsidP="00434137">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FD629B" w:rsidRPr="00E378B5">
        <w:rPr>
          <w:rFonts w:ascii="Times New Roman" w:hAnsi="Times New Roman"/>
          <w:sz w:val="24"/>
          <w:szCs w:val="24"/>
          <w:lang w:val="en-US"/>
        </w:rPr>
        <w:t>6</w:t>
      </w:r>
      <w:r w:rsidR="00A765AA" w:rsidRPr="00E378B5">
        <w:rPr>
          <w:rFonts w:ascii="Times New Roman" w:hAnsi="Times New Roman"/>
          <w:sz w:val="24"/>
          <w:szCs w:val="24"/>
          <w:lang w:val="en-US"/>
        </w:rPr>
        <w:t>:</w:t>
      </w:r>
      <w:r w:rsidR="00A5350C" w:rsidRPr="00E378B5">
        <w:rPr>
          <w:rFonts w:ascii="Times New Roman" w:hAnsi="Times New Roman"/>
          <w:sz w:val="24"/>
          <w:szCs w:val="24"/>
          <w:lang w:val="en-US"/>
        </w:rPr>
        <w:t xml:space="preserve"> CMR sequence parameters</w:t>
      </w:r>
      <w:r w:rsidR="00A765AA" w:rsidRPr="00E378B5">
        <w:rPr>
          <w:rFonts w:ascii="Times New Roman" w:hAnsi="Times New Roman"/>
          <w:sz w:val="24"/>
          <w:szCs w:val="24"/>
          <w:lang w:val="en-US"/>
        </w:rPr>
        <w:t>.</w:t>
      </w:r>
    </w:p>
    <w:p w14:paraId="72967192" w14:textId="63B9EB39" w:rsidR="00434137" w:rsidRPr="00E378B5" w:rsidRDefault="000C6F5C" w:rsidP="00434137">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434137" w:rsidRPr="00E378B5">
        <w:rPr>
          <w:rFonts w:ascii="Times New Roman" w:hAnsi="Times New Roman"/>
          <w:sz w:val="24"/>
          <w:szCs w:val="24"/>
          <w:lang w:val="en-US"/>
        </w:rPr>
        <w:t>7</w:t>
      </w:r>
      <w:r w:rsidR="00A35F23" w:rsidRPr="00E378B5">
        <w:rPr>
          <w:rFonts w:ascii="Times New Roman" w:hAnsi="Times New Roman"/>
          <w:sz w:val="24"/>
          <w:szCs w:val="24"/>
          <w:lang w:val="en-US"/>
        </w:rPr>
        <w:t>:</w:t>
      </w:r>
      <w:r w:rsidR="003D6D04" w:rsidRPr="00E378B5">
        <w:rPr>
          <w:rFonts w:ascii="Times New Roman" w:hAnsi="Times New Roman"/>
          <w:sz w:val="24"/>
          <w:szCs w:val="24"/>
          <w:lang w:val="en-US"/>
        </w:rPr>
        <w:t xml:space="preserve"> </w:t>
      </w:r>
      <w:r w:rsidR="006779CD" w:rsidRPr="00E378B5">
        <w:rPr>
          <w:rFonts w:ascii="Times New Roman" w:hAnsi="Times New Roman"/>
          <w:sz w:val="24"/>
          <w:szCs w:val="24"/>
          <w:lang w:val="en-US"/>
        </w:rPr>
        <w:t xml:space="preserve">Clinical, CCTA and stress CMR variables </w:t>
      </w:r>
      <w:r w:rsidR="001A6D55" w:rsidRPr="00E378B5">
        <w:rPr>
          <w:rFonts w:ascii="Times New Roman" w:hAnsi="Times New Roman"/>
          <w:sz w:val="24"/>
          <w:szCs w:val="24"/>
          <w:lang w:val="en-US"/>
        </w:rPr>
        <w:t xml:space="preserve">included </w:t>
      </w:r>
      <w:r w:rsidR="006779CD" w:rsidRPr="00E378B5">
        <w:rPr>
          <w:rFonts w:ascii="Times New Roman" w:hAnsi="Times New Roman"/>
          <w:sz w:val="24"/>
          <w:szCs w:val="24"/>
          <w:lang w:val="en-US"/>
        </w:rPr>
        <w:t>in the clustering model</w:t>
      </w:r>
      <w:r w:rsidR="00FC283E" w:rsidRPr="00E378B5">
        <w:rPr>
          <w:rFonts w:ascii="Times New Roman" w:hAnsi="Times New Roman"/>
          <w:sz w:val="24"/>
          <w:szCs w:val="24"/>
          <w:lang w:val="en-US"/>
        </w:rPr>
        <w:t>.</w:t>
      </w:r>
    </w:p>
    <w:p w14:paraId="0BCBA1A5" w14:textId="02B61796" w:rsidR="00FC283E" w:rsidRPr="00E378B5" w:rsidRDefault="000C6F5C" w:rsidP="009B33BD">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227C4" w:rsidRPr="00E378B5">
        <w:rPr>
          <w:rFonts w:ascii="Times New Roman" w:hAnsi="Times New Roman"/>
          <w:sz w:val="24"/>
          <w:szCs w:val="24"/>
          <w:lang w:val="en-US"/>
        </w:rPr>
        <w:t>8</w:t>
      </w:r>
      <w:r w:rsidR="006F43DE" w:rsidRPr="00E378B5">
        <w:rPr>
          <w:rFonts w:ascii="Times New Roman" w:hAnsi="Times New Roman"/>
          <w:sz w:val="24"/>
          <w:szCs w:val="24"/>
          <w:lang w:val="en-US"/>
        </w:rPr>
        <w:t xml:space="preserve">: </w:t>
      </w:r>
      <w:r w:rsidR="00DB1779" w:rsidRPr="00E378B5">
        <w:rPr>
          <w:rFonts w:ascii="Times New Roman" w:hAnsi="Times New Roman"/>
          <w:sz w:val="24"/>
          <w:szCs w:val="24"/>
          <w:lang w:val="en-US"/>
        </w:rPr>
        <w:t>Cluster analysis methods</w:t>
      </w:r>
      <w:r w:rsidR="003D6D04" w:rsidRPr="00E378B5">
        <w:rPr>
          <w:rFonts w:ascii="Times New Roman" w:hAnsi="Times New Roman"/>
          <w:sz w:val="24"/>
          <w:szCs w:val="24"/>
          <w:lang w:val="en-US"/>
        </w:rPr>
        <w:t>.</w:t>
      </w:r>
    </w:p>
    <w:p w14:paraId="19D4B447" w14:textId="5CE62FB4" w:rsidR="00AE654C" w:rsidRPr="00E378B5" w:rsidRDefault="000C6F5C"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227C4" w:rsidRPr="00E378B5">
        <w:rPr>
          <w:rFonts w:ascii="Times New Roman" w:hAnsi="Times New Roman"/>
          <w:sz w:val="24"/>
          <w:szCs w:val="24"/>
          <w:lang w:val="en-US"/>
        </w:rPr>
        <w:t>9</w:t>
      </w:r>
      <w:r w:rsidR="00AE654C" w:rsidRPr="00E378B5">
        <w:rPr>
          <w:rFonts w:ascii="Times New Roman" w:hAnsi="Times New Roman"/>
          <w:sz w:val="24"/>
          <w:szCs w:val="24"/>
          <w:lang w:val="en-US"/>
        </w:rPr>
        <w:t xml:space="preserve">: </w:t>
      </w:r>
      <w:r w:rsidR="00DB1779" w:rsidRPr="00E378B5">
        <w:rPr>
          <w:rFonts w:ascii="Times New Roman" w:hAnsi="Times New Roman"/>
          <w:sz w:val="24"/>
          <w:szCs w:val="24"/>
          <w:lang w:val="en-US"/>
        </w:rPr>
        <w:t>Stress CMR safety results</w:t>
      </w:r>
      <w:r w:rsidR="003D6D04" w:rsidRPr="00E378B5">
        <w:rPr>
          <w:rFonts w:ascii="Times New Roman" w:hAnsi="Times New Roman"/>
          <w:sz w:val="24"/>
          <w:szCs w:val="24"/>
          <w:lang w:val="en-US"/>
        </w:rPr>
        <w:t>.</w:t>
      </w:r>
    </w:p>
    <w:p w14:paraId="14D4187E" w14:textId="66C9AAEA" w:rsidR="009F04F7" w:rsidRPr="00E378B5" w:rsidRDefault="009F04F7" w:rsidP="009F04F7">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Supplemental Material 10: Baseline Clinical characteristics and Outcomes of patients inducible ischemia according to the presence of obstructive CAD as defined by ICA.</w:t>
      </w:r>
    </w:p>
    <w:p w14:paraId="56375054" w14:textId="727E0299" w:rsidR="004A0C3A" w:rsidRPr="00E378B5" w:rsidRDefault="000C6F5C"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11</w:t>
      </w:r>
      <w:r w:rsidR="00EC3107" w:rsidRPr="00E378B5">
        <w:rPr>
          <w:rFonts w:ascii="Times New Roman" w:hAnsi="Times New Roman"/>
          <w:sz w:val="24"/>
          <w:szCs w:val="24"/>
          <w:lang w:val="en-US"/>
        </w:rPr>
        <w:t xml:space="preserve">: </w:t>
      </w:r>
      <w:r w:rsidR="00415689" w:rsidRPr="00E378B5">
        <w:rPr>
          <w:rFonts w:ascii="Times New Roman" w:hAnsi="Times New Roman"/>
          <w:sz w:val="24"/>
          <w:szCs w:val="24"/>
          <w:lang w:val="en-US"/>
        </w:rPr>
        <w:t xml:space="preserve">Determination of the optimal number of </w:t>
      </w:r>
      <w:proofErr w:type="spellStart"/>
      <w:r w:rsidR="00415689" w:rsidRPr="00E378B5">
        <w:rPr>
          <w:rFonts w:ascii="Times New Roman" w:hAnsi="Times New Roman"/>
          <w:sz w:val="24"/>
          <w:szCs w:val="24"/>
          <w:lang w:val="en-US"/>
        </w:rPr>
        <w:t>phenogroups</w:t>
      </w:r>
      <w:proofErr w:type="spellEnd"/>
      <w:r w:rsidR="003D6D04" w:rsidRPr="00E378B5">
        <w:rPr>
          <w:rFonts w:ascii="Times New Roman" w:hAnsi="Times New Roman"/>
          <w:sz w:val="24"/>
          <w:szCs w:val="24"/>
          <w:lang w:val="en-US"/>
        </w:rPr>
        <w:t>.</w:t>
      </w:r>
    </w:p>
    <w:p w14:paraId="61D70331" w14:textId="1AD53D27" w:rsidR="00C45173" w:rsidRPr="00E378B5" w:rsidRDefault="000C6F5C"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12</w:t>
      </w:r>
      <w:r w:rsidR="00C45173" w:rsidRPr="00E378B5">
        <w:rPr>
          <w:rFonts w:ascii="Times New Roman" w:hAnsi="Times New Roman"/>
          <w:sz w:val="24"/>
          <w:szCs w:val="24"/>
          <w:lang w:val="en-US"/>
        </w:rPr>
        <w:t xml:space="preserve">: </w:t>
      </w:r>
      <w:proofErr w:type="spellStart"/>
      <w:r w:rsidR="00415689" w:rsidRPr="00E378B5">
        <w:rPr>
          <w:rFonts w:ascii="Times New Roman" w:hAnsi="Times New Roman"/>
          <w:sz w:val="24"/>
          <w:szCs w:val="24"/>
          <w:lang w:val="en-US"/>
        </w:rPr>
        <w:t>Phenogroups</w:t>
      </w:r>
      <w:proofErr w:type="spellEnd"/>
      <w:r w:rsidR="00415689" w:rsidRPr="00E378B5">
        <w:rPr>
          <w:rFonts w:ascii="Times New Roman" w:hAnsi="Times New Roman"/>
          <w:sz w:val="24"/>
          <w:szCs w:val="24"/>
          <w:lang w:val="en-US"/>
        </w:rPr>
        <w:t xml:space="preserve"> characteristics</w:t>
      </w:r>
      <w:r w:rsidR="003D6D04" w:rsidRPr="00E378B5">
        <w:rPr>
          <w:rFonts w:ascii="Times New Roman" w:hAnsi="Times New Roman"/>
          <w:sz w:val="24"/>
          <w:szCs w:val="24"/>
          <w:lang w:val="en-US"/>
        </w:rPr>
        <w:t>.</w:t>
      </w:r>
    </w:p>
    <w:p w14:paraId="5E3BE1D7" w14:textId="14834F5D" w:rsidR="006E5879" w:rsidRPr="00E378B5" w:rsidRDefault="006E5879"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13</w:t>
      </w:r>
      <w:r w:rsidRPr="00E378B5">
        <w:rPr>
          <w:rFonts w:ascii="Times New Roman" w:hAnsi="Times New Roman"/>
          <w:sz w:val="24"/>
          <w:szCs w:val="24"/>
          <w:lang w:val="en-US"/>
        </w:rPr>
        <w:t>: Box plots: Distribution of Cardiovascular Magnetic Resonance Parameters.</w:t>
      </w:r>
    </w:p>
    <w:p w14:paraId="6DD7B5F8" w14:textId="04ACCFE4" w:rsidR="0092239A" w:rsidRPr="00E378B5" w:rsidRDefault="0092239A" w:rsidP="0092239A">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14</w:t>
      </w:r>
      <w:r w:rsidRPr="00E378B5">
        <w:rPr>
          <w:rFonts w:ascii="Times New Roman" w:hAnsi="Times New Roman"/>
          <w:sz w:val="24"/>
          <w:szCs w:val="24"/>
          <w:lang w:val="en-US"/>
        </w:rPr>
        <w:t xml:space="preserve">: Association between the proportion of non-calcified plaques and the presence of LGE with ischemic pattern within each </w:t>
      </w:r>
      <w:proofErr w:type="spellStart"/>
      <w:r w:rsidRPr="00E378B5">
        <w:rPr>
          <w:rFonts w:ascii="Times New Roman" w:hAnsi="Times New Roman"/>
          <w:sz w:val="24"/>
          <w:szCs w:val="24"/>
          <w:lang w:val="en-US"/>
        </w:rPr>
        <w:t>phenogroup</w:t>
      </w:r>
      <w:proofErr w:type="spellEnd"/>
      <w:r w:rsidRPr="00E378B5">
        <w:rPr>
          <w:rFonts w:ascii="Times New Roman" w:hAnsi="Times New Roman"/>
          <w:sz w:val="24"/>
          <w:szCs w:val="24"/>
          <w:lang w:val="en-US"/>
        </w:rPr>
        <w:t>.</w:t>
      </w:r>
    </w:p>
    <w:p w14:paraId="5C9C260A" w14:textId="54A160E2" w:rsidR="00EE5B29" w:rsidRPr="00E378B5" w:rsidRDefault="00EE5B29" w:rsidP="00810D52">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15</w:t>
      </w:r>
      <w:r w:rsidRPr="00E378B5">
        <w:rPr>
          <w:rFonts w:ascii="Times New Roman" w:hAnsi="Times New Roman"/>
          <w:sz w:val="24"/>
          <w:szCs w:val="24"/>
          <w:lang w:val="en-US"/>
        </w:rPr>
        <w:t xml:space="preserve">: Sensitivity analysis: Association of </w:t>
      </w:r>
      <w:proofErr w:type="spellStart"/>
      <w:r w:rsidRPr="00E378B5">
        <w:rPr>
          <w:rFonts w:ascii="Times New Roman" w:hAnsi="Times New Roman"/>
          <w:sz w:val="24"/>
          <w:szCs w:val="24"/>
          <w:lang w:val="en-US"/>
        </w:rPr>
        <w:t>phenogroups</w:t>
      </w:r>
      <w:proofErr w:type="spellEnd"/>
      <w:r w:rsidRPr="00E378B5">
        <w:rPr>
          <w:rFonts w:ascii="Times New Roman" w:hAnsi="Times New Roman"/>
          <w:sz w:val="24"/>
          <w:szCs w:val="24"/>
          <w:lang w:val="en-US"/>
        </w:rPr>
        <w:t xml:space="preserve"> with adverse outcomes on Cox proportional hazard analysis.</w:t>
      </w:r>
    </w:p>
    <w:p w14:paraId="1A66A7AC" w14:textId="32656ED5" w:rsidR="00A432BE" w:rsidRPr="00E378B5" w:rsidRDefault="00A432BE" w:rsidP="00A432BE">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t xml:space="preserve">Supplemental Material </w:t>
      </w:r>
      <w:r w:rsidR="009F04F7" w:rsidRPr="00E378B5">
        <w:rPr>
          <w:rFonts w:ascii="Times New Roman" w:hAnsi="Times New Roman"/>
          <w:sz w:val="24"/>
          <w:szCs w:val="24"/>
          <w:lang w:val="en-US"/>
        </w:rPr>
        <w:t>16</w:t>
      </w:r>
      <w:r w:rsidRPr="00E378B5">
        <w:rPr>
          <w:rFonts w:ascii="Times New Roman" w:hAnsi="Times New Roman"/>
          <w:sz w:val="24"/>
          <w:szCs w:val="24"/>
          <w:lang w:val="en-US"/>
        </w:rPr>
        <w:t>: Distribution of CCTA findings according to the occurrence of MACE in patients with ischemia.</w:t>
      </w:r>
    </w:p>
    <w:p w14:paraId="3F246F13" w14:textId="3D45129B" w:rsidR="00CA7CBE" w:rsidRPr="00E378B5" w:rsidRDefault="00CA7CBE" w:rsidP="00A432BE">
      <w:pPr>
        <w:pStyle w:val="ListParagraph"/>
        <w:numPr>
          <w:ilvl w:val="0"/>
          <w:numId w:val="15"/>
        </w:numPr>
        <w:spacing w:line="480" w:lineRule="auto"/>
        <w:rPr>
          <w:rFonts w:ascii="Times New Roman" w:hAnsi="Times New Roman"/>
          <w:sz w:val="24"/>
          <w:szCs w:val="24"/>
          <w:lang w:val="en-US"/>
        </w:rPr>
      </w:pPr>
      <w:r w:rsidRPr="00E378B5">
        <w:rPr>
          <w:rFonts w:ascii="Times New Roman" w:hAnsi="Times New Roman"/>
          <w:sz w:val="24"/>
          <w:szCs w:val="24"/>
          <w:lang w:val="en-US"/>
        </w:rPr>
        <w:lastRenderedPageBreak/>
        <w:t xml:space="preserve">Supplemental Material </w:t>
      </w:r>
      <w:r w:rsidR="009F04F7" w:rsidRPr="00E378B5">
        <w:rPr>
          <w:rFonts w:ascii="Times New Roman" w:hAnsi="Times New Roman"/>
          <w:sz w:val="24"/>
          <w:szCs w:val="24"/>
          <w:lang w:val="en-US"/>
        </w:rPr>
        <w:t>17</w:t>
      </w:r>
      <w:r w:rsidRPr="00E378B5">
        <w:rPr>
          <w:rFonts w:ascii="Times New Roman" w:hAnsi="Times New Roman"/>
          <w:sz w:val="24"/>
          <w:szCs w:val="24"/>
          <w:lang w:val="en-US"/>
        </w:rPr>
        <w:t>: Association of the number of proximal segments with noncalcified plaques and the occurrence of MACE.</w:t>
      </w:r>
    </w:p>
    <w:p w14:paraId="3D9FC338" w14:textId="77777777" w:rsidR="00A432BE" w:rsidRPr="00E378B5" w:rsidRDefault="00A432BE" w:rsidP="00FD629B">
      <w:pPr>
        <w:spacing w:line="480" w:lineRule="auto"/>
        <w:ind w:right="866"/>
        <w:rPr>
          <w:rFonts w:eastAsia="Calibri"/>
          <w:b/>
          <w:u w:val="single"/>
          <w:lang w:val="en-US" w:eastAsia="en-US"/>
        </w:rPr>
        <w:sectPr w:rsidR="00A432BE" w:rsidRPr="00E378B5" w:rsidSect="00831CF1">
          <w:footerReference w:type="even" r:id="rId8"/>
          <w:footerReference w:type="default" r:id="rId9"/>
          <w:pgSz w:w="11900" w:h="16820"/>
          <w:pgMar w:top="1417" w:right="1417" w:bottom="1417" w:left="1417" w:header="708" w:footer="708" w:gutter="0"/>
          <w:cols w:space="708"/>
          <w:docGrid w:linePitch="360"/>
        </w:sectPr>
      </w:pPr>
    </w:p>
    <w:p w14:paraId="3A5BBE55" w14:textId="3D6743C5" w:rsidR="00FD629B" w:rsidRPr="00E378B5" w:rsidRDefault="00FD629B" w:rsidP="00FD629B">
      <w:pPr>
        <w:spacing w:line="480" w:lineRule="auto"/>
        <w:ind w:right="866"/>
        <w:rPr>
          <w:b/>
          <w:u w:val="single"/>
          <w:lang w:val="en-GB"/>
        </w:rPr>
      </w:pPr>
      <w:r w:rsidRPr="00E378B5">
        <w:rPr>
          <w:rFonts w:eastAsia="Calibri"/>
          <w:b/>
          <w:u w:val="single"/>
          <w:lang w:val="en-US" w:eastAsia="en-US"/>
        </w:rPr>
        <w:lastRenderedPageBreak/>
        <w:t xml:space="preserve">SUPPLEMENTAL MATERIAL </w:t>
      </w:r>
      <w:r w:rsidRPr="00E378B5">
        <w:rPr>
          <w:b/>
          <w:u w:val="single"/>
          <w:lang w:val="en-GB"/>
        </w:rPr>
        <w:t>1</w:t>
      </w:r>
    </w:p>
    <w:p w14:paraId="25FBBAE0" w14:textId="199D1F0F" w:rsidR="00A13558" w:rsidRPr="00E378B5" w:rsidRDefault="00BC56D2" w:rsidP="00A13558">
      <w:pPr>
        <w:widowControl w:val="0"/>
        <w:autoSpaceDE w:val="0"/>
        <w:autoSpaceDN w:val="0"/>
        <w:adjustRightInd w:val="0"/>
        <w:spacing w:line="480" w:lineRule="auto"/>
        <w:rPr>
          <w:rFonts w:eastAsiaTheme="minorEastAsia"/>
          <w:b/>
          <w:bCs/>
          <w:lang w:val="en-US"/>
        </w:rPr>
      </w:pPr>
      <w:r w:rsidRPr="00E378B5">
        <w:rPr>
          <w:b/>
          <w:bCs/>
          <w:lang w:val="en-US"/>
        </w:rPr>
        <w:t>List of exclusion criteria</w:t>
      </w:r>
      <w:r w:rsidRPr="00E378B5">
        <w:rPr>
          <w:rFonts w:eastAsiaTheme="minorEastAsia"/>
          <w:b/>
          <w:bCs/>
          <w:lang w:val="en-US"/>
        </w:rPr>
        <w:t xml:space="preserve"> </w:t>
      </w:r>
    </w:p>
    <w:p w14:paraId="2963B7AD" w14:textId="77777777" w:rsidR="003F129B" w:rsidRPr="00E378B5" w:rsidRDefault="003F129B" w:rsidP="003F129B">
      <w:pPr>
        <w:pStyle w:val="ListParagraph"/>
        <w:widowControl w:val="0"/>
        <w:numPr>
          <w:ilvl w:val="0"/>
          <w:numId w:val="18"/>
        </w:numPr>
        <w:autoSpaceDE w:val="0"/>
        <w:autoSpaceDN w:val="0"/>
        <w:adjustRightInd w:val="0"/>
        <w:spacing w:line="480" w:lineRule="auto"/>
        <w:rPr>
          <w:rFonts w:ascii="Times New Roman" w:eastAsiaTheme="minorEastAsia" w:hAnsi="Times New Roman"/>
          <w:sz w:val="24"/>
          <w:szCs w:val="24"/>
          <w:lang w:val="en-GB"/>
        </w:rPr>
      </w:pPr>
      <w:r w:rsidRPr="00E378B5">
        <w:rPr>
          <w:rFonts w:ascii="Times New Roman" w:eastAsiaTheme="minorEastAsia" w:hAnsi="Times New Roman"/>
          <w:sz w:val="24"/>
          <w:szCs w:val="24"/>
          <w:lang w:val="en-GB"/>
        </w:rPr>
        <w:t xml:space="preserve">Previously known CAD before index CCTA was defined as: prior myocardial infarction (MI), known significant coronary stenosis, previous coronary revascularization, or presence of any stents or grafts/graft stenosis as recorded by CT findings. </w:t>
      </w:r>
    </w:p>
    <w:p w14:paraId="718A2151" w14:textId="77777777" w:rsidR="003F129B" w:rsidRPr="00E378B5" w:rsidRDefault="003F129B" w:rsidP="003F129B">
      <w:pPr>
        <w:pStyle w:val="ListParagraph"/>
        <w:widowControl w:val="0"/>
        <w:numPr>
          <w:ilvl w:val="0"/>
          <w:numId w:val="18"/>
        </w:numPr>
        <w:autoSpaceDE w:val="0"/>
        <w:autoSpaceDN w:val="0"/>
        <w:adjustRightInd w:val="0"/>
        <w:spacing w:line="480" w:lineRule="auto"/>
        <w:rPr>
          <w:rFonts w:ascii="Times New Roman" w:eastAsiaTheme="minorEastAsia" w:hAnsi="Times New Roman"/>
          <w:sz w:val="24"/>
          <w:szCs w:val="24"/>
          <w:lang w:val="en-GB"/>
        </w:rPr>
      </w:pPr>
      <w:r w:rsidRPr="00E378B5">
        <w:rPr>
          <w:rFonts w:ascii="Times New Roman" w:eastAsiaTheme="minorEastAsia" w:hAnsi="Times New Roman"/>
          <w:sz w:val="24"/>
          <w:szCs w:val="24"/>
          <w:lang w:val="en-US"/>
        </w:rPr>
        <w:t>CCTA exclusion criteria were pregnancy, glomerular filtration rate &lt;60 ml/min/1.73 m</w:t>
      </w:r>
      <w:r w:rsidRPr="00E378B5">
        <w:rPr>
          <w:rFonts w:ascii="Times New Roman" w:eastAsiaTheme="minorEastAsia" w:hAnsi="Times New Roman"/>
          <w:sz w:val="24"/>
          <w:szCs w:val="24"/>
          <w:vertAlign w:val="superscript"/>
          <w:lang w:val="en-US"/>
        </w:rPr>
        <w:t>2</w:t>
      </w:r>
      <w:r w:rsidRPr="00E378B5">
        <w:rPr>
          <w:rFonts w:ascii="Times New Roman" w:eastAsiaTheme="minorEastAsia" w:hAnsi="Times New Roman"/>
          <w:sz w:val="24"/>
          <w:szCs w:val="24"/>
          <w:lang w:val="en-US"/>
        </w:rPr>
        <w:t>, and known allergy to contrast agents.</w:t>
      </w:r>
      <w:r w:rsidRPr="00E378B5">
        <w:rPr>
          <w:rFonts w:ascii="Times New Roman" w:eastAsiaTheme="minorEastAsia" w:hAnsi="Times New Roman"/>
          <w:sz w:val="24"/>
          <w:szCs w:val="24"/>
          <w:lang w:val="en-GB"/>
        </w:rPr>
        <w:t xml:space="preserve"> </w:t>
      </w:r>
    </w:p>
    <w:p w14:paraId="5B2D067A" w14:textId="77777777" w:rsidR="003F129B" w:rsidRPr="00E378B5" w:rsidRDefault="003F129B" w:rsidP="003F129B">
      <w:pPr>
        <w:pStyle w:val="ListParagraph"/>
        <w:widowControl w:val="0"/>
        <w:numPr>
          <w:ilvl w:val="0"/>
          <w:numId w:val="18"/>
        </w:numPr>
        <w:autoSpaceDE w:val="0"/>
        <w:autoSpaceDN w:val="0"/>
        <w:adjustRightInd w:val="0"/>
        <w:spacing w:line="480" w:lineRule="auto"/>
        <w:rPr>
          <w:rFonts w:ascii="Times New Roman" w:eastAsiaTheme="minorEastAsia" w:hAnsi="Times New Roman"/>
          <w:sz w:val="24"/>
          <w:szCs w:val="24"/>
          <w:lang w:val="en-GB"/>
        </w:rPr>
      </w:pPr>
      <w:r w:rsidRPr="00E378B5">
        <w:rPr>
          <w:rFonts w:ascii="Times New Roman" w:eastAsiaTheme="minorEastAsia" w:hAnsi="Times New Roman"/>
          <w:sz w:val="24"/>
          <w:szCs w:val="24"/>
          <w:lang w:val="en-GB"/>
        </w:rPr>
        <w:t>Of patients with obstructive CAD on CCTA and referred for stress CMR, exclusion criteria were: (</w:t>
      </w:r>
      <w:proofErr w:type="spellStart"/>
      <w:r w:rsidRPr="00E378B5">
        <w:rPr>
          <w:rFonts w:ascii="Times New Roman" w:eastAsiaTheme="minorEastAsia" w:hAnsi="Times New Roman"/>
          <w:sz w:val="24"/>
          <w:szCs w:val="24"/>
          <w:lang w:val="en-GB"/>
        </w:rPr>
        <w:t>i</w:t>
      </w:r>
      <w:proofErr w:type="spellEnd"/>
      <w:r w:rsidRPr="00E378B5">
        <w:rPr>
          <w:rFonts w:ascii="Times New Roman" w:eastAsiaTheme="minorEastAsia" w:hAnsi="Times New Roman"/>
          <w:sz w:val="24"/>
          <w:szCs w:val="24"/>
          <w:lang w:val="en-GB"/>
        </w:rPr>
        <w:t>) contraindication to CMR (cerebral clips, metallic eye implant); (ii) contraindication to dipyridamole (severe asthma or chronic obstructive pulmonary disease, second- or third-degree atrioventricular block); (iii) known cardiomyopathy (e.g. hypertrophic, dilated, or infiltrative) and acute or chronic myocarditis; (iv) known allergy to gadolinium-based contrast medium; and (v) glomerular filtration rate &lt;30 mL/min/1.73 m</w:t>
      </w:r>
      <w:r w:rsidRPr="00E378B5">
        <w:rPr>
          <w:rFonts w:ascii="Times New Roman" w:eastAsiaTheme="minorEastAsia" w:hAnsi="Times New Roman"/>
          <w:sz w:val="24"/>
          <w:szCs w:val="24"/>
          <w:vertAlign w:val="superscript"/>
          <w:lang w:val="en-GB"/>
        </w:rPr>
        <w:t>2</w:t>
      </w:r>
      <w:r w:rsidRPr="00E378B5">
        <w:rPr>
          <w:rFonts w:ascii="Times New Roman" w:eastAsiaTheme="minorEastAsia" w:hAnsi="Times New Roman"/>
          <w:sz w:val="24"/>
          <w:szCs w:val="24"/>
          <w:lang w:val="en-GB"/>
        </w:rPr>
        <w:t>.</w:t>
      </w:r>
    </w:p>
    <w:p w14:paraId="49FC632C" w14:textId="77777777" w:rsidR="00A13558" w:rsidRPr="00E378B5" w:rsidRDefault="00A13558" w:rsidP="00A13558">
      <w:pPr>
        <w:widowControl w:val="0"/>
        <w:autoSpaceDE w:val="0"/>
        <w:autoSpaceDN w:val="0"/>
        <w:adjustRightInd w:val="0"/>
        <w:spacing w:line="480" w:lineRule="auto"/>
        <w:rPr>
          <w:rFonts w:eastAsiaTheme="minorEastAsia"/>
          <w:lang w:val="en-GB"/>
        </w:rPr>
      </w:pPr>
    </w:p>
    <w:p w14:paraId="415BA895" w14:textId="77777777" w:rsidR="00BC56D2" w:rsidRPr="00E378B5" w:rsidRDefault="00BC56D2" w:rsidP="00BC56D2">
      <w:pPr>
        <w:spacing w:line="480" w:lineRule="auto"/>
        <w:ind w:right="866"/>
        <w:rPr>
          <w:b/>
          <w:lang w:val="en-US"/>
        </w:rPr>
      </w:pPr>
    </w:p>
    <w:p w14:paraId="720C2E28" w14:textId="77777777" w:rsidR="00FD629B" w:rsidRPr="00E378B5" w:rsidRDefault="00FD629B" w:rsidP="001729E6">
      <w:pPr>
        <w:spacing w:line="480" w:lineRule="auto"/>
        <w:ind w:right="866"/>
        <w:rPr>
          <w:rFonts w:eastAsia="Calibri"/>
          <w:b/>
          <w:u w:val="single"/>
          <w:lang w:val="en-US" w:eastAsia="en-US"/>
        </w:rPr>
      </w:pPr>
    </w:p>
    <w:p w14:paraId="1A754526" w14:textId="77777777" w:rsidR="003A070F" w:rsidRPr="00E378B5" w:rsidRDefault="003A070F" w:rsidP="001729E6">
      <w:pPr>
        <w:spacing w:line="480" w:lineRule="auto"/>
        <w:ind w:right="866"/>
        <w:rPr>
          <w:rFonts w:eastAsia="Calibri"/>
          <w:b/>
          <w:u w:val="single"/>
          <w:lang w:val="en-US" w:eastAsia="en-US"/>
        </w:rPr>
      </w:pPr>
    </w:p>
    <w:p w14:paraId="04073475" w14:textId="77777777" w:rsidR="003A070F" w:rsidRPr="00E378B5" w:rsidRDefault="003A070F" w:rsidP="001729E6">
      <w:pPr>
        <w:spacing w:line="480" w:lineRule="auto"/>
        <w:ind w:right="866"/>
        <w:rPr>
          <w:rFonts w:eastAsia="Calibri"/>
          <w:b/>
          <w:u w:val="single"/>
          <w:lang w:val="en-US" w:eastAsia="en-US"/>
        </w:rPr>
      </w:pPr>
    </w:p>
    <w:p w14:paraId="4DABB61D" w14:textId="1FEA8BF0" w:rsidR="003A070F" w:rsidRPr="00E378B5" w:rsidRDefault="003A070F" w:rsidP="001729E6">
      <w:pPr>
        <w:spacing w:line="480" w:lineRule="auto"/>
        <w:ind w:right="866"/>
        <w:rPr>
          <w:rFonts w:eastAsia="Calibri"/>
          <w:b/>
          <w:u w:val="single"/>
          <w:lang w:val="en-US" w:eastAsia="en-US"/>
        </w:rPr>
        <w:sectPr w:rsidR="003A070F" w:rsidRPr="00E378B5" w:rsidSect="00831CF1">
          <w:pgSz w:w="11900" w:h="16820"/>
          <w:pgMar w:top="1417" w:right="1417" w:bottom="1417" w:left="1417" w:header="708" w:footer="708" w:gutter="0"/>
          <w:cols w:space="708"/>
          <w:docGrid w:linePitch="360"/>
        </w:sectPr>
      </w:pPr>
    </w:p>
    <w:p w14:paraId="45EAF1ED" w14:textId="0A29D6B6" w:rsidR="001729E6" w:rsidRPr="00E378B5" w:rsidRDefault="000C6F5C" w:rsidP="001729E6">
      <w:pPr>
        <w:spacing w:line="480" w:lineRule="auto"/>
        <w:ind w:right="866"/>
        <w:rPr>
          <w:b/>
          <w:u w:val="single"/>
          <w:lang w:val="en-GB"/>
        </w:rPr>
      </w:pPr>
      <w:r w:rsidRPr="00E378B5">
        <w:rPr>
          <w:rFonts w:eastAsia="Calibri"/>
          <w:b/>
          <w:u w:val="single"/>
          <w:lang w:val="en-US" w:eastAsia="en-US"/>
        </w:rPr>
        <w:lastRenderedPageBreak/>
        <w:t xml:space="preserve">SUPPLEMENTAL MATERIAL </w:t>
      </w:r>
      <w:r w:rsidR="00FD629B" w:rsidRPr="00E378B5">
        <w:rPr>
          <w:b/>
          <w:u w:val="single"/>
          <w:lang w:val="en-GB"/>
        </w:rPr>
        <w:t>2</w:t>
      </w:r>
    </w:p>
    <w:p w14:paraId="5BF52820" w14:textId="77777777" w:rsidR="00067F82" w:rsidRPr="00E378B5" w:rsidRDefault="00067F82" w:rsidP="00067F82">
      <w:pPr>
        <w:widowControl w:val="0"/>
        <w:autoSpaceDE w:val="0"/>
        <w:autoSpaceDN w:val="0"/>
        <w:adjustRightInd w:val="0"/>
        <w:spacing w:line="480" w:lineRule="auto"/>
        <w:rPr>
          <w:rFonts w:eastAsiaTheme="minorEastAsia"/>
          <w:b/>
          <w:lang w:val="en-GB"/>
        </w:rPr>
      </w:pPr>
      <w:r w:rsidRPr="00E378B5">
        <w:rPr>
          <w:rFonts w:eastAsiaTheme="minorEastAsia"/>
          <w:b/>
          <w:lang w:val="en-GB"/>
        </w:rPr>
        <w:t>Definition of all clinical events</w:t>
      </w:r>
    </w:p>
    <w:p w14:paraId="4DA8E53A" w14:textId="6ECA4B81" w:rsidR="003F129B" w:rsidRPr="00E378B5" w:rsidRDefault="003F129B" w:rsidP="003F129B">
      <w:pPr>
        <w:spacing w:line="480" w:lineRule="auto"/>
        <w:rPr>
          <w:lang w:val="en-GB"/>
        </w:rPr>
      </w:pPr>
      <w:r w:rsidRPr="00E378B5">
        <w:rPr>
          <w:lang w:val="en-GB"/>
        </w:rPr>
        <w:t xml:space="preserve">Nonfatal </w:t>
      </w:r>
      <w:r w:rsidRPr="00E378B5">
        <w:rPr>
          <w:rFonts w:eastAsiaTheme="minorEastAsia"/>
          <w:lang w:val="en-GB"/>
        </w:rPr>
        <w:t xml:space="preserve">MI was defined by </w:t>
      </w:r>
      <w:r w:rsidRPr="00E378B5">
        <w:rPr>
          <w:lang w:val="en-GB"/>
        </w:rPr>
        <w:t xml:space="preserve">typical </w:t>
      </w:r>
      <w:r w:rsidRPr="00E378B5">
        <w:rPr>
          <w:rFonts w:eastAsiaTheme="minorEastAsia"/>
          <w:lang w:val="en-GB"/>
        </w:rPr>
        <w:t xml:space="preserve">angina of ≥ 20 min duration, </w:t>
      </w:r>
      <w:r w:rsidRPr="00E378B5">
        <w:rPr>
          <w:lang w:val="en-GB"/>
        </w:rPr>
        <w:t>ECG changes,</w:t>
      </w:r>
      <w:r w:rsidRPr="00E378B5">
        <w:rPr>
          <w:rFonts w:eastAsiaTheme="minorEastAsia"/>
          <w:lang w:val="en-GB"/>
        </w:rPr>
        <w:t xml:space="preserve"> and a rise in troponin or creatine kinase level above the 99 percentile of the upper reference limit</w:t>
      </w:r>
      <w:r w:rsidRPr="00E378B5">
        <w:rPr>
          <w:lang w:val="en-GB"/>
        </w:rPr>
        <w:fldChar w:fldCharType="begin"/>
      </w:r>
      <w:r w:rsidRPr="00E378B5">
        <w:rPr>
          <w:lang w:val="en-GB"/>
        </w:rPr>
        <w:instrText xml:space="preserve"> ADDIN ZOTERO_ITEM CSL_CITATION {"citationID":"3WqgBRj7","properties":{"formattedCitation":"(1)","plainCitation":"(1)","noteIndex":0},"citationItems":[{"id":3524,"uris":["http://zotero.org/users/local/zNDbpfKM/items/JPT8JCWS"],"uri":["http://zotero.org/users/local/zNDbpfKM/items/JPT8JCWS"],"itemData":{"id":3524,"type":"article-journal","container-title":"Circulation","DOI":"10.1161/CIR.0000000000000617","ISSN":"1524-4539","issue":"20","journalAbbreviation":"Circulation","language":"eng","note":"PMID: 30571511","page":"e618-e651","source":"PubMed","title":"Fourth Universal Definition of Myocardial Infarction (2018)","volume":"138","author":[{"family":"Thygesen","given":"Kristian"},{"family":"Alpert","given":"Joseph S."},{"family":"Jaffe","given":"Allan S."},{"family":"Chaitman","given":"Bernard R."},{"family":"Bax","given":"Jeroen J."},{"family":"Morrow","given":"David A."},{"family":"White","given":"Harvey D."},{"literal":"Executive Group on behalf of the Joint European Society of Cardiology (ESC)/American College of Cardiology (ACC)/American Heart Association (AHA)/World Heart Federation (WHF) Task Force for the Universal Definition of Myocardial Infarction"}],"issued":{"date-parts":[["2018"]],"season":"13"}}}],"schema":"https://github.com/citation-style-language/schema/raw/master/csl-citation.json"} </w:instrText>
      </w:r>
      <w:r w:rsidRPr="00E378B5">
        <w:rPr>
          <w:lang w:val="en-GB"/>
        </w:rPr>
        <w:fldChar w:fldCharType="separate"/>
      </w:r>
      <w:r w:rsidRPr="00E378B5">
        <w:rPr>
          <w:lang w:val="en-GB"/>
        </w:rPr>
        <w:t>(1)</w:t>
      </w:r>
      <w:r w:rsidRPr="00E378B5">
        <w:rPr>
          <w:lang w:val="en-GB"/>
        </w:rPr>
        <w:fldChar w:fldCharType="end"/>
      </w:r>
      <w:r w:rsidRPr="00E378B5">
        <w:rPr>
          <w:rFonts w:eastAsiaTheme="minorEastAsia"/>
          <w:lang w:val="en-GB"/>
        </w:rPr>
        <w:t xml:space="preserve">. Cardiovascular </w:t>
      </w:r>
      <w:r w:rsidRPr="00E378B5">
        <w:rPr>
          <w:lang w:val="en-GB"/>
        </w:rPr>
        <w:t xml:space="preserve">mortality was defined as sudden cardiac death with documented fatal arrhythmias or any death immediately preceded by acute MI, acute or exacerbation of heart failure, or stroke. </w:t>
      </w:r>
      <w:r w:rsidRPr="00E378B5">
        <w:rPr>
          <w:rFonts w:eastAsiaTheme="minorEastAsia"/>
          <w:lang w:val="en-GB"/>
        </w:rPr>
        <w:t xml:space="preserve">All-cause </w:t>
      </w:r>
      <w:r w:rsidRPr="00E378B5">
        <w:rPr>
          <w:lang w:val="en-GB"/>
        </w:rPr>
        <w:t>mortality was defined using the electronic French National Registry of Death (</w:t>
      </w:r>
      <w:proofErr w:type="spellStart"/>
      <w:r w:rsidRPr="00E378B5">
        <w:rPr>
          <w:i/>
          <w:iCs/>
          <w:lang w:val="en-GB"/>
        </w:rPr>
        <w:t>Institut</w:t>
      </w:r>
      <w:proofErr w:type="spellEnd"/>
      <w:r w:rsidRPr="00E378B5">
        <w:rPr>
          <w:i/>
          <w:iCs/>
          <w:lang w:val="en-GB"/>
        </w:rPr>
        <w:t xml:space="preserve"> National de la </w:t>
      </w:r>
      <w:proofErr w:type="spellStart"/>
      <w:r w:rsidRPr="00E378B5">
        <w:rPr>
          <w:i/>
          <w:iCs/>
          <w:lang w:val="en-GB"/>
        </w:rPr>
        <w:t>Statistique</w:t>
      </w:r>
      <w:proofErr w:type="spellEnd"/>
      <w:r w:rsidRPr="00E378B5">
        <w:rPr>
          <w:i/>
          <w:iCs/>
          <w:lang w:val="en-GB"/>
        </w:rPr>
        <w:t xml:space="preserve"> et des Etudes </w:t>
      </w:r>
      <w:proofErr w:type="spellStart"/>
      <w:r w:rsidRPr="00E378B5">
        <w:rPr>
          <w:i/>
          <w:iCs/>
          <w:lang w:val="en-GB"/>
        </w:rPr>
        <w:t>Economiques</w:t>
      </w:r>
      <w:proofErr w:type="spellEnd"/>
      <w:r w:rsidRPr="00E378B5">
        <w:rPr>
          <w:lang w:val="en-GB"/>
        </w:rPr>
        <w:t>, INSEE registry). All clinical events were defined according to standardized definitions</w:t>
      </w:r>
      <w:r w:rsidRPr="00E378B5">
        <w:rPr>
          <w:vertAlign w:val="superscript"/>
          <w:lang w:val="en-GB"/>
        </w:rPr>
        <w:fldChar w:fldCharType="begin"/>
      </w:r>
      <w:r w:rsidRPr="00E378B5">
        <w:rPr>
          <w:vertAlign w:val="superscript"/>
          <w:lang w:val="en-GB"/>
        </w:rPr>
        <w:instrText xml:space="preserve"> ADDIN ZOTERO_ITEM CSL_CITATION {"citationID":"rUii3wGM","properties":{"formattedCitation":"(2)","plainCitation":"(2)","noteIndex":0},"citationItems":[{"id":2255,"uris":["http://zotero.org/users/local/zNDbpfKM/items/PY3WCPLU"],"uri":["http://zotero.org/users/local/zNDbpfKM/items/PY3WCPLU"],"itemData":{"id":2255,"type":"article-journal","container-title":"Journal of the American College of Cardiology","DOI":"10.1016/j.jacc.2014.12.018","ISSN":"07351097","issue":"4","journalAbbreviation":"Journal of the American College of Cardiology","language":"en","page":"403-469","source":"DOI.org (Crossref)","title":"2014 ACC/AHA Key Data Elements and Definitions for Cardiovascular Endpoint Events in Clinical Trials","volume":"66","author":[{"family":"Hicks","given":"Karen A."},{"family":"Tcheng","given":"James E."},{"family":"Bozkurt","given":"Biykem"},{"family":"Chaitman","given":"Bernard R."},{"family":"Cutlip","given":"Donald E."},{"family":"Farb","given":"Andrew"},{"family":"Fonarow","given":"Gregg C."},{"family":"Jacobs","given":"Jeffrey P."},{"family":"Jaff","given":"Michael R."},{"family":"Lichtman","given":"Judith H."},{"family":"Limacher","given":"Marian C."},{"family":"Mahaffey","given":"Kenneth W."},{"family":"Mehran","given":"Roxana"},{"family":"Nissen","given":"Steven E."},{"family":"Smith","given":"Eric E."},{"family":"Targum","given":"Shari L."}],"issued":{"date-parts":[["2015",7]]}}}],"schema":"https://github.com/citation-style-language/schema/raw/master/csl-citation.json"} </w:instrText>
      </w:r>
      <w:r w:rsidRPr="00E378B5">
        <w:rPr>
          <w:vertAlign w:val="superscript"/>
          <w:lang w:val="en-GB"/>
        </w:rPr>
        <w:fldChar w:fldCharType="separate"/>
      </w:r>
      <w:r w:rsidRPr="00E378B5">
        <w:rPr>
          <w:lang w:val="en-GB"/>
        </w:rPr>
        <w:t>(2)</w:t>
      </w:r>
      <w:r w:rsidRPr="00E378B5">
        <w:rPr>
          <w:vertAlign w:val="superscript"/>
          <w:lang w:val="en-GB"/>
        </w:rPr>
        <w:fldChar w:fldCharType="end"/>
      </w:r>
      <w:r w:rsidRPr="00E378B5">
        <w:rPr>
          <w:lang w:val="en-GB"/>
        </w:rPr>
        <w:t>. For patients who underwent PCI within 90 days after the index examination, peri-procedural events (MI or cardiovascular mortality)</w:t>
      </w:r>
      <w:r w:rsidRPr="00E378B5">
        <w:rPr>
          <w:lang w:val="en-GB"/>
        </w:rPr>
        <w:fldChar w:fldCharType="begin"/>
      </w:r>
      <w:r w:rsidRPr="00E378B5">
        <w:rPr>
          <w:lang w:val="en-GB"/>
        </w:rPr>
        <w:instrText xml:space="preserve"> ADDIN ZOTERO_ITEM CSL_CITATION {"citationID":"RPMYXMvA","properties":{"formattedCitation":"(3)","plainCitation":"(3)","noteIndex":0},"citationItems":[{"id":2783,"uris":["http://zotero.org/users/local/zNDbpfKM/items/QFQ9FZMR"],"uri":["http://zotero.org/users/local/zNDbpfKM/items/QFQ9FZMR"],"itemData":{"id":2783,"type":"article-journal","container-title":"European Heart Journal","DOI":"10.1093/eurheartj/ehaa185","ISSN":"1522-9645","issue":"17","journalAbbreviation":"Eur. Heart J.","language":"eng","note":"PMID: 32227168","page":"1704-1705","source":"PubMed","title":"Considerations for an optimal definition of procedural myocardial infarction","volume":"41","author":[{"family":"Stone","given":"Gregg W."},{"family":"Ben-Yehuda","given":"Ori"},{"family":"Sabik","given":"Joseph F."},{"family":"Kappetein","given":"A. Pieter"},{"family":"Serruys","given":"Patrick W."}],"issued":{"date-parts":[["2020",5,1]]}}}],"schema":"https://github.com/citation-style-language/schema/raw/master/csl-citation.json"} </w:instrText>
      </w:r>
      <w:r w:rsidRPr="00E378B5">
        <w:rPr>
          <w:lang w:val="en-GB"/>
        </w:rPr>
        <w:fldChar w:fldCharType="separate"/>
      </w:r>
      <w:r w:rsidRPr="00E378B5">
        <w:rPr>
          <w:lang w:val="en-GB"/>
        </w:rPr>
        <w:t>(3)</w:t>
      </w:r>
      <w:r w:rsidRPr="00E378B5">
        <w:rPr>
          <w:lang w:val="en-GB"/>
        </w:rPr>
        <w:fldChar w:fldCharType="end"/>
      </w:r>
      <w:r w:rsidRPr="00E378B5">
        <w:rPr>
          <w:lang w:val="en-GB"/>
        </w:rPr>
        <w:t xml:space="preserve"> were not included in the analysis. </w:t>
      </w:r>
    </w:p>
    <w:p w14:paraId="636EC234" w14:textId="77777777" w:rsidR="003F129B" w:rsidRPr="00E378B5" w:rsidRDefault="003F129B" w:rsidP="003F129B">
      <w:pPr>
        <w:spacing w:line="480" w:lineRule="auto"/>
        <w:rPr>
          <w:bCs/>
          <w:lang w:val="en-GB"/>
        </w:rPr>
      </w:pPr>
    </w:p>
    <w:p w14:paraId="2B1D2074" w14:textId="77777777" w:rsidR="003F129B" w:rsidRPr="00E378B5" w:rsidRDefault="003F129B" w:rsidP="003F129B">
      <w:pPr>
        <w:spacing w:line="480" w:lineRule="auto"/>
        <w:ind w:right="866"/>
        <w:rPr>
          <w:bCs/>
          <w:u w:val="single"/>
          <w:lang w:val="en-GB"/>
        </w:rPr>
      </w:pPr>
      <w:r w:rsidRPr="00E378B5">
        <w:rPr>
          <w:bCs/>
          <w:u w:val="single"/>
          <w:lang w:val="en-GB"/>
        </w:rPr>
        <w:t xml:space="preserve">References </w:t>
      </w:r>
    </w:p>
    <w:p w14:paraId="1772DAA2" w14:textId="77777777" w:rsidR="003F129B" w:rsidRPr="00E378B5" w:rsidRDefault="003F129B" w:rsidP="003F129B">
      <w:pPr>
        <w:pStyle w:val="Bibliographie4"/>
      </w:pPr>
      <w:r w:rsidRPr="00E378B5">
        <w:rPr>
          <w:rFonts w:eastAsia="Cambria"/>
          <w:b/>
          <w:bCs/>
          <w:lang w:eastAsia="ja-JP"/>
        </w:rPr>
        <w:fldChar w:fldCharType="begin"/>
      </w:r>
      <w:r w:rsidRPr="00E378B5">
        <w:rPr>
          <w:b/>
        </w:rPr>
        <w:instrText xml:space="preserve"> ADDIN ZOTERO_BIBL {"uncited":[],"omitted":[],"custom":[]} CSL_BIBLIOGRAPHY </w:instrText>
      </w:r>
      <w:r w:rsidRPr="00E378B5">
        <w:rPr>
          <w:rFonts w:eastAsia="Cambria"/>
          <w:b/>
          <w:bCs/>
          <w:lang w:eastAsia="ja-JP"/>
        </w:rPr>
        <w:fldChar w:fldCharType="separate"/>
      </w:r>
      <w:r w:rsidRPr="00E378B5">
        <w:t xml:space="preserve">1. </w:t>
      </w:r>
      <w:r w:rsidRPr="00E378B5">
        <w:tab/>
        <w:t xml:space="preserve">Thygesen K, Alpert JS, Jaffe AS, Chaitman BR, Bax JJ, Morrow DA, et al. Fourth Universal Definition of Myocardial Infarction (2018). Circulation. 2018 13;138(20):e618–51. </w:t>
      </w:r>
    </w:p>
    <w:p w14:paraId="2C3A402F" w14:textId="77777777" w:rsidR="003F129B" w:rsidRPr="00E378B5" w:rsidRDefault="003F129B" w:rsidP="003F129B">
      <w:pPr>
        <w:pStyle w:val="Bibliographie4"/>
      </w:pPr>
      <w:r w:rsidRPr="00E378B5">
        <w:t xml:space="preserve">2. </w:t>
      </w:r>
      <w:r w:rsidRPr="00E378B5">
        <w:tab/>
        <w:t xml:space="preserve">Hicks KA, Tcheng JE, Bozkurt B, Chaitman BR, Cutlip DE, Farb A, et al. 2014 ACC/AHA Key Data Elements and Definitions for Cardiovascular Endpoint Events in Clinical Trials. J Am Coll Cardiol. 2015;66(4):403–69. </w:t>
      </w:r>
    </w:p>
    <w:p w14:paraId="51BD21EA" w14:textId="77777777" w:rsidR="003F129B" w:rsidRPr="00E378B5" w:rsidRDefault="003F129B" w:rsidP="003F129B">
      <w:pPr>
        <w:pStyle w:val="Bibliographie4"/>
      </w:pPr>
      <w:r w:rsidRPr="00E378B5">
        <w:t xml:space="preserve">3. </w:t>
      </w:r>
      <w:r w:rsidRPr="00E378B5">
        <w:tab/>
        <w:t xml:space="preserve">Stone GW, Ben-Yehuda O, Sabik JF, Kappetein AP, Serruys PW. Considerations for an optimal definition of procedural myocardial infarction. Eur Heart J. 2020;41(17):1704–5. </w:t>
      </w:r>
    </w:p>
    <w:p w14:paraId="2D9DDACB" w14:textId="092CBEFA" w:rsidR="001729E6" w:rsidRPr="00E378B5" w:rsidRDefault="003F129B" w:rsidP="003F129B">
      <w:pPr>
        <w:spacing w:line="480" w:lineRule="auto"/>
        <w:ind w:right="866"/>
        <w:rPr>
          <w:b/>
          <w:lang w:val="en-GB"/>
        </w:rPr>
      </w:pPr>
      <w:r w:rsidRPr="00E378B5">
        <w:rPr>
          <w:b/>
          <w:lang w:val="en-GB"/>
        </w:rPr>
        <w:fldChar w:fldCharType="end"/>
      </w:r>
    </w:p>
    <w:p w14:paraId="622D3E84" w14:textId="77777777" w:rsidR="006F7B9C" w:rsidRPr="00E378B5" w:rsidRDefault="006F7B9C" w:rsidP="00067F82">
      <w:pPr>
        <w:spacing w:line="480" w:lineRule="auto"/>
        <w:ind w:right="866"/>
        <w:rPr>
          <w:b/>
          <w:lang w:val="en-GB"/>
        </w:rPr>
      </w:pPr>
    </w:p>
    <w:p w14:paraId="0C03AAC0" w14:textId="77777777" w:rsidR="006F7B9C" w:rsidRPr="00E378B5" w:rsidRDefault="006F7B9C" w:rsidP="00067F82">
      <w:pPr>
        <w:spacing w:line="480" w:lineRule="auto"/>
        <w:ind w:right="866"/>
        <w:rPr>
          <w:b/>
          <w:lang w:val="en-GB"/>
        </w:rPr>
      </w:pPr>
    </w:p>
    <w:p w14:paraId="09BA8BC8" w14:textId="77777777" w:rsidR="006F7B9C" w:rsidRPr="00E378B5" w:rsidRDefault="006F7B9C" w:rsidP="006F7B9C">
      <w:pPr>
        <w:spacing w:line="480" w:lineRule="auto"/>
        <w:ind w:right="866"/>
        <w:rPr>
          <w:rFonts w:eastAsia="Calibri"/>
          <w:b/>
          <w:u w:val="single"/>
          <w:lang w:val="en-US" w:eastAsia="en-US"/>
        </w:rPr>
        <w:sectPr w:rsidR="006F7B9C" w:rsidRPr="00E378B5" w:rsidSect="00831CF1">
          <w:pgSz w:w="11900" w:h="16820"/>
          <w:pgMar w:top="1417" w:right="1417" w:bottom="1417" w:left="1417" w:header="708" w:footer="708" w:gutter="0"/>
          <w:cols w:space="708"/>
          <w:docGrid w:linePitch="360"/>
        </w:sectPr>
      </w:pPr>
    </w:p>
    <w:p w14:paraId="03BA383C" w14:textId="724D532B" w:rsidR="006F7B9C" w:rsidRPr="00E378B5" w:rsidRDefault="006F7B9C" w:rsidP="00FA6DB8">
      <w:pPr>
        <w:spacing w:line="480" w:lineRule="auto"/>
        <w:ind w:right="866"/>
        <w:rPr>
          <w:b/>
          <w:u w:val="single"/>
          <w:lang w:val="en-US"/>
        </w:rPr>
      </w:pPr>
      <w:r w:rsidRPr="00E378B5">
        <w:rPr>
          <w:rFonts w:eastAsia="Calibri"/>
          <w:b/>
          <w:u w:val="single"/>
          <w:lang w:val="en-US" w:eastAsia="en-US"/>
        </w:rPr>
        <w:lastRenderedPageBreak/>
        <w:t xml:space="preserve">SUPPLEMENTAL MATERIAL </w:t>
      </w:r>
      <w:r w:rsidR="00FD629B" w:rsidRPr="00E378B5">
        <w:rPr>
          <w:rFonts w:eastAsia="Calibri"/>
          <w:b/>
          <w:u w:val="single"/>
          <w:lang w:val="en-US" w:eastAsia="en-US"/>
        </w:rPr>
        <w:t>3</w:t>
      </w:r>
    </w:p>
    <w:p w14:paraId="0D7E4B72" w14:textId="77777777" w:rsidR="003F129B" w:rsidRPr="00E378B5" w:rsidRDefault="003F129B" w:rsidP="003F129B">
      <w:pPr>
        <w:widowControl w:val="0"/>
        <w:autoSpaceDE w:val="0"/>
        <w:autoSpaceDN w:val="0"/>
        <w:adjustRightInd w:val="0"/>
        <w:spacing w:line="480" w:lineRule="auto"/>
        <w:rPr>
          <w:rFonts w:eastAsiaTheme="minorEastAsia"/>
          <w:b/>
          <w:lang w:val="en-GB"/>
        </w:rPr>
      </w:pPr>
      <w:r w:rsidRPr="00E378B5">
        <w:rPr>
          <w:rFonts w:eastAsiaTheme="minorEastAsia"/>
          <w:b/>
          <w:lang w:val="en-GB"/>
        </w:rPr>
        <w:t xml:space="preserve">Coronary computed tomography angiography (CCTA) Protocols </w:t>
      </w:r>
    </w:p>
    <w:p w14:paraId="41211B12" w14:textId="77777777" w:rsidR="003F129B" w:rsidRPr="00E378B5" w:rsidRDefault="003F129B" w:rsidP="003F129B">
      <w:pPr>
        <w:widowControl w:val="0"/>
        <w:autoSpaceDE w:val="0"/>
        <w:autoSpaceDN w:val="0"/>
        <w:adjustRightInd w:val="0"/>
        <w:spacing w:line="480" w:lineRule="auto"/>
        <w:rPr>
          <w:rFonts w:eastAsiaTheme="minorEastAsia"/>
          <w:b/>
          <w:sz w:val="8"/>
          <w:szCs w:val="8"/>
          <w:lang w:val="en-GB"/>
        </w:rPr>
      </w:pPr>
    </w:p>
    <w:p w14:paraId="2E186665" w14:textId="77777777" w:rsidR="003F129B" w:rsidRPr="00E378B5" w:rsidRDefault="003F129B" w:rsidP="003F129B">
      <w:pPr>
        <w:pStyle w:val="Study"/>
        <w:spacing w:line="480" w:lineRule="auto"/>
        <w:rPr>
          <w:b/>
          <w:i/>
          <w:iCs/>
          <w:lang w:val="en-US"/>
        </w:rPr>
      </w:pPr>
      <w:r w:rsidRPr="00E378B5">
        <w:rPr>
          <w:b/>
          <w:i/>
          <w:iCs/>
          <w:lang w:val="en-US"/>
        </w:rPr>
        <w:t xml:space="preserve">Patient preparation before CCTA </w:t>
      </w:r>
    </w:p>
    <w:p w14:paraId="791CF6E5" w14:textId="77777777" w:rsidR="003F129B" w:rsidRPr="00E378B5" w:rsidRDefault="003F129B" w:rsidP="003F129B">
      <w:pPr>
        <w:pStyle w:val="Study"/>
        <w:spacing w:line="480" w:lineRule="auto"/>
        <w:rPr>
          <w:rFonts w:eastAsia="MS Mincho"/>
          <w:lang w:val="en-US"/>
        </w:rPr>
      </w:pPr>
      <w:r w:rsidRPr="00E378B5">
        <w:rPr>
          <w:rFonts w:eastAsia="MS Mincho"/>
          <w:lang w:val="en-US"/>
        </w:rPr>
        <w:t xml:space="preserve">Prior to </w:t>
      </w:r>
      <w:r w:rsidRPr="00E378B5">
        <w:rPr>
          <w:lang w:val="en-US"/>
        </w:rPr>
        <w:t>CCTA</w:t>
      </w:r>
      <w:r w:rsidRPr="00E378B5">
        <w:rPr>
          <w:rFonts w:eastAsia="MS Mincho"/>
          <w:lang w:val="en-US"/>
        </w:rPr>
        <w:t>, in patients with a resting heart rate (HR) &gt;65 beats/min, b-blocker therapy (atenolol) was administered</w:t>
      </w:r>
      <w:r w:rsidRPr="00E378B5">
        <w:rPr>
          <w:lang w:val="en-US"/>
        </w:rPr>
        <w:t xml:space="preserve"> </w:t>
      </w:r>
      <w:r w:rsidRPr="00E378B5">
        <w:rPr>
          <w:rFonts w:eastAsia="MS Mincho"/>
          <w:lang w:val="en-US"/>
        </w:rPr>
        <w:t xml:space="preserve">intravenously, with a titrated dose of up to 50 mg to achieve a target HR of ≤65 beats/min. All patients received sublingual nitrates to ensure coronary vasodilation before the scan. </w:t>
      </w:r>
      <w:r w:rsidRPr="00E378B5">
        <w:rPr>
          <w:lang w:val="en-US"/>
        </w:rPr>
        <w:t>A bolus of 60 to 110 ml nonionic contrast agent (</w:t>
      </w:r>
      <w:proofErr w:type="spellStart"/>
      <w:r w:rsidRPr="00E378B5">
        <w:rPr>
          <w:lang w:val="en-US"/>
        </w:rPr>
        <w:t>Optiray</w:t>
      </w:r>
      <w:proofErr w:type="spellEnd"/>
      <w:r w:rsidRPr="00E378B5">
        <w:rPr>
          <w:lang w:val="en-US"/>
        </w:rPr>
        <w:t xml:space="preserve"> 350, Tyco Healthcare, Montreal, Quebec, Canada; or </w:t>
      </w:r>
      <w:proofErr w:type="spellStart"/>
      <w:r w:rsidRPr="00E378B5">
        <w:rPr>
          <w:rFonts w:eastAsia="MS Mincho"/>
          <w:lang w:val="en-GB"/>
        </w:rPr>
        <w:t>Iomeprol</w:t>
      </w:r>
      <w:proofErr w:type="spellEnd"/>
      <w:r w:rsidRPr="00E378B5">
        <w:rPr>
          <w:rFonts w:eastAsia="MS Mincho"/>
          <w:lang w:val="en-GB"/>
        </w:rPr>
        <w:t xml:space="preserve"> 350 (350 mg/ml, </w:t>
      </w:r>
      <w:proofErr w:type="spellStart"/>
      <w:r w:rsidRPr="00E378B5">
        <w:rPr>
          <w:rFonts w:eastAsia="MS Mincho"/>
          <w:lang w:val="en-GB"/>
        </w:rPr>
        <w:t>Iomeron</w:t>
      </w:r>
      <w:proofErr w:type="spellEnd"/>
      <w:r w:rsidRPr="00E378B5">
        <w:rPr>
          <w:rFonts w:eastAsia="MS Mincho"/>
          <w:lang w:val="en-GB"/>
        </w:rPr>
        <w:t>, Bracco, Italy) or Iobitridol (</w:t>
      </w:r>
      <w:proofErr w:type="spellStart"/>
      <w:r w:rsidRPr="00E378B5">
        <w:rPr>
          <w:rFonts w:eastAsia="MS Mincho"/>
          <w:lang w:val="en-GB"/>
        </w:rPr>
        <w:t>Xenetix</w:t>
      </w:r>
      <w:proofErr w:type="spellEnd"/>
      <w:r w:rsidRPr="00E378B5">
        <w:rPr>
          <w:rFonts w:eastAsia="MS Mincho"/>
          <w:lang w:val="en-GB"/>
        </w:rPr>
        <w:t xml:space="preserve"> 350, </w:t>
      </w:r>
      <w:proofErr w:type="spellStart"/>
      <w:r w:rsidRPr="00E378B5">
        <w:rPr>
          <w:rFonts w:eastAsia="MS Mincho"/>
          <w:lang w:val="en-GB"/>
        </w:rPr>
        <w:t>Guerbet</w:t>
      </w:r>
      <w:proofErr w:type="spellEnd"/>
      <w:r w:rsidRPr="00E378B5">
        <w:rPr>
          <w:rFonts w:eastAsia="MS Mincho"/>
          <w:lang w:val="en-GB"/>
        </w:rPr>
        <w:t xml:space="preserve">, </w:t>
      </w:r>
      <w:proofErr w:type="spellStart"/>
      <w:r w:rsidRPr="00E378B5">
        <w:rPr>
          <w:rFonts w:eastAsia="MS Mincho"/>
          <w:lang w:val="en-GB"/>
        </w:rPr>
        <w:t>Aulnay</w:t>
      </w:r>
      <w:proofErr w:type="spellEnd"/>
      <w:r w:rsidRPr="00E378B5">
        <w:rPr>
          <w:rFonts w:eastAsia="MS Mincho"/>
          <w:lang w:val="en-GB"/>
        </w:rPr>
        <w:t xml:space="preserve"> Sous </w:t>
      </w:r>
      <w:proofErr w:type="spellStart"/>
      <w:r w:rsidRPr="00E378B5">
        <w:rPr>
          <w:rFonts w:eastAsia="MS Mincho"/>
          <w:lang w:val="en-GB"/>
        </w:rPr>
        <w:t>Bois</w:t>
      </w:r>
      <w:proofErr w:type="spellEnd"/>
      <w:r w:rsidRPr="00E378B5">
        <w:rPr>
          <w:rFonts w:eastAsia="MS Mincho"/>
          <w:lang w:val="en-GB"/>
        </w:rPr>
        <w:t>, France)</w:t>
      </w:r>
      <w:r w:rsidRPr="00E378B5">
        <w:rPr>
          <w:lang w:val="en-US"/>
        </w:rPr>
        <w:t xml:space="preserve"> was injected at a rate of 4 ml/s when body weight was &lt;60 kg, or 5 ml/s when body weight was &gt;60 kg, followed by a 20 ml saline flush. </w:t>
      </w:r>
      <w:r w:rsidRPr="00E378B5">
        <w:rPr>
          <w:rFonts w:eastAsia="MS Mincho"/>
          <w:lang w:val="en-GB"/>
        </w:rPr>
        <w:t>All scans were performed using a bolus tracking technique with visual assessment to determine the precise timing of image acquisition.</w:t>
      </w:r>
    </w:p>
    <w:p w14:paraId="6738B6F6" w14:textId="77777777" w:rsidR="003F129B" w:rsidRPr="00E378B5" w:rsidRDefault="003F129B" w:rsidP="003F129B">
      <w:pPr>
        <w:spacing w:line="480" w:lineRule="auto"/>
        <w:ind w:right="866"/>
        <w:rPr>
          <w:rFonts w:eastAsiaTheme="minorEastAsia"/>
          <w:lang w:val="en-US"/>
        </w:rPr>
      </w:pPr>
    </w:p>
    <w:p w14:paraId="05CFDA4E" w14:textId="77777777" w:rsidR="003F129B" w:rsidRPr="00E378B5" w:rsidRDefault="003F129B" w:rsidP="003F129B">
      <w:pPr>
        <w:pStyle w:val="Study"/>
        <w:spacing w:line="480" w:lineRule="auto"/>
        <w:rPr>
          <w:b/>
          <w:i/>
          <w:iCs/>
          <w:lang w:val="en-US"/>
        </w:rPr>
      </w:pPr>
      <w:r w:rsidRPr="00E378B5">
        <w:rPr>
          <w:b/>
          <w:i/>
          <w:iCs/>
          <w:lang w:val="en-US"/>
        </w:rPr>
        <w:t>Imaging Protocols</w:t>
      </w:r>
    </w:p>
    <w:p w14:paraId="11F69B22" w14:textId="77777777" w:rsidR="003F129B" w:rsidRPr="00E378B5" w:rsidRDefault="003F129B" w:rsidP="003F129B">
      <w:pPr>
        <w:spacing w:line="480" w:lineRule="auto"/>
        <w:ind w:right="866"/>
        <w:rPr>
          <w:rFonts w:eastAsiaTheme="minorEastAsia"/>
          <w:b/>
          <w:bCs/>
          <w:i/>
          <w:iCs/>
          <w:lang w:val="en-US"/>
        </w:rPr>
      </w:pPr>
      <w:r w:rsidRPr="00E378B5">
        <w:rPr>
          <w:rFonts w:eastAsiaTheme="minorEastAsia"/>
          <w:b/>
          <w:bCs/>
          <w:i/>
          <w:iCs/>
          <w:lang w:val="en-US"/>
        </w:rPr>
        <w:t xml:space="preserve">A) </w:t>
      </w:r>
      <w:r w:rsidRPr="00E378B5">
        <w:rPr>
          <w:lang w:val="en-US"/>
        </w:rPr>
        <w:t xml:space="preserve">Between 2008-2011, CCTA acquisitions were performed using a 64-slice multidetector computed tomography (MDCT) scanner (Brilliance 64, Philips Healthcare), which contains single source, 64 detector rows. Retrospective electrocardiogram (ECG)-gated 64-slice CCTA was performed with the following typical scan parameters: 64 x 0.625 mm collimation, 400 </w:t>
      </w:r>
      <w:proofErr w:type="spellStart"/>
      <w:r w:rsidRPr="00E378B5">
        <w:rPr>
          <w:lang w:val="en-US"/>
        </w:rPr>
        <w:t>ms</w:t>
      </w:r>
      <w:proofErr w:type="spellEnd"/>
      <w:r w:rsidRPr="00E378B5">
        <w:rPr>
          <w:lang w:val="en-US"/>
        </w:rPr>
        <w:t xml:space="preserve"> rotation time, pitch 0.2, 120 </w:t>
      </w:r>
      <w:proofErr w:type="spellStart"/>
      <w:r w:rsidRPr="00E378B5">
        <w:rPr>
          <w:lang w:val="en-US"/>
        </w:rPr>
        <w:t>kVp</w:t>
      </w:r>
      <w:proofErr w:type="spellEnd"/>
      <w:r w:rsidRPr="00E378B5">
        <w:rPr>
          <w:lang w:val="en-US"/>
        </w:rPr>
        <w:t xml:space="preserve"> tube voltage, and effective tube current-time product (normalized to pitch) 800-1000 </w:t>
      </w:r>
      <w:proofErr w:type="spellStart"/>
      <w:r w:rsidRPr="00E378B5">
        <w:rPr>
          <w:lang w:val="en-US"/>
        </w:rPr>
        <w:t>mAs</w:t>
      </w:r>
      <w:proofErr w:type="spellEnd"/>
      <w:r w:rsidRPr="00E378B5">
        <w:rPr>
          <w:lang w:val="en-US"/>
        </w:rPr>
        <w:t xml:space="preserve">. </w:t>
      </w:r>
    </w:p>
    <w:p w14:paraId="3CAA350D" w14:textId="77777777" w:rsidR="003F129B" w:rsidRPr="00E378B5" w:rsidRDefault="003F129B" w:rsidP="003F129B">
      <w:pPr>
        <w:spacing w:line="480" w:lineRule="auto"/>
        <w:ind w:right="866"/>
        <w:rPr>
          <w:rFonts w:eastAsiaTheme="minorEastAsia"/>
          <w:lang w:val="en-US"/>
        </w:rPr>
      </w:pPr>
    </w:p>
    <w:p w14:paraId="68C21B6C" w14:textId="77777777" w:rsidR="003F129B" w:rsidRPr="00E378B5" w:rsidRDefault="003F129B" w:rsidP="003F129B">
      <w:pPr>
        <w:spacing w:line="480" w:lineRule="auto"/>
        <w:ind w:right="866"/>
        <w:rPr>
          <w:rFonts w:eastAsiaTheme="minorEastAsia"/>
          <w:b/>
          <w:bCs/>
          <w:i/>
          <w:iCs/>
          <w:lang w:val="en-US"/>
        </w:rPr>
      </w:pPr>
      <w:r w:rsidRPr="00E378B5">
        <w:rPr>
          <w:rFonts w:eastAsiaTheme="minorEastAsia"/>
          <w:b/>
          <w:bCs/>
          <w:i/>
          <w:iCs/>
          <w:lang w:val="en-US"/>
        </w:rPr>
        <w:t xml:space="preserve">B) </w:t>
      </w:r>
      <w:r w:rsidRPr="00E378B5">
        <w:rPr>
          <w:lang w:val="en-US"/>
        </w:rPr>
        <w:t xml:space="preserve">Between 2012-2018, CCTA acquisitions were performed using a 256-slice MDCT scanner (Brilliance </w:t>
      </w:r>
      <w:proofErr w:type="spellStart"/>
      <w:r w:rsidRPr="00E378B5">
        <w:rPr>
          <w:lang w:val="en-US"/>
        </w:rPr>
        <w:t>iCT</w:t>
      </w:r>
      <w:proofErr w:type="spellEnd"/>
      <w:r w:rsidRPr="00E378B5">
        <w:rPr>
          <w:lang w:val="en-US"/>
        </w:rPr>
        <w:t>, Philips Healthcare), which contains single source, 128 detector rows with focal spot-shift technology. Retrospective ECG-gated 256-</w:t>
      </w:r>
      <w:r w:rsidRPr="00E378B5">
        <w:rPr>
          <w:lang w:val="en-US"/>
        </w:rPr>
        <w:lastRenderedPageBreak/>
        <w:t xml:space="preserve">slice CCTA was performed with the following typical scan parameters: 128 x 2 x 0.625 mm collimation, 270 </w:t>
      </w:r>
      <w:proofErr w:type="spellStart"/>
      <w:r w:rsidRPr="00E378B5">
        <w:rPr>
          <w:lang w:val="en-US"/>
        </w:rPr>
        <w:t>ms</w:t>
      </w:r>
      <w:proofErr w:type="spellEnd"/>
      <w:r w:rsidRPr="00E378B5">
        <w:rPr>
          <w:lang w:val="en-US"/>
        </w:rPr>
        <w:t xml:space="preserve"> rotation time, pitch of 0.16, 120 </w:t>
      </w:r>
      <w:proofErr w:type="spellStart"/>
      <w:r w:rsidRPr="00E378B5">
        <w:rPr>
          <w:lang w:val="en-US"/>
        </w:rPr>
        <w:t>kVp</w:t>
      </w:r>
      <w:proofErr w:type="spellEnd"/>
      <w:r w:rsidRPr="00E378B5">
        <w:rPr>
          <w:lang w:val="en-US"/>
        </w:rPr>
        <w:t xml:space="preserve"> tube voltage, and effective tube current-time product (normalized to pitch) 800-1000 </w:t>
      </w:r>
      <w:proofErr w:type="spellStart"/>
      <w:r w:rsidRPr="00E378B5">
        <w:rPr>
          <w:lang w:val="en-US"/>
        </w:rPr>
        <w:t>mAs</w:t>
      </w:r>
      <w:proofErr w:type="spellEnd"/>
      <w:r w:rsidRPr="00E378B5">
        <w:rPr>
          <w:lang w:val="en-US"/>
        </w:rPr>
        <w:t xml:space="preserve">. </w:t>
      </w:r>
    </w:p>
    <w:p w14:paraId="79A2E70E" w14:textId="77777777" w:rsidR="003F129B" w:rsidRPr="00E378B5" w:rsidRDefault="003F129B" w:rsidP="003F129B">
      <w:pPr>
        <w:spacing w:line="480" w:lineRule="auto"/>
        <w:rPr>
          <w:lang w:val="en-US"/>
        </w:rPr>
      </w:pPr>
      <w:r w:rsidRPr="00E378B5">
        <w:rPr>
          <w:lang w:val="en-US"/>
        </w:rPr>
        <w:t xml:space="preserve">Between 2008 and 2018, the standard temporal resolution (210 </w:t>
      </w:r>
      <w:proofErr w:type="spellStart"/>
      <w:r w:rsidRPr="00E378B5">
        <w:rPr>
          <w:lang w:val="en-US"/>
        </w:rPr>
        <w:t>ms</w:t>
      </w:r>
      <w:proofErr w:type="spellEnd"/>
      <w:r w:rsidRPr="00E378B5">
        <w:rPr>
          <w:lang w:val="en-US"/>
        </w:rPr>
        <w:t xml:space="preserve"> for the 64-slice MDCT and 135 </w:t>
      </w:r>
      <w:proofErr w:type="spellStart"/>
      <w:r w:rsidRPr="00E378B5">
        <w:rPr>
          <w:lang w:val="en-US"/>
        </w:rPr>
        <w:t>ms</w:t>
      </w:r>
      <w:proofErr w:type="spellEnd"/>
      <w:r w:rsidRPr="00E378B5">
        <w:rPr>
          <w:lang w:val="en-US"/>
        </w:rPr>
        <w:t xml:space="preserve"> for the 256-slice MDCT) was improved through the use of advanced cardiac multi-cycle reconstruction algorithms that combined data from consecutive cardiac cycles.</w:t>
      </w:r>
      <w:r w:rsidRPr="00E378B5">
        <w:rPr>
          <w:vertAlign w:val="superscript"/>
          <w:lang w:val="en-US"/>
        </w:rPr>
        <w:t>1</w:t>
      </w:r>
      <w:r w:rsidRPr="00E378B5">
        <w:rPr>
          <w:lang w:val="en-US"/>
        </w:rPr>
        <w:t xml:space="preserve"> Additionally, the overlapped pitch, along with the use of cardiac gating algorithms (Beat-to-Beat Variable Delay Algorithm, Philips Healthcare) enabled the detection and reconstruction of the same physiological cardiac phase of interest (for example, quiescent phase corresponding to ventricular diastasis).</w:t>
      </w:r>
      <w:r w:rsidRPr="00E378B5">
        <w:rPr>
          <w:vertAlign w:val="superscript"/>
          <w:lang w:val="en-US"/>
        </w:rPr>
        <w:t>2</w:t>
      </w:r>
    </w:p>
    <w:p w14:paraId="798708B5" w14:textId="77777777" w:rsidR="003F129B" w:rsidRPr="00E378B5" w:rsidRDefault="003F129B" w:rsidP="003F129B">
      <w:pPr>
        <w:spacing w:line="480" w:lineRule="auto"/>
        <w:ind w:right="866"/>
        <w:rPr>
          <w:rFonts w:eastAsiaTheme="minorEastAsia"/>
          <w:lang w:val="en-US"/>
        </w:rPr>
      </w:pPr>
    </w:p>
    <w:p w14:paraId="4C65F513" w14:textId="77777777" w:rsidR="003F129B" w:rsidRPr="00E378B5" w:rsidRDefault="003F129B" w:rsidP="003F129B">
      <w:pPr>
        <w:spacing w:line="480" w:lineRule="auto"/>
        <w:ind w:right="866"/>
        <w:rPr>
          <w:rFonts w:eastAsiaTheme="minorEastAsia"/>
          <w:b/>
          <w:bCs/>
          <w:i/>
          <w:iCs/>
          <w:lang w:val="en-US"/>
        </w:rPr>
      </w:pPr>
      <w:r w:rsidRPr="00E378B5">
        <w:rPr>
          <w:rFonts w:eastAsiaTheme="minorEastAsia"/>
          <w:b/>
          <w:bCs/>
          <w:i/>
          <w:iCs/>
          <w:lang w:val="en-US"/>
        </w:rPr>
        <w:t xml:space="preserve">C) </w:t>
      </w:r>
      <w:r w:rsidRPr="00E378B5">
        <w:rPr>
          <w:lang w:val="en-US"/>
        </w:rPr>
        <w:t>Between 2019 and 2020, CCTA acquisitions were performed using a 320-slice MDCT scanner (</w:t>
      </w:r>
      <w:proofErr w:type="spellStart"/>
      <w:r w:rsidRPr="00E378B5">
        <w:rPr>
          <w:lang w:val="en-US"/>
        </w:rPr>
        <w:t>Aquilion</w:t>
      </w:r>
      <w:proofErr w:type="spellEnd"/>
      <w:r w:rsidRPr="00E378B5">
        <w:rPr>
          <w:lang w:val="en-US"/>
        </w:rPr>
        <w:t xml:space="preserve"> One Genesis; Canon Medical Systems) with prospectively ECG-triggered single heartbeat acquisition protocol. Images were acquired with the typical following parameters: 320-detector rows x 0.5-mm detector element width, 16-cm coverage, 100 kV tube voltage, and a 350 </w:t>
      </w:r>
      <w:proofErr w:type="spellStart"/>
      <w:r w:rsidRPr="00E378B5">
        <w:rPr>
          <w:lang w:val="en-US"/>
        </w:rPr>
        <w:t>ms</w:t>
      </w:r>
      <w:proofErr w:type="spellEnd"/>
      <w:r w:rsidRPr="00E378B5">
        <w:rPr>
          <w:lang w:val="en-US"/>
        </w:rPr>
        <w:t xml:space="preserve"> gantry rotation time at a single focal spot, with the best temporal resolution of 175 </w:t>
      </w:r>
      <w:proofErr w:type="spellStart"/>
      <w:r w:rsidRPr="00E378B5">
        <w:rPr>
          <w:lang w:val="en-US"/>
        </w:rPr>
        <w:t>ms</w:t>
      </w:r>
      <w:proofErr w:type="spellEnd"/>
      <w:r w:rsidRPr="00E378B5">
        <w:rPr>
          <w:lang w:val="en-US"/>
        </w:rPr>
        <w:t xml:space="preserve"> using half-scan reconstruction. This configuration allowed three-dimensional (3D) volumetric whole-heart imaging during the diastole of one R-R interval.</w:t>
      </w:r>
    </w:p>
    <w:p w14:paraId="7E77B456" w14:textId="77777777" w:rsidR="003F129B" w:rsidRPr="00E378B5" w:rsidRDefault="003F129B" w:rsidP="003F129B">
      <w:pPr>
        <w:spacing w:line="480" w:lineRule="auto"/>
        <w:rPr>
          <w:lang w:val="en-US"/>
        </w:rPr>
      </w:pPr>
    </w:p>
    <w:p w14:paraId="514E50A9" w14:textId="77777777" w:rsidR="003F129B" w:rsidRPr="00E378B5" w:rsidRDefault="003F129B" w:rsidP="003F129B">
      <w:pPr>
        <w:spacing w:line="480" w:lineRule="auto"/>
        <w:rPr>
          <w:u w:val="single"/>
          <w:lang w:val="en-US"/>
        </w:rPr>
      </w:pPr>
      <w:r w:rsidRPr="00E378B5">
        <w:rPr>
          <w:u w:val="single"/>
          <w:lang w:val="en-US"/>
        </w:rPr>
        <w:t xml:space="preserve">References: </w:t>
      </w:r>
    </w:p>
    <w:p w14:paraId="44794254" w14:textId="77777777" w:rsidR="003F129B" w:rsidRPr="00E378B5" w:rsidRDefault="003F129B" w:rsidP="003F129B">
      <w:pPr>
        <w:tabs>
          <w:tab w:val="left" w:pos="384"/>
        </w:tabs>
        <w:autoSpaceDE w:val="0"/>
        <w:autoSpaceDN w:val="0"/>
        <w:adjustRightInd w:val="0"/>
        <w:spacing w:after="240"/>
        <w:ind w:left="384" w:hanging="384"/>
        <w:rPr>
          <w:rFonts w:eastAsiaTheme="minorEastAsia"/>
          <w:lang w:val="en-US" w:eastAsia="ja-JP"/>
        </w:rPr>
      </w:pPr>
      <w:r w:rsidRPr="00E378B5">
        <w:rPr>
          <w:rFonts w:eastAsiaTheme="minorEastAsia"/>
          <w:lang w:val="en-US" w:eastAsia="ja-JP"/>
        </w:rPr>
        <w:t xml:space="preserve">1. </w:t>
      </w:r>
      <w:r w:rsidRPr="00E378B5">
        <w:rPr>
          <w:rFonts w:eastAsiaTheme="minorEastAsia"/>
          <w:lang w:val="en-US" w:eastAsia="ja-JP"/>
        </w:rPr>
        <w:tab/>
      </w:r>
      <w:proofErr w:type="spellStart"/>
      <w:r w:rsidRPr="00E378B5">
        <w:rPr>
          <w:rFonts w:eastAsiaTheme="minorEastAsia"/>
          <w:lang w:val="en-US" w:eastAsia="ja-JP"/>
        </w:rPr>
        <w:t>Manzke</w:t>
      </w:r>
      <w:proofErr w:type="spellEnd"/>
      <w:r w:rsidRPr="00E378B5">
        <w:rPr>
          <w:rFonts w:eastAsiaTheme="minorEastAsia"/>
          <w:lang w:val="en-US" w:eastAsia="ja-JP"/>
        </w:rPr>
        <w:t xml:space="preserve"> R, Grass M, Nielsen T, Shechter G, Hawkes D. Adaptive temporal resolution optimization in helical cardiac cone beam CT reconstruction. Med Phys. 2003;30(12):3072–80. </w:t>
      </w:r>
    </w:p>
    <w:p w14:paraId="7AF26FAC" w14:textId="77777777" w:rsidR="003F129B" w:rsidRPr="00E378B5" w:rsidRDefault="003F129B" w:rsidP="003F129B">
      <w:pPr>
        <w:tabs>
          <w:tab w:val="left" w:pos="384"/>
        </w:tabs>
        <w:autoSpaceDE w:val="0"/>
        <w:autoSpaceDN w:val="0"/>
        <w:adjustRightInd w:val="0"/>
        <w:spacing w:after="240"/>
        <w:ind w:left="384" w:hanging="384"/>
        <w:rPr>
          <w:rFonts w:eastAsiaTheme="minorEastAsia"/>
          <w:lang w:val="en-US" w:eastAsia="ja-JP"/>
        </w:rPr>
        <w:sectPr w:rsidR="003F129B" w:rsidRPr="00E378B5" w:rsidSect="00831CF1">
          <w:pgSz w:w="11900" w:h="16820"/>
          <w:pgMar w:top="1417" w:right="1417" w:bottom="1417" w:left="1417" w:header="708" w:footer="708" w:gutter="0"/>
          <w:cols w:space="708"/>
          <w:docGrid w:linePitch="360"/>
        </w:sectPr>
      </w:pPr>
      <w:r w:rsidRPr="00E378B5">
        <w:rPr>
          <w:rFonts w:eastAsiaTheme="minorEastAsia"/>
          <w:lang w:eastAsia="ja-JP"/>
        </w:rPr>
        <w:t xml:space="preserve">2. </w:t>
      </w:r>
      <w:r w:rsidRPr="00E378B5">
        <w:rPr>
          <w:rFonts w:eastAsiaTheme="minorEastAsia"/>
          <w:lang w:eastAsia="ja-JP"/>
        </w:rPr>
        <w:tab/>
      </w:r>
      <w:proofErr w:type="spellStart"/>
      <w:r w:rsidRPr="00E378B5">
        <w:rPr>
          <w:rFonts w:eastAsiaTheme="minorEastAsia"/>
          <w:lang w:eastAsia="ja-JP"/>
        </w:rPr>
        <w:t>Vembar</w:t>
      </w:r>
      <w:proofErr w:type="spellEnd"/>
      <w:r w:rsidRPr="00E378B5">
        <w:rPr>
          <w:rFonts w:eastAsiaTheme="minorEastAsia"/>
          <w:lang w:eastAsia="ja-JP"/>
        </w:rPr>
        <w:t xml:space="preserve"> M, Garcia MJ, </w:t>
      </w:r>
      <w:proofErr w:type="spellStart"/>
      <w:r w:rsidRPr="00E378B5">
        <w:rPr>
          <w:rFonts w:eastAsiaTheme="minorEastAsia"/>
          <w:lang w:eastAsia="ja-JP"/>
        </w:rPr>
        <w:t>Heuscher</w:t>
      </w:r>
      <w:proofErr w:type="spellEnd"/>
      <w:r w:rsidRPr="00E378B5">
        <w:rPr>
          <w:rFonts w:eastAsiaTheme="minorEastAsia"/>
          <w:lang w:eastAsia="ja-JP"/>
        </w:rPr>
        <w:t xml:space="preserve"> DJ, </w:t>
      </w:r>
      <w:proofErr w:type="spellStart"/>
      <w:r w:rsidRPr="00E378B5">
        <w:rPr>
          <w:rFonts w:eastAsiaTheme="minorEastAsia"/>
          <w:lang w:eastAsia="ja-JP"/>
        </w:rPr>
        <w:t>Haberl</w:t>
      </w:r>
      <w:proofErr w:type="spellEnd"/>
      <w:r w:rsidRPr="00E378B5">
        <w:rPr>
          <w:rFonts w:eastAsiaTheme="minorEastAsia"/>
          <w:lang w:eastAsia="ja-JP"/>
        </w:rPr>
        <w:t xml:space="preserve"> R, Matthews D, Böhme GE, et al. </w:t>
      </w:r>
      <w:r w:rsidRPr="00E378B5">
        <w:rPr>
          <w:rFonts w:eastAsiaTheme="minorEastAsia"/>
          <w:lang w:val="en-US" w:eastAsia="ja-JP"/>
        </w:rPr>
        <w:t xml:space="preserve">A dynamic approach to identifying desired physiological phases for cardiac imaging using </w:t>
      </w:r>
      <w:proofErr w:type="spellStart"/>
      <w:r w:rsidRPr="00E378B5">
        <w:rPr>
          <w:rFonts w:eastAsiaTheme="minorEastAsia"/>
          <w:lang w:val="en-US" w:eastAsia="ja-JP"/>
        </w:rPr>
        <w:t>multislice</w:t>
      </w:r>
      <w:proofErr w:type="spellEnd"/>
      <w:r w:rsidRPr="00E378B5">
        <w:rPr>
          <w:rFonts w:eastAsiaTheme="minorEastAsia"/>
          <w:lang w:val="en-US" w:eastAsia="ja-JP"/>
        </w:rPr>
        <w:t xml:space="preserve"> spiral CT. Med Phys. 2003;30(7):1683–93. </w:t>
      </w:r>
    </w:p>
    <w:p w14:paraId="41B30D8C" w14:textId="77777777" w:rsidR="003F129B" w:rsidRPr="00E378B5" w:rsidRDefault="003F129B" w:rsidP="003F129B">
      <w:pPr>
        <w:spacing w:line="480" w:lineRule="auto"/>
        <w:ind w:right="866"/>
        <w:rPr>
          <w:b/>
          <w:u w:val="single"/>
          <w:lang w:val="en-US"/>
        </w:rPr>
      </w:pPr>
      <w:r w:rsidRPr="00E378B5">
        <w:rPr>
          <w:rFonts w:eastAsia="Calibri"/>
          <w:b/>
          <w:u w:val="single"/>
          <w:lang w:val="en-US" w:eastAsia="en-US"/>
        </w:rPr>
        <w:lastRenderedPageBreak/>
        <w:t>SUPPLEMENTAL MATERIAL 4</w:t>
      </w:r>
    </w:p>
    <w:p w14:paraId="0D1B9BA3" w14:textId="77777777" w:rsidR="003F129B" w:rsidRPr="00E378B5" w:rsidRDefault="003F129B" w:rsidP="003F129B">
      <w:pPr>
        <w:widowControl w:val="0"/>
        <w:autoSpaceDE w:val="0"/>
        <w:autoSpaceDN w:val="0"/>
        <w:adjustRightInd w:val="0"/>
        <w:spacing w:line="480" w:lineRule="auto"/>
        <w:rPr>
          <w:rFonts w:eastAsiaTheme="minorEastAsia"/>
          <w:b/>
          <w:lang w:val="en-GB"/>
        </w:rPr>
      </w:pPr>
      <w:r w:rsidRPr="00E378B5">
        <w:rPr>
          <w:rFonts w:eastAsiaTheme="minorEastAsia"/>
          <w:b/>
          <w:lang w:val="en-GB"/>
        </w:rPr>
        <w:t xml:space="preserve">Radiation exposure </w:t>
      </w:r>
    </w:p>
    <w:p w14:paraId="772E85A4" w14:textId="77777777" w:rsidR="003F129B" w:rsidRPr="00E378B5" w:rsidRDefault="003F129B" w:rsidP="003F129B">
      <w:pPr>
        <w:spacing w:line="480" w:lineRule="auto"/>
        <w:rPr>
          <w:lang w:val="en-US"/>
        </w:rPr>
      </w:pPr>
      <w:r w:rsidRPr="00E378B5">
        <w:rPr>
          <w:lang w:val="en-US"/>
        </w:rPr>
        <w:t>The d</w:t>
      </w:r>
      <w:r w:rsidRPr="00E378B5">
        <w:rPr>
          <w:rFonts w:eastAsia="MS Mincho"/>
          <w:lang w:val="en-US"/>
        </w:rPr>
        <w:t xml:space="preserve">ose-length product (DLP), </w:t>
      </w:r>
      <w:r w:rsidRPr="00E378B5">
        <w:rPr>
          <w:lang w:val="en-US"/>
        </w:rPr>
        <w:t xml:space="preserve">defined as the total radiation energy absorbed by the patient’s body, </w:t>
      </w:r>
      <w:r w:rsidRPr="00E378B5">
        <w:rPr>
          <w:rFonts w:eastAsia="MS Mincho"/>
          <w:lang w:val="en-US"/>
        </w:rPr>
        <w:t xml:space="preserve">was </w:t>
      </w:r>
      <w:r w:rsidRPr="00E378B5">
        <w:rPr>
          <w:lang w:val="en-US"/>
        </w:rPr>
        <w:t>individually reported from each CCTA in mSv/mGy.cm. The effective radiation dose was calculated as the product of the dose-length product times a conversion coefficient for the chest (K = 0.014 mSv/</w:t>
      </w:r>
      <w:proofErr w:type="spellStart"/>
      <w:r w:rsidRPr="00E378B5">
        <w:rPr>
          <w:lang w:val="en-US"/>
        </w:rPr>
        <w:t>mGy·cm</w:t>
      </w:r>
      <w:proofErr w:type="spellEnd"/>
      <w:r w:rsidRPr="00E378B5">
        <w:rPr>
          <w:lang w:val="en-US"/>
        </w:rPr>
        <w:t xml:space="preserve">). </w:t>
      </w:r>
    </w:p>
    <w:p w14:paraId="4EC9E514" w14:textId="77777777" w:rsidR="003F129B" w:rsidRPr="00E378B5" w:rsidRDefault="003F129B" w:rsidP="003F129B">
      <w:pPr>
        <w:spacing w:line="480" w:lineRule="auto"/>
        <w:rPr>
          <w:rFonts w:eastAsia="MS Mincho"/>
          <w:lang w:val="en-US"/>
        </w:rPr>
      </w:pPr>
      <w:r w:rsidRPr="00E378B5">
        <w:rPr>
          <w:rFonts w:eastAsia="MS Mincho"/>
          <w:lang w:val="en-US"/>
        </w:rPr>
        <w:t xml:space="preserve">The mean ± standard deviation DLP was 739 ± 197 </w:t>
      </w:r>
      <w:proofErr w:type="spellStart"/>
      <w:r w:rsidRPr="00E378B5">
        <w:rPr>
          <w:rFonts w:eastAsia="MS Mincho"/>
          <w:lang w:val="en-US"/>
        </w:rPr>
        <w:t>mGy</w:t>
      </w:r>
      <w:proofErr w:type="spellEnd"/>
      <w:r w:rsidRPr="00E378B5">
        <w:rPr>
          <w:rFonts w:eastAsia="MS Mincho"/>
          <w:lang w:val="en-US"/>
        </w:rPr>
        <w:t xml:space="preserve">/cm, which is equivalent to 10.3 ± 2.8 mSv for </w:t>
      </w:r>
      <w:r w:rsidRPr="00E378B5">
        <w:rPr>
          <w:lang w:val="en-US"/>
        </w:rPr>
        <w:t>Brilliance 64 CT (Philips Healthcare</w:t>
      </w:r>
      <w:r w:rsidRPr="00E378B5">
        <w:rPr>
          <w:rFonts w:eastAsia="MS Mincho"/>
          <w:lang w:val="en-US"/>
        </w:rPr>
        <w:t xml:space="preserve">, </w:t>
      </w:r>
      <w:r w:rsidRPr="00E378B5">
        <w:rPr>
          <w:lang w:val="en-US"/>
        </w:rPr>
        <w:t>between 2008-2011</w:t>
      </w:r>
      <w:r w:rsidRPr="00E378B5">
        <w:rPr>
          <w:rFonts w:eastAsia="MS Mincho"/>
          <w:lang w:val="en-US"/>
        </w:rPr>
        <w:t xml:space="preserve">); 228.6 ± 78.1 </w:t>
      </w:r>
      <w:proofErr w:type="spellStart"/>
      <w:r w:rsidRPr="00E378B5">
        <w:rPr>
          <w:rFonts w:eastAsia="MS Mincho"/>
          <w:lang w:val="en-US"/>
        </w:rPr>
        <w:t>mGy</w:t>
      </w:r>
      <w:proofErr w:type="spellEnd"/>
      <w:r w:rsidRPr="00E378B5">
        <w:rPr>
          <w:rFonts w:eastAsia="MS Mincho"/>
          <w:lang w:val="en-US"/>
        </w:rPr>
        <w:t xml:space="preserve">/cm, which is equivalent to 3.2 ± 1.1 mSv for </w:t>
      </w:r>
      <w:r w:rsidRPr="00E378B5">
        <w:rPr>
          <w:lang w:val="en-US"/>
        </w:rPr>
        <w:t xml:space="preserve">Brilliance </w:t>
      </w:r>
      <w:proofErr w:type="spellStart"/>
      <w:r w:rsidRPr="00E378B5">
        <w:rPr>
          <w:lang w:val="en-US"/>
        </w:rPr>
        <w:t>iCT</w:t>
      </w:r>
      <w:proofErr w:type="spellEnd"/>
      <w:r w:rsidRPr="00E378B5">
        <w:rPr>
          <w:lang w:val="en-US"/>
        </w:rPr>
        <w:t xml:space="preserve"> (Philips Healthcare</w:t>
      </w:r>
      <w:r w:rsidRPr="00E378B5">
        <w:rPr>
          <w:rFonts w:eastAsia="MS Mincho"/>
          <w:lang w:val="en-US"/>
        </w:rPr>
        <w:t xml:space="preserve">, </w:t>
      </w:r>
      <w:r w:rsidRPr="00E378B5">
        <w:rPr>
          <w:lang w:val="en-US"/>
        </w:rPr>
        <w:t>between 2012-2018</w:t>
      </w:r>
      <w:r w:rsidRPr="00E378B5">
        <w:rPr>
          <w:rFonts w:eastAsia="MS Mincho"/>
          <w:lang w:val="en-US"/>
        </w:rPr>
        <w:t xml:space="preserve">); and 57.1 ± 10.7 </w:t>
      </w:r>
      <w:proofErr w:type="spellStart"/>
      <w:r w:rsidRPr="00E378B5">
        <w:rPr>
          <w:rFonts w:eastAsia="MS Mincho"/>
          <w:lang w:val="en-US"/>
        </w:rPr>
        <w:t>mGy</w:t>
      </w:r>
      <w:proofErr w:type="spellEnd"/>
      <w:r w:rsidRPr="00E378B5">
        <w:rPr>
          <w:rFonts w:eastAsia="MS Mincho"/>
          <w:lang w:val="en-US"/>
        </w:rPr>
        <w:t xml:space="preserve">/cm, which is equivalent to 0.80 ± 0.15 mSv for </w:t>
      </w:r>
      <w:proofErr w:type="spellStart"/>
      <w:r w:rsidRPr="00E378B5">
        <w:rPr>
          <w:lang w:val="en-US"/>
        </w:rPr>
        <w:t>Aquilion</w:t>
      </w:r>
      <w:proofErr w:type="spellEnd"/>
      <w:r w:rsidRPr="00E378B5">
        <w:rPr>
          <w:lang w:val="en-US"/>
        </w:rPr>
        <w:t xml:space="preserve"> One Genesis (Canon Medical Systems, between 2019 and 2020).</w:t>
      </w:r>
    </w:p>
    <w:p w14:paraId="32661DE3" w14:textId="77777777" w:rsidR="003F129B" w:rsidRPr="00E378B5" w:rsidRDefault="003F129B" w:rsidP="003F129B">
      <w:pPr>
        <w:spacing w:line="480" w:lineRule="auto"/>
        <w:rPr>
          <w:lang w:val="en-US"/>
        </w:rPr>
      </w:pPr>
    </w:p>
    <w:p w14:paraId="49724CE1" w14:textId="2DCE2004" w:rsidR="00880419" w:rsidRPr="00E378B5" w:rsidRDefault="00841924" w:rsidP="003642A3">
      <w:pPr>
        <w:pStyle w:val="Study"/>
        <w:spacing w:line="480" w:lineRule="auto"/>
        <w:jc w:val="both"/>
        <w:rPr>
          <w:rFonts w:eastAsia="MS Mincho"/>
          <w:lang w:val="en-US"/>
        </w:rPr>
      </w:pPr>
      <w:r w:rsidRPr="00E378B5">
        <w:rPr>
          <w:rFonts w:eastAsia="MS Mincho"/>
          <w:lang w:val="en-US"/>
        </w:rPr>
        <w:t xml:space="preserve"> </w:t>
      </w:r>
    </w:p>
    <w:p w14:paraId="43A5ED94" w14:textId="77777777" w:rsidR="005B4E12" w:rsidRPr="00E378B5" w:rsidRDefault="005B4E12" w:rsidP="00CE72D7">
      <w:pPr>
        <w:spacing w:line="480" w:lineRule="auto"/>
        <w:rPr>
          <w:lang w:val="en-US"/>
        </w:rPr>
      </w:pPr>
    </w:p>
    <w:p w14:paraId="5580434E" w14:textId="77777777" w:rsidR="005B4E12" w:rsidRPr="00E378B5" w:rsidRDefault="005B4E12" w:rsidP="00CE72D7">
      <w:pPr>
        <w:spacing w:line="480" w:lineRule="auto"/>
        <w:rPr>
          <w:lang w:val="en-US"/>
        </w:rPr>
      </w:pPr>
    </w:p>
    <w:p w14:paraId="6B377187" w14:textId="77777777" w:rsidR="005B4E12" w:rsidRPr="00E378B5" w:rsidRDefault="005B4E12" w:rsidP="00CE72D7">
      <w:pPr>
        <w:spacing w:line="480" w:lineRule="auto"/>
        <w:rPr>
          <w:lang w:val="en-US"/>
        </w:rPr>
      </w:pPr>
    </w:p>
    <w:p w14:paraId="19867F68" w14:textId="34A2F901" w:rsidR="005B4E12" w:rsidRPr="00E378B5" w:rsidRDefault="005B4E12" w:rsidP="00CE72D7">
      <w:pPr>
        <w:spacing w:line="480" w:lineRule="auto"/>
        <w:rPr>
          <w:lang w:val="en-US"/>
        </w:rPr>
        <w:sectPr w:rsidR="005B4E12" w:rsidRPr="00E378B5" w:rsidSect="00831CF1">
          <w:pgSz w:w="11900" w:h="16820"/>
          <w:pgMar w:top="1417" w:right="1417" w:bottom="1417" w:left="1417" w:header="708" w:footer="708" w:gutter="0"/>
          <w:cols w:space="708"/>
          <w:docGrid w:linePitch="360"/>
        </w:sectPr>
      </w:pPr>
    </w:p>
    <w:p w14:paraId="57D2728D" w14:textId="7DB71260" w:rsidR="001729E6" w:rsidRPr="00E378B5" w:rsidRDefault="000C6F5C" w:rsidP="001729E6">
      <w:pPr>
        <w:spacing w:line="480" w:lineRule="auto"/>
        <w:ind w:right="866"/>
        <w:rPr>
          <w:b/>
          <w:u w:val="single"/>
          <w:lang w:val="en-GB"/>
        </w:rPr>
      </w:pPr>
      <w:r w:rsidRPr="00E378B5">
        <w:rPr>
          <w:rFonts w:eastAsia="Calibri"/>
          <w:b/>
          <w:u w:val="single"/>
          <w:lang w:val="en-US" w:eastAsia="en-US"/>
        </w:rPr>
        <w:lastRenderedPageBreak/>
        <w:t xml:space="preserve">SUPPLEMENTAL MATERIAL </w:t>
      </w:r>
      <w:r w:rsidR="00FD629B" w:rsidRPr="00E378B5">
        <w:rPr>
          <w:b/>
          <w:u w:val="single"/>
          <w:lang w:val="en-GB"/>
        </w:rPr>
        <w:t>5</w:t>
      </w:r>
    </w:p>
    <w:p w14:paraId="6A4CFE73" w14:textId="77777777" w:rsidR="003E12A6" w:rsidRPr="00E378B5" w:rsidRDefault="003E12A6" w:rsidP="003E12A6">
      <w:pPr>
        <w:widowControl w:val="0"/>
        <w:autoSpaceDE w:val="0"/>
        <w:autoSpaceDN w:val="0"/>
        <w:adjustRightInd w:val="0"/>
        <w:spacing w:line="480" w:lineRule="auto"/>
        <w:rPr>
          <w:rFonts w:eastAsiaTheme="minorEastAsia"/>
          <w:b/>
          <w:lang w:val="en-GB"/>
        </w:rPr>
      </w:pPr>
      <w:r w:rsidRPr="00E378B5">
        <w:rPr>
          <w:rFonts w:eastAsiaTheme="minorEastAsia"/>
          <w:b/>
          <w:lang w:val="en-GB"/>
        </w:rPr>
        <w:t xml:space="preserve">Cardiovascular magnetic resonance (CMR) Protocol </w:t>
      </w:r>
    </w:p>
    <w:p w14:paraId="26CA67E8" w14:textId="77777777" w:rsidR="003E12A6" w:rsidRPr="00E378B5" w:rsidRDefault="003E12A6" w:rsidP="003E12A6">
      <w:pPr>
        <w:spacing w:line="480" w:lineRule="auto"/>
        <w:rPr>
          <w:lang w:val="en-GB"/>
        </w:rPr>
      </w:pPr>
      <w:r w:rsidRPr="00E378B5">
        <w:rPr>
          <w:rFonts w:eastAsiaTheme="minorEastAsia"/>
          <w:lang w:val="en-US"/>
        </w:rPr>
        <w:t xml:space="preserve">CMR was performed in a dedicated cardiovascular MR laboratory on a 1.5T scanner (MAGNETOM </w:t>
      </w:r>
      <w:proofErr w:type="spellStart"/>
      <w:r w:rsidRPr="00E378B5">
        <w:rPr>
          <w:rFonts w:eastAsiaTheme="minorEastAsia"/>
          <w:lang w:val="en-US"/>
        </w:rPr>
        <w:t>Espree</w:t>
      </w:r>
      <w:proofErr w:type="spellEnd"/>
      <w:r w:rsidRPr="00E378B5">
        <w:rPr>
          <w:rFonts w:eastAsiaTheme="minorEastAsia"/>
          <w:lang w:val="en-US"/>
        </w:rPr>
        <w:t xml:space="preserve"> from December 2008 to August 2015 and MAGNETOM Aera from August 2015 to January 2020, Siemens Healthcare, Erlangen, Germany) with an 18-channel anterior phased-array coil. Long-axis (2-, 3-, and 4-chamber) and short-axis cine images encompassing the left ventricle from base to apex were obtained with a segmented retrospectively gated balanced steady-state free-precession (b-SSFP) sequence. </w:t>
      </w:r>
      <w:r w:rsidRPr="00E378B5">
        <w:rPr>
          <w:lang w:val="en-GB"/>
        </w:rPr>
        <w:t xml:space="preserve">Vasodilation was induced with dipyridamole injected at 0.84 mg/kg over 3 min. </w:t>
      </w:r>
      <w:r w:rsidRPr="00E378B5">
        <w:rPr>
          <w:rFonts w:eastAsiaTheme="minorEastAsia"/>
          <w:lang w:val="en-GB"/>
        </w:rPr>
        <w:t xml:space="preserve">Then, a bolus of gadolinium-based contrast agent </w:t>
      </w:r>
      <w:r w:rsidRPr="00E378B5">
        <w:rPr>
          <w:rFonts w:eastAsiaTheme="minorEastAsia"/>
          <w:lang w:val="en-US"/>
        </w:rPr>
        <w:t>(</w:t>
      </w:r>
      <w:proofErr w:type="spellStart"/>
      <w:r w:rsidRPr="00E378B5">
        <w:rPr>
          <w:rFonts w:eastAsiaTheme="minorEastAsia"/>
          <w:lang w:val="en-US"/>
        </w:rPr>
        <w:t>Dotarem</w:t>
      </w:r>
      <w:proofErr w:type="spellEnd"/>
      <w:r w:rsidRPr="00E378B5">
        <w:rPr>
          <w:rFonts w:eastAsiaTheme="minorEastAsia"/>
          <w:vertAlign w:val="superscript"/>
          <w:lang w:val="en-US"/>
        </w:rPr>
        <w:t>®</w:t>
      </w:r>
      <w:r w:rsidRPr="00E378B5">
        <w:rPr>
          <w:rFonts w:eastAsiaTheme="minorEastAsia"/>
          <w:lang w:val="en-US"/>
        </w:rPr>
        <w:t xml:space="preserve">, </w:t>
      </w:r>
      <w:proofErr w:type="spellStart"/>
      <w:r w:rsidRPr="00E378B5">
        <w:rPr>
          <w:rFonts w:eastAsiaTheme="minorEastAsia"/>
          <w:lang w:val="en-US"/>
        </w:rPr>
        <w:t>Guerbet</w:t>
      </w:r>
      <w:proofErr w:type="spellEnd"/>
      <w:r w:rsidRPr="00E378B5">
        <w:rPr>
          <w:rFonts w:eastAsiaTheme="minorEastAsia"/>
          <w:lang w:val="en-US"/>
        </w:rPr>
        <w:t xml:space="preserve">, France, 0.1 mmol/kg) </w:t>
      </w:r>
      <w:r w:rsidRPr="00E378B5">
        <w:rPr>
          <w:rFonts w:eastAsiaTheme="minorEastAsia"/>
          <w:lang w:val="en-GB"/>
        </w:rPr>
        <w:t xml:space="preserve">was injected at a rate of 5.0 ml/s </w:t>
      </w:r>
      <w:r w:rsidRPr="00E378B5">
        <w:rPr>
          <w:rFonts w:eastAsiaTheme="minorEastAsia"/>
          <w:lang w:val="en-US"/>
        </w:rPr>
        <w:t xml:space="preserve">with an injector (Mallinckrodt </w:t>
      </w:r>
      <w:proofErr w:type="spellStart"/>
      <w:r w:rsidRPr="00E378B5">
        <w:rPr>
          <w:rFonts w:eastAsiaTheme="minorEastAsia"/>
          <w:lang w:val="en-US"/>
        </w:rPr>
        <w:t>Optistar</w:t>
      </w:r>
      <w:proofErr w:type="spellEnd"/>
      <w:r w:rsidRPr="00E378B5">
        <w:rPr>
          <w:rFonts w:eastAsiaTheme="minorEastAsia"/>
          <w:vertAlign w:val="superscript"/>
          <w:lang w:val="en-US"/>
        </w:rPr>
        <w:t>®</w:t>
      </w:r>
      <w:r w:rsidRPr="00E378B5">
        <w:rPr>
          <w:rFonts w:eastAsiaTheme="minorEastAsia"/>
          <w:lang w:val="en-US"/>
        </w:rPr>
        <w:t xml:space="preserve"> Elite).</w:t>
      </w:r>
      <w:r w:rsidRPr="00E378B5">
        <w:rPr>
          <w:rFonts w:eastAsiaTheme="minorEastAsia"/>
          <w:lang w:val="en-GB"/>
        </w:rPr>
        <w:t xml:space="preserve"> Stress perfusion imaging was performed using an ECG-triggered saturation-prepared b-SSFP sequence. A series of six slices (four short-axis views, a 2-chamber, and a 4-chamber view) were acquired every other </w:t>
      </w:r>
      <w:r w:rsidRPr="00E378B5">
        <w:rPr>
          <w:lang w:val="en-GB"/>
        </w:rPr>
        <w:t>heartbeat</w:t>
      </w:r>
      <w:r w:rsidRPr="00E378B5">
        <w:rPr>
          <w:rFonts w:eastAsiaTheme="minorEastAsia"/>
          <w:lang w:val="en-GB"/>
        </w:rPr>
        <w:t xml:space="preserve">. Then, theophylline was injected intravenously to null the effect of dipyridamole. Ten minutes after contrast injection, breath-hold contrast-enhanced 3D T1-weighted inversion-recovery gradient-echo sequences were acquired to detect late gadolinium enhancement (LGE). The inversion time was individually adjusted to null normal myocardium. Patients were asked to refrain from caffeine at least 12 h before CMR. </w:t>
      </w:r>
      <w:r w:rsidRPr="00E378B5">
        <w:rPr>
          <w:lang w:val="en-GB"/>
        </w:rPr>
        <w:t xml:space="preserve">Safety was studied with clinical monitoring 1 h after CMR. A 12-lead ECG was performed both before and after CMR examination. </w:t>
      </w:r>
    </w:p>
    <w:p w14:paraId="3E00F8DC" w14:textId="77777777" w:rsidR="003E12A6" w:rsidRPr="00E378B5" w:rsidRDefault="003E12A6" w:rsidP="003E12A6">
      <w:pPr>
        <w:spacing w:line="480" w:lineRule="auto"/>
        <w:rPr>
          <w:rFonts w:eastAsiaTheme="minorEastAsia"/>
          <w:lang w:val="en-US"/>
        </w:rPr>
      </w:pPr>
      <w:r w:rsidRPr="00E378B5">
        <w:rPr>
          <w:rFonts w:eastAsiaTheme="minorEastAsia"/>
          <w:lang w:val="en-US"/>
        </w:rPr>
        <w:t xml:space="preserve">The </w:t>
      </w:r>
      <w:proofErr w:type="spellStart"/>
      <w:r w:rsidRPr="00E378B5">
        <w:rPr>
          <w:rFonts w:eastAsiaTheme="minorEastAsia"/>
          <w:i/>
          <w:iCs/>
          <w:lang w:val="en-US"/>
        </w:rPr>
        <w:t>syngo</w:t>
      </w:r>
      <w:r w:rsidRPr="00E378B5">
        <w:rPr>
          <w:rFonts w:eastAsiaTheme="minorEastAsia"/>
          <w:lang w:val="en-US"/>
        </w:rPr>
        <w:t>.via</w:t>
      </w:r>
      <w:proofErr w:type="spellEnd"/>
      <w:r w:rsidRPr="00E378B5">
        <w:rPr>
          <w:rFonts w:eastAsiaTheme="minorEastAsia"/>
          <w:lang w:val="en-US"/>
        </w:rPr>
        <w:t xml:space="preserve"> software (Siemens Healthcare, Erlangen, Germany) was used for image display and processing, and </w:t>
      </w:r>
      <w:proofErr w:type="spellStart"/>
      <w:r w:rsidRPr="00E378B5">
        <w:rPr>
          <w:rFonts w:eastAsiaTheme="minorEastAsia"/>
          <w:lang w:val="en-US"/>
        </w:rPr>
        <w:t>Hemolia</w:t>
      </w:r>
      <w:proofErr w:type="spellEnd"/>
      <w:r w:rsidRPr="00E378B5">
        <w:rPr>
          <w:rFonts w:eastAsiaTheme="minorEastAsia"/>
          <w:lang w:val="en-US"/>
        </w:rPr>
        <w:t xml:space="preserve"> (</w:t>
      </w:r>
      <w:proofErr w:type="spellStart"/>
      <w:r w:rsidRPr="00E378B5">
        <w:rPr>
          <w:rFonts w:eastAsiaTheme="minorEastAsia"/>
          <w:lang w:val="en-US"/>
        </w:rPr>
        <w:t>Clinigrid</w:t>
      </w:r>
      <w:proofErr w:type="spellEnd"/>
      <w:r w:rsidRPr="00E378B5">
        <w:rPr>
          <w:rFonts w:eastAsiaTheme="minorEastAsia"/>
          <w:lang w:val="en-US"/>
        </w:rPr>
        <w:t xml:space="preserve"> Inc., Paris, France) was used for data storage and reporting. </w:t>
      </w:r>
    </w:p>
    <w:p w14:paraId="2D13D6DD" w14:textId="77777777" w:rsidR="00E60406" w:rsidRPr="00E378B5" w:rsidRDefault="00E60406" w:rsidP="006E4976">
      <w:pPr>
        <w:spacing w:line="480" w:lineRule="auto"/>
        <w:rPr>
          <w:b/>
          <w:u w:val="single"/>
          <w:lang w:val="en-US"/>
        </w:rPr>
        <w:sectPr w:rsidR="00E60406" w:rsidRPr="00E378B5" w:rsidSect="004D0F01">
          <w:pgSz w:w="11900" w:h="16840"/>
          <w:pgMar w:top="1417" w:right="1417" w:bottom="1417" w:left="1417" w:header="708" w:footer="708" w:gutter="0"/>
          <w:cols w:space="708"/>
          <w:docGrid w:linePitch="360"/>
        </w:sectPr>
      </w:pPr>
    </w:p>
    <w:p w14:paraId="2A0BEBFA" w14:textId="4D1E2838" w:rsidR="00E60406" w:rsidRPr="00E378B5" w:rsidRDefault="000C6F5C" w:rsidP="00E60406">
      <w:pPr>
        <w:spacing w:line="480" w:lineRule="auto"/>
        <w:ind w:right="866"/>
        <w:rPr>
          <w:b/>
          <w:u w:val="single"/>
          <w:lang w:val="en-GB"/>
        </w:rPr>
      </w:pPr>
      <w:r w:rsidRPr="00E378B5">
        <w:rPr>
          <w:rFonts w:eastAsia="Calibri"/>
          <w:b/>
          <w:u w:val="single"/>
          <w:lang w:val="en-US" w:eastAsia="en-US"/>
        </w:rPr>
        <w:lastRenderedPageBreak/>
        <w:t xml:space="preserve">SUPPLEMENTAL MATERIAL </w:t>
      </w:r>
      <w:r w:rsidR="00FD629B" w:rsidRPr="00E378B5">
        <w:rPr>
          <w:b/>
          <w:u w:val="single"/>
          <w:lang w:val="en-GB"/>
        </w:rPr>
        <w:t>6</w:t>
      </w:r>
    </w:p>
    <w:p w14:paraId="0167D854" w14:textId="77777777" w:rsidR="00E60406" w:rsidRPr="00E378B5" w:rsidRDefault="00E60406" w:rsidP="009E359E">
      <w:pPr>
        <w:spacing w:after="80"/>
        <w:rPr>
          <w:b/>
          <w:bCs/>
          <w:lang w:val="en-US"/>
        </w:rPr>
      </w:pPr>
      <w:r w:rsidRPr="00E378B5">
        <w:rPr>
          <w:b/>
          <w:bCs/>
          <w:lang w:val="en-US"/>
        </w:rPr>
        <w:t>Table. CMR sequence parameters.</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2116"/>
        <w:gridCol w:w="2117"/>
        <w:gridCol w:w="2117"/>
        <w:gridCol w:w="2117"/>
        <w:gridCol w:w="2883"/>
      </w:tblGrid>
      <w:tr w:rsidR="00E378B5" w:rsidRPr="00E378B5" w14:paraId="0FF5A2B7" w14:textId="77777777" w:rsidTr="00831CF1">
        <w:tc>
          <w:tcPr>
            <w:tcW w:w="3392" w:type="dxa"/>
            <w:tcBorders>
              <w:top w:val="single" w:sz="4" w:space="0" w:color="auto"/>
              <w:bottom w:val="single" w:sz="4" w:space="0" w:color="auto"/>
            </w:tcBorders>
          </w:tcPr>
          <w:p w14:paraId="07E2AF90" w14:textId="77777777" w:rsidR="00E60406" w:rsidRPr="00E378B5" w:rsidRDefault="00E60406" w:rsidP="00831CF1">
            <w:pPr>
              <w:rPr>
                <w:b/>
                <w:bCs/>
                <w:lang w:val="en-US"/>
              </w:rPr>
            </w:pPr>
          </w:p>
        </w:tc>
        <w:tc>
          <w:tcPr>
            <w:tcW w:w="2116" w:type="dxa"/>
            <w:tcBorders>
              <w:top w:val="single" w:sz="4" w:space="0" w:color="auto"/>
              <w:bottom w:val="single" w:sz="4" w:space="0" w:color="auto"/>
            </w:tcBorders>
            <w:vAlign w:val="center"/>
          </w:tcPr>
          <w:p w14:paraId="1E75DEC3" w14:textId="77777777" w:rsidR="00E60406" w:rsidRPr="00E378B5" w:rsidRDefault="00E60406" w:rsidP="00831CF1">
            <w:pPr>
              <w:jc w:val="center"/>
              <w:rPr>
                <w:b/>
                <w:bCs/>
              </w:rPr>
            </w:pPr>
            <w:proofErr w:type="spellStart"/>
            <w:r w:rsidRPr="00E378B5">
              <w:rPr>
                <w:b/>
                <w:bCs/>
              </w:rPr>
              <w:t>Cine</w:t>
            </w:r>
            <w:proofErr w:type="spellEnd"/>
          </w:p>
          <w:p w14:paraId="2AEFADB4" w14:textId="77777777" w:rsidR="00E60406" w:rsidRPr="00E378B5" w:rsidRDefault="00E60406" w:rsidP="00831CF1">
            <w:pPr>
              <w:jc w:val="center"/>
              <w:rPr>
                <w:b/>
                <w:bCs/>
              </w:rPr>
            </w:pPr>
            <w:r w:rsidRPr="00E378B5">
              <w:rPr>
                <w:b/>
                <w:bCs/>
              </w:rPr>
              <w:t>long-axis</w:t>
            </w:r>
          </w:p>
        </w:tc>
        <w:tc>
          <w:tcPr>
            <w:tcW w:w="2117" w:type="dxa"/>
            <w:tcBorders>
              <w:top w:val="single" w:sz="4" w:space="0" w:color="auto"/>
              <w:bottom w:val="single" w:sz="4" w:space="0" w:color="auto"/>
            </w:tcBorders>
            <w:vAlign w:val="center"/>
          </w:tcPr>
          <w:p w14:paraId="47E79FD4" w14:textId="77777777" w:rsidR="00E60406" w:rsidRPr="00E378B5" w:rsidRDefault="00E60406" w:rsidP="00831CF1">
            <w:pPr>
              <w:jc w:val="center"/>
              <w:rPr>
                <w:b/>
                <w:bCs/>
              </w:rPr>
            </w:pPr>
            <w:r w:rsidRPr="00E378B5">
              <w:rPr>
                <w:b/>
                <w:bCs/>
              </w:rPr>
              <w:t>Perfusion</w:t>
            </w:r>
          </w:p>
        </w:tc>
        <w:tc>
          <w:tcPr>
            <w:tcW w:w="2117" w:type="dxa"/>
            <w:tcBorders>
              <w:top w:val="single" w:sz="4" w:space="0" w:color="auto"/>
              <w:bottom w:val="single" w:sz="4" w:space="0" w:color="auto"/>
            </w:tcBorders>
            <w:vAlign w:val="center"/>
          </w:tcPr>
          <w:p w14:paraId="1BEB6A83" w14:textId="77777777" w:rsidR="00E60406" w:rsidRPr="00E378B5" w:rsidRDefault="00E60406" w:rsidP="00831CF1">
            <w:pPr>
              <w:jc w:val="center"/>
              <w:rPr>
                <w:b/>
                <w:bCs/>
              </w:rPr>
            </w:pPr>
            <w:proofErr w:type="spellStart"/>
            <w:r w:rsidRPr="00E378B5">
              <w:rPr>
                <w:b/>
                <w:bCs/>
              </w:rPr>
              <w:t>Cine</w:t>
            </w:r>
            <w:proofErr w:type="spellEnd"/>
          </w:p>
          <w:p w14:paraId="3161E155" w14:textId="77777777" w:rsidR="00E60406" w:rsidRPr="00E378B5" w:rsidRDefault="00E60406" w:rsidP="00831CF1">
            <w:pPr>
              <w:jc w:val="center"/>
              <w:rPr>
                <w:b/>
                <w:bCs/>
              </w:rPr>
            </w:pPr>
            <w:r w:rsidRPr="00E378B5">
              <w:rPr>
                <w:b/>
                <w:bCs/>
              </w:rPr>
              <w:t>short-axis</w:t>
            </w:r>
          </w:p>
        </w:tc>
        <w:tc>
          <w:tcPr>
            <w:tcW w:w="2117" w:type="dxa"/>
            <w:tcBorders>
              <w:top w:val="single" w:sz="4" w:space="0" w:color="auto"/>
              <w:bottom w:val="single" w:sz="4" w:space="0" w:color="auto"/>
            </w:tcBorders>
            <w:vAlign w:val="center"/>
          </w:tcPr>
          <w:p w14:paraId="130E4722" w14:textId="77777777" w:rsidR="00E60406" w:rsidRPr="00E378B5" w:rsidRDefault="00E60406" w:rsidP="00831CF1">
            <w:pPr>
              <w:jc w:val="center"/>
              <w:rPr>
                <w:b/>
                <w:bCs/>
              </w:rPr>
            </w:pPr>
            <w:r w:rsidRPr="00E378B5">
              <w:rPr>
                <w:b/>
                <w:bCs/>
              </w:rPr>
              <w:t>TI Scout</w:t>
            </w:r>
          </w:p>
        </w:tc>
        <w:tc>
          <w:tcPr>
            <w:tcW w:w="2883" w:type="dxa"/>
            <w:tcBorders>
              <w:top w:val="single" w:sz="4" w:space="0" w:color="auto"/>
              <w:bottom w:val="single" w:sz="4" w:space="0" w:color="auto"/>
            </w:tcBorders>
            <w:vAlign w:val="center"/>
          </w:tcPr>
          <w:p w14:paraId="25CBA13F" w14:textId="77777777" w:rsidR="00E60406" w:rsidRPr="00E378B5" w:rsidRDefault="00E60406" w:rsidP="00831CF1">
            <w:pPr>
              <w:jc w:val="center"/>
              <w:rPr>
                <w:b/>
                <w:bCs/>
              </w:rPr>
            </w:pPr>
            <w:r w:rsidRPr="00E378B5">
              <w:rPr>
                <w:b/>
                <w:bCs/>
              </w:rPr>
              <w:t>LGE</w:t>
            </w:r>
          </w:p>
        </w:tc>
      </w:tr>
      <w:tr w:rsidR="00E378B5" w:rsidRPr="00E378B5" w14:paraId="507C45A6" w14:textId="77777777" w:rsidTr="00831CF1">
        <w:tc>
          <w:tcPr>
            <w:tcW w:w="3392" w:type="dxa"/>
            <w:tcBorders>
              <w:top w:val="single" w:sz="4" w:space="0" w:color="auto"/>
            </w:tcBorders>
            <w:vAlign w:val="center"/>
          </w:tcPr>
          <w:p w14:paraId="5D6FFC21" w14:textId="77777777" w:rsidR="00E60406" w:rsidRPr="00E378B5" w:rsidRDefault="00E60406" w:rsidP="00831CF1">
            <w:pPr>
              <w:spacing w:line="360" w:lineRule="auto"/>
              <w:rPr>
                <w:b/>
                <w:bCs/>
              </w:rPr>
            </w:pPr>
            <w:r w:rsidRPr="00E378B5">
              <w:rPr>
                <w:b/>
                <w:bCs/>
              </w:rPr>
              <w:t xml:space="preserve">Pulse </w:t>
            </w:r>
            <w:proofErr w:type="spellStart"/>
            <w:r w:rsidRPr="00E378B5">
              <w:rPr>
                <w:b/>
                <w:bCs/>
              </w:rPr>
              <w:t>sequence</w:t>
            </w:r>
            <w:proofErr w:type="spellEnd"/>
          </w:p>
        </w:tc>
        <w:tc>
          <w:tcPr>
            <w:tcW w:w="2116" w:type="dxa"/>
            <w:tcBorders>
              <w:top w:val="single" w:sz="4" w:space="0" w:color="auto"/>
            </w:tcBorders>
            <w:vAlign w:val="center"/>
          </w:tcPr>
          <w:p w14:paraId="2C2859ED" w14:textId="77777777" w:rsidR="00E60406" w:rsidRPr="00E378B5" w:rsidRDefault="00E60406" w:rsidP="00831CF1">
            <w:pPr>
              <w:spacing w:line="360" w:lineRule="auto"/>
              <w:jc w:val="center"/>
            </w:pPr>
            <w:r w:rsidRPr="00E378B5">
              <w:t>b-SSFP</w:t>
            </w:r>
          </w:p>
        </w:tc>
        <w:tc>
          <w:tcPr>
            <w:tcW w:w="2117" w:type="dxa"/>
            <w:tcBorders>
              <w:top w:val="single" w:sz="4" w:space="0" w:color="auto"/>
            </w:tcBorders>
            <w:vAlign w:val="center"/>
          </w:tcPr>
          <w:p w14:paraId="230EAE12" w14:textId="77777777" w:rsidR="00E60406" w:rsidRPr="00E378B5" w:rsidRDefault="00E60406" w:rsidP="00831CF1">
            <w:pPr>
              <w:spacing w:line="360" w:lineRule="auto"/>
              <w:jc w:val="center"/>
            </w:pPr>
            <w:r w:rsidRPr="00E378B5">
              <w:t>Saturation-</w:t>
            </w:r>
            <w:proofErr w:type="spellStart"/>
            <w:r w:rsidRPr="00E378B5">
              <w:t>recovery</w:t>
            </w:r>
            <w:proofErr w:type="spellEnd"/>
            <w:r w:rsidRPr="00E378B5">
              <w:t xml:space="preserve"> b-SSFP</w:t>
            </w:r>
          </w:p>
        </w:tc>
        <w:tc>
          <w:tcPr>
            <w:tcW w:w="2117" w:type="dxa"/>
            <w:tcBorders>
              <w:top w:val="single" w:sz="4" w:space="0" w:color="auto"/>
            </w:tcBorders>
            <w:vAlign w:val="center"/>
          </w:tcPr>
          <w:p w14:paraId="05389B45" w14:textId="77777777" w:rsidR="00E60406" w:rsidRPr="00E378B5" w:rsidRDefault="00E60406" w:rsidP="00831CF1">
            <w:pPr>
              <w:spacing w:line="360" w:lineRule="auto"/>
              <w:jc w:val="center"/>
            </w:pPr>
            <w:r w:rsidRPr="00E378B5">
              <w:t>b-SSFP</w:t>
            </w:r>
          </w:p>
        </w:tc>
        <w:tc>
          <w:tcPr>
            <w:tcW w:w="2117" w:type="dxa"/>
            <w:tcBorders>
              <w:top w:val="single" w:sz="4" w:space="0" w:color="auto"/>
            </w:tcBorders>
            <w:vAlign w:val="center"/>
          </w:tcPr>
          <w:p w14:paraId="67A9586B" w14:textId="77777777" w:rsidR="00E60406" w:rsidRPr="00E378B5" w:rsidRDefault="00E60406" w:rsidP="00831CF1">
            <w:pPr>
              <w:spacing w:line="360" w:lineRule="auto"/>
              <w:jc w:val="center"/>
            </w:pPr>
            <w:r w:rsidRPr="00E378B5">
              <w:t>b-SSFP</w:t>
            </w:r>
          </w:p>
        </w:tc>
        <w:tc>
          <w:tcPr>
            <w:tcW w:w="2883" w:type="dxa"/>
            <w:tcBorders>
              <w:top w:val="single" w:sz="4" w:space="0" w:color="auto"/>
            </w:tcBorders>
            <w:vAlign w:val="center"/>
          </w:tcPr>
          <w:p w14:paraId="66B1DD1B" w14:textId="77777777" w:rsidR="00E60406" w:rsidRPr="00E378B5" w:rsidRDefault="00E60406" w:rsidP="00831CF1">
            <w:pPr>
              <w:spacing w:line="360" w:lineRule="auto"/>
              <w:jc w:val="center"/>
              <w:rPr>
                <w:lang w:val="en-US"/>
              </w:rPr>
            </w:pPr>
            <w:r w:rsidRPr="00E378B5">
              <w:rPr>
                <w:lang w:val="en-US"/>
              </w:rPr>
              <w:t>3D inversion-recovery fast gradient echo (FGRE)</w:t>
            </w:r>
          </w:p>
        </w:tc>
      </w:tr>
      <w:tr w:rsidR="00E378B5" w:rsidRPr="00E378B5" w14:paraId="1963C264" w14:textId="77777777" w:rsidTr="00831CF1">
        <w:tc>
          <w:tcPr>
            <w:tcW w:w="3392" w:type="dxa"/>
            <w:vAlign w:val="center"/>
          </w:tcPr>
          <w:p w14:paraId="4A88E046" w14:textId="77777777" w:rsidR="00E60406" w:rsidRPr="00E378B5" w:rsidRDefault="00E60406" w:rsidP="00831CF1">
            <w:pPr>
              <w:spacing w:line="360" w:lineRule="auto"/>
              <w:rPr>
                <w:b/>
                <w:bCs/>
                <w:lang w:val="en-US"/>
              </w:rPr>
            </w:pPr>
            <w:r w:rsidRPr="00E378B5">
              <w:rPr>
                <w:b/>
                <w:bCs/>
                <w:lang w:val="en-US"/>
              </w:rPr>
              <w:t>Field of view (</w:t>
            </w:r>
            <w:proofErr w:type="spellStart"/>
            <w:r w:rsidRPr="00E378B5">
              <w:rPr>
                <w:b/>
                <w:bCs/>
                <w:lang w:val="en-US"/>
              </w:rPr>
              <w:t>FoV</w:t>
            </w:r>
            <w:proofErr w:type="spellEnd"/>
            <w:r w:rsidRPr="00E378B5">
              <w:rPr>
                <w:b/>
                <w:bCs/>
                <w:lang w:val="en-US"/>
              </w:rPr>
              <w:t>)</w:t>
            </w:r>
          </w:p>
        </w:tc>
        <w:tc>
          <w:tcPr>
            <w:tcW w:w="2116" w:type="dxa"/>
          </w:tcPr>
          <w:p w14:paraId="0010B7A6" w14:textId="77777777" w:rsidR="00E60406" w:rsidRPr="00E378B5" w:rsidRDefault="00E60406" w:rsidP="00831CF1">
            <w:pPr>
              <w:spacing w:line="360" w:lineRule="auto"/>
              <w:jc w:val="center"/>
              <w:rPr>
                <w:lang w:val="en-US"/>
              </w:rPr>
            </w:pPr>
            <w:r w:rsidRPr="00E378B5">
              <w:rPr>
                <w:lang w:val="en-US"/>
              </w:rPr>
              <w:t>380 x 340 mm²</w:t>
            </w:r>
          </w:p>
        </w:tc>
        <w:tc>
          <w:tcPr>
            <w:tcW w:w="2117" w:type="dxa"/>
          </w:tcPr>
          <w:p w14:paraId="1C620318" w14:textId="77777777" w:rsidR="00E60406" w:rsidRPr="00E378B5" w:rsidRDefault="00E60406" w:rsidP="00831CF1">
            <w:pPr>
              <w:spacing w:line="360" w:lineRule="auto"/>
              <w:jc w:val="center"/>
              <w:rPr>
                <w:lang w:val="en-US"/>
              </w:rPr>
            </w:pPr>
            <w:r w:rsidRPr="00E378B5">
              <w:rPr>
                <w:lang w:val="en-US"/>
              </w:rPr>
              <w:t>370 x 314 mm²</w:t>
            </w:r>
          </w:p>
        </w:tc>
        <w:tc>
          <w:tcPr>
            <w:tcW w:w="2117" w:type="dxa"/>
          </w:tcPr>
          <w:p w14:paraId="771D7480" w14:textId="77777777" w:rsidR="00E60406" w:rsidRPr="00E378B5" w:rsidRDefault="00E60406" w:rsidP="00831CF1">
            <w:pPr>
              <w:spacing w:line="360" w:lineRule="auto"/>
              <w:jc w:val="center"/>
              <w:rPr>
                <w:lang w:val="en-US"/>
              </w:rPr>
            </w:pPr>
            <w:r w:rsidRPr="00E378B5">
              <w:rPr>
                <w:lang w:val="en-US"/>
              </w:rPr>
              <w:t>380 x 304 mm²</w:t>
            </w:r>
          </w:p>
        </w:tc>
        <w:tc>
          <w:tcPr>
            <w:tcW w:w="2117" w:type="dxa"/>
          </w:tcPr>
          <w:p w14:paraId="400B5699" w14:textId="77777777" w:rsidR="00E60406" w:rsidRPr="00E378B5" w:rsidRDefault="00E60406" w:rsidP="00831CF1">
            <w:pPr>
              <w:spacing w:line="360" w:lineRule="auto"/>
              <w:jc w:val="center"/>
              <w:rPr>
                <w:lang w:val="en-US"/>
              </w:rPr>
            </w:pPr>
            <w:r w:rsidRPr="00E378B5">
              <w:rPr>
                <w:lang w:val="en-US"/>
              </w:rPr>
              <w:t>380 x 307 mm²</w:t>
            </w:r>
          </w:p>
        </w:tc>
        <w:tc>
          <w:tcPr>
            <w:tcW w:w="2883" w:type="dxa"/>
          </w:tcPr>
          <w:p w14:paraId="0E060E6A" w14:textId="77777777" w:rsidR="00E60406" w:rsidRPr="00E378B5" w:rsidRDefault="00E60406" w:rsidP="00831CF1">
            <w:pPr>
              <w:spacing w:line="360" w:lineRule="auto"/>
              <w:jc w:val="center"/>
              <w:rPr>
                <w:lang w:val="en-US"/>
              </w:rPr>
            </w:pPr>
            <w:r w:rsidRPr="00E378B5">
              <w:rPr>
                <w:lang w:val="en-US"/>
              </w:rPr>
              <w:t>340 x 340 mm²</w:t>
            </w:r>
          </w:p>
        </w:tc>
      </w:tr>
      <w:tr w:rsidR="00E378B5" w:rsidRPr="00E378B5" w14:paraId="367F0516" w14:textId="77777777" w:rsidTr="00831CF1">
        <w:tc>
          <w:tcPr>
            <w:tcW w:w="3392" w:type="dxa"/>
            <w:vAlign w:val="center"/>
          </w:tcPr>
          <w:p w14:paraId="23252D8D" w14:textId="77777777" w:rsidR="00E60406" w:rsidRPr="00E378B5" w:rsidRDefault="00E60406" w:rsidP="00831CF1">
            <w:pPr>
              <w:spacing w:line="360" w:lineRule="auto"/>
              <w:rPr>
                <w:b/>
                <w:bCs/>
                <w:lang w:val="en-US"/>
              </w:rPr>
            </w:pPr>
            <w:r w:rsidRPr="00E378B5">
              <w:rPr>
                <w:b/>
                <w:bCs/>
                <w:lang w:val="en-US"/>
              </w:rPr>
              <w:t>Slice thickness</w:t>
            </w:r>
          </w:p>
        </w:tc>
        <w:tc>
          <w:tcPr>
            <w:tcW w:w="2116" w:type="dxa"/>
          </w:tcPr>
          <w:p w14:paraId="64514F0A" w14:textId="77777777" w:rsidR="00E60406" w:rsidRPr="00E378B5" w:rsidRDefault="00E60406" w:rsidP="00831CF1">
            <w:pPr>
              <w:spacing w:line="360" w:lineRule="auto"/>
              <w:jc w:val="center"/>
              <w:rPr>
                <w:lang w:val="en-US"/>
              </w:rPr>
            </w:pPr>
            <w:r w:rsidRPr="00E378B5">
              <w:rPr>
                <w:lang w:val="en-US"/>
              </w:rPr>
              <w:t>6 mm</w:t>
            </w:r>
          </w:p>
        </w:tc>
        <w:tc>
          <w:tcPr>
            <w:tcW w:w="2117" w:type="dxa"/>
          </w:tcPr>
          <w:p w14:paraId="1E522427" w14:textId="77777777" w:rsidR="00E60406" w:rsidRPr="00E378B5" w:rsidRDefault="00E60406" w:rsidP="00831CF1">
            <w:pPr>
              <w:spacing w:line="360" w:lineRule="auto"/>
              <w:jc w:val="center"/>
              <w:rPr>
                <w:lang w:val="en-US"/>
              </w:rPr>
            </w:pPr>
            <w:r w:rsidRPr="00E378B5">
              <w:rPr>
                <w:lang w:val="en-US"/>
              </w:rPr>
              <w:t>8 mm</w:t>
            </w:r>
          </w:p>
        </w:tc>
        <w:tc>
          <w:tcPr>
            <w:tcW w:w="2117" w:type="dxa"/>
          </w:tcPr>
          <w:p w14:paraId="5041A6C3" w14:textId="77777777" w:rsidR="00E60406" w:rsidRPr="00E378B5" w:rsidRDefault="00E60406" w:rsidP="00831CF1">
            <w:pPr>
              <w:spacing w:line="360" w:lineRule="auto"/>
              <w:jc w:val="center"/>
              <w:rPr>
                <w:lang w:val="en-US"/>
              </w:rPr>
            </w:pPr>
            <w:r w:rsidRPr="00E378B5">
              <w:rPr>
                <w:lang w:val="en-US"/>
              </w:rPr>
              <w:t>8 mm</w:t>
            </w:r>
          </w:p>
        </w:tc>
        <w:tc>
          <w:tcPr>
            <w:tcW w:w="2117" w:type="dxa"/>
          </w:tcPr>
          <w:p w14:paraId="01A76255" w14:textId="77777777" w:rsidR="00E60406" w:rsidRPr="00E378B5" w:rsidRDefault="00E60406" w:rsidP="00831CF1">
            <w:pPr>
              <w:spacing w:line="360" w:lineRule="auto"/>
              <w:jc w:val="center"/>
              <w:rPr>
                <w:lang w:val="en-US"/>
              </w:rPr>
            </w:pPr>
            <w:r w:rsidRPr="00E378B5">
              <w:rPr>
                <w:lang w:val="en-US"/>
              </w:rPr>
              <w:t>8 mm</w:t>
            </w:r>
          </w:p>
        </w:tc>
        <w:tc>
          <w:tcPr>
            <w:tcW w:w="2883" w:type="dxa"/>
          </w:tcPr>
          <w:p w14:paraId="0D74020B" w14:textId="77777777" w:rsidR="00E60406" w:rsidRPr="00E378B5" w:rsidRDefault="00E60406" w:rsidP="00831CF1">
            <w:pPr>
              <w:spacing w:line="360" w:lineRule="auto"/>
              <w:jc w:val="center"/>
              <w:rPr>
                <w:lang w:val="en-US"/>
              </w:rPr>
            </w:pPr>
            <w:r w:rsidRPr="00E378B5">
              <w:rPr>
                <w:lang w:val="en-US"/>
              </w:rPr>
              <w:t>6 mm</w:t>
            </w:r>
          </w:p>
        </w:tc>
      </w:tr>
      <w:tr w:rsidR="00E378B5" w:rsidRPr="00E378B5" w14:paraId="03DB825B" w14:textId="77777777" w:rsidTr="00831CF1">
        <w:tc>
          <w:tcPr>
            <w:tcW w:w="3392" w:type="dxa"/>
            <w:vAlign w:val="center"/>
          </w:tcPr>
          <w:p w14:paraId="41F2FEF6" w14:textId="77777777" w:rsidR="00E60406" w:rsidRPr="00E378B5" w:rsidRDefault="00E60406" w:rsidP="00831CF1">
            <w:pPr>
              <w:spacing w:line="360" w:lineRule="auto"/>
              <w:rPr>
                <w:b/>
                <w:bCs/>
                <w:lang w:val="en-US"/>
              </w:rPr>
            </w:pPr>
            <w:r w:rsidRPr="00E378B5">
              <w:rPr>
                <w:b/>
                <w:bCs/>
                <w:lang w:val="en-US"/>
              </w:rPr>
              <w:t>Matrix size</w:t>
            </w:r>
          </w:p>
        </w:tc>
        <w:tc>
          <w:tcPr>
            <w:tcW w:w="2116" w:type="dxa"/>
          </w:tcPr>
          <w:p w14:paraId="222BFCFC" w14:textId="77777777" w:rsidR="00E60406" w:rsidRPr="00E378B5" w:rsidRDefault="00E60406" w:rsidP="00831CF1">
            <w:pPr>
              <w:spacing w:line="360" w:lineRule="auto"/>
              <w:jc w:val="center"/>
              <w:rPr>
                <w:lang w:val="en-US"/>
              </w:rPr>
            </w:pPr>
            <w:r w:rsidRPr="00E378B5">
              <w:rPr>
                <w:lang w:val="en-US"/>
              </w:rPr>
              <w:t>256 pixels</w:t>
            </w:r>
          </w:p>
        </w:tc>
        <w:tc>
          <w:tcPr>
            <w:tcW w:w="2117" w:type="dxa"/>
          </w:tcPr>
          <w:p w14:paraId="0C950C51" w14:textId="77777777" w:rsidR="00E60406" w:rsidRPr="00E378B5" w:rsidRDefault="00E60406" w:rsidP="00831CF1">
            <w:pPr>
              <w:spacing w:line="360" w:lineRule="auto"/>
              <w:jc w:val="center"/>
              <w:rPr>
                <w:lang w:val="en-US"/>
              </w:rPr>
            </w:pPr>
            <w:r w:rsidRPr="00E378B5">
              <w:rPr>
                <w:lang w:val="en-US"/>
              </w:rPr>
              <w:t>224 pixels</w:t>
            </w:r>
          </w:p>
        </w:tc>
        <w:tc>
          <w:tcPr>
            <w:tcW w:w="2117" w:type="dxa"/>
          </w:tcPr>
          <w:p w14:paraId="4D063ED1" w14:textId="77777777" w:rsidR="00E60406" w:rsidRPr="00E378B5" w:rsidRDefault="00E60406" w:rsidP="00831CF1">
            <w:pPr>
              <w:spacing w:line="360" w:lineRule="auto"/>
              <w:jc w:val="center"/>
              <w:rPr>
                <w:lang w:val="en-US"/>
              </w:rPr>
            </w:pPr>
            <w:r w:rsidRPr="00E378B5">
              <w:rPr>
                <w:lang w:val="en-US"/>
              </w:rPr>
              <w:t>240 pixels</w:t>
            </w:r>
          </w:p>
        </w:tc>
        <w:tc>
          <w:tcPr>
            <w:tcW w:w="2117" w:type="dxa"/>
          </w:tcPr>
          <w:p w14:paraId="03A4A508" w14:textId="77777777" w:rsidR="00E60406" w:rsidRPr="00E378B5" w:rsidRDefault="00E60406" w:rsidP="00831CF1">
            <w:pPr>
              <w:spacing w:line="360" w:lineRule="auto"/>
              <w:jc w:val="center"/>
              <w:rPr>
                <w:lang w:val="en-US"/>
              </w:rPr>
            </w:pPr>
            <w:r w:rsidRPr="00E378B5">
              <w:rPr>
                <w:lang w:val="en-US"/>
              </w:rPr>
              <w:t>208 pixels</w:t>
            </w:r>
          </w:p>
        </w:tc>
        <w:tc>
          <w:tcPr>
            <w:tcW w:w="2883" w:type="dxa"/>
          </w:tcPr>
          <w:p w14:paraId="5E5BD3DC" w14:textId="77777777" w:rsidR="00E60406" w:rsidRPr="00E378B5" w:rsidRDefault="00E60406" w:rsidP="00831CF1">
            <w:pPr>
              <w:spacing w:line="360" w:lineRule="auto"/>
              <w:jc w:val="center"/>
              <w:rPr>
                <w:lang w:val="en-US"/>
              </w:rPr>
            </w:pPr>
            <w:r w:rsidRPr="00E378B5">
              <w:rPr>
                <w:lang w:val="en-US"/>
              </w:rPr>
              <w:t>272 pixels</w:t>
            </w:r>
          </w:p>
        </w:tc>
      </w:tr>
      <w:tr w:rsidR="00E378B5" w:rsidRPr="00E378B5" w14:paraId="098BB890" w14:textId="77777777" w:rsidTr="00831CF1">
        <w:tc>
          <w:tcPr>
            <w:tcW w:w="3392" w:type="dxa"/>
            <w:vAlign w:val="center"/>
          </w:tcPr>
          <w:p w14:paraId="172491F6" w14:textId="77777777" w:rsidR="00E60406" w:rsidRPr="00E378B5" w:rsidRDefault="00E60406" w:rsidP="00831CF1">
            <w:pPr>
              <w:spacing w:line="360" w:lineRule="auto"/>
              <w:rPr>
                <w:b/>
                <w:bCs/>
                <w:lang w:val="en-US"/>
              </w:rPr>
            </w:pPr>
            <w:r w:rsidRPr="00E378B5">
              <w:rPr>
                <w:b/>
                <w:bCs/>
                <w:lang w:val="en-US"/>
              </w:rPr>
              <w:t>Phase resolution</w:t>
            </w:r>
          </w:p>
        </w:tc>
        <w:tc>
          <w:tcPr>
            <w:tcW w:w="2116" w:type="dxa"/>
          </w:tcPr>
          <w:p w14:paraId="710046FB" w14:textId="77777777" w:rsidR="00E60406" w:rsidRPr="00E378B5" w:rsidRDefault="00E60406" w:rsidP="00831CF1">
            <w:pPr>
              <w:spacing w:line="360" w:lineRule="auto"/>
              <w:jc w:val="center"/>
              <w:rPr>
                <w:lang w:val="en-US"/>
              </w:rPr>
            </w:pPr>
            <w:r w:rsidRPr="00E378B5">
              <w:rPr>
                <w:lang w:val="en-US"/>
              </w:rPr>
              <w:t>95 %</w:t>
            </w:r>
          </w:p>
        </w:tc>
        <w:tc>
          <w:tcPr>
            <w:tcW w:w="2117" w:type="dxa"/>
          </w:tcPr>
          <w:p w14:paraId="32B0095D" w14:textId="77777777" w:rsidR="00E60406" w:rsidRPr="00E378B5" w:rsidRDefault="00E60406" w:rsidP="00831CF1">
            <w:pPr>
              <w:spacing w:line="360" w:lineRule="auto"/>
              <w:jc w:val="center"/>
              <w:rPr>
                <w:lang w:val="en-US"/>
              </w:rPr>
            </w:pPr>
            <w:r w:rsidRPr="00E378B5">
              <w:rPr>
                <w:lang w:val="en-US"/>
              </w:rPr>
              <w:t>80 %</w:t>
            </w:r>
          </w:p>
        </w:tc>
        <w:tc>
          <w:tcPr>
            <w:tcW w:w="2117" w:type="dxa"/>
          </w:tcPr>
          <w:p w14:paraId="26640A21" w14:textId="77777777" w:rsidR="00E60406" w:rsidRPr="00E378B5" w:rsidRDefault="00E60406" w:rsidP="00831CF1">
            <w:pPr>
              <w:spacing w:line="360" w:lineRule="auto"/>
              <w:jc w:val="center"/>
              <w:rPr>
                <w:lang w:val="en-US"/>
              </w:rPr>
            </w:pPr>
            <w:r w:rsidRPr="00E378B5">
              <w:rPr>
                <w:lang w:val="en-US"/>
              </w:rPr>
              <w:t>95 %</w:t>
            </w:r>
          </w:p>
        </w:tc>
        <w:tc>
          <w:tcPr>
            <w:tcW w:w="2117" w:type="dxa"/>
          </w:tcPr>
          <w:p w14:paraId="66E5698E" w14:textId="77777777" w:rsidR="00E60406" w:rsidRPr="00E378B5" w:rsidRDefault="00E60406" w:rsidP="00831CF1">
            <w:pPr>
              <w:spacing w:line="360" w:lineRule="auto"/>
              <w:jc w:val="center"/>
              <w:rPr>
                <w:lang w:val="en-US"/>
              </w:rPr>
            </w:pPr>
            <w:r w:rsidRPr="00E378B5">
              <w:rPr>
                <w:lang w:val="en-US"/>
              </w:rPr>
              <w:t>100 %</w:t>
            </w:r>
          </w:p>
        </w:tc>
        <w:tc>
          <w:tcPr>
            <w:tcW w:w="2883" w:type="dxa"/>
          </w:tcPr>
          <w:p w14:paraId="0A0F5710" w14:textId="77777777" w:rsidR="00E60406" w:rsidRPr="00E378B5" w:rsidRDefault="00E60406" w:rsidP="00831CF1">
            <w:pPr>
              <w:spacing w:line="360" w:lineRule="auto"/>
              <w:jc w:val="center"/>
              <w:rPr>
                <w:lang w:val="en-US"/>
              </w:rPr>
            </w:pPr>
            <w:r w:rsidRPr="00E378B5">
              <w:rPr>
                <w:lang w:val="en-US"/>
              </w:rPr>
              <w:t>89 %</w:t>
            </w:r>
          </w:p>
        </w:tc>
      </w:tr>
      <w:tr w:rsidR="00E378B5" w:rsidRPr="00E378B5" w14:paraId="6619082F" w14:textId="77777777" w:rsidTr="00831CF1">
        <w:tc>
          <w:tcPr>
            <w:tcW w:w="3392" w:type="dxa"/>
            <w:vAlign w:val="center"/>
          </w:tcPr>
          <w:p w14:paraId="5034252F" w14:textId="77777777" w:rsidR="00E60406" w:rsidRPr="00E378B5" w:rsidRDefault="00E60406" w:rsidP="00831CF1">
            <w:pPr>
              <w:spacing w:line="360" w:lineRule="auto"/>
              <w:rPr>
                <w:b/>
                <w:bCs/>
                <w:lang w:val="en-US"/>
              </w:rPr>
            </w:pPr>
            <w:r w:rsidRPr="00E378B5">
              <w:rPr>
                <w:b/>
                <w:bCs/>
                <w:lang w:val="en-US"/>
              </w:rPr>
              <w:t xml:space="preserve">Slice resolution </w:t>
            </w:r>
          </w:p>
        </w:tc>
        <w:tc>
          <w:tcPr>
            <w:tcW w:w="2116" w:type="dxa"/>
          </w:tcPr>
          <w:p w14:paraId="7B8350BD"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77BD6C9A"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38FC3938"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3F2BFB20" w14:textId="77777777" w:rsidR="00E60406" w:rsidRPr="00E378B5" w:rsidRDefault="00E60406" w:rsidP="00831CF1">
            <w:pPr>
              <w:spacing w:line="360" w:lineRule="auto"/>
              <w:jc w:val="center"/>
              <w:rPr>
                <w:lang w:val="en-US"/>
              </w:rPr>
            </w:pPr>
            <w:r w:rsidRPr="00E378B5">
              <w:rPr>
                <w:lang w:val="en-US"/>
              </w:rPr>
              <w:t>NA</w:t>
            </w:r>
          </w:p>
        </w:tc>
        <w:tc>
          <w:tcPr>
            <w:tcW w:w="2883" w:type="dxa"/>
          </w:tcPr>
          <w:p w14:paraId="154DD60A" w14:textId="77777777" w:rsidR="00E60406" w:rsidRPr="00E378B5" w:rsidRDefault="00E60406" w:rsidP="00831CF1">
            <w:pPr>
              <w:spacing w:line="360" w:lineRule="auto"/>
              <w:jc w:val="center"/>
              <w:rPr>
                <w:lang w:val="en-US"/>
              </w:rPr>
            </w:pPr>
            <w:r w:rsidRPr="00E378B5">
              <w:rPr>
                <w:lang w:val="en-US"/>
              </w:rPr>
              <w:t>67 %</w:t>
            </w:r>
          </w:p>
        </w:tc>
      </w:tr>
      <w:tr w:rsidR="00E378B5" w:rsidRPr="00E378B5" w14:paraId="453FA505" w14:textId="77777777" w:rsidTr="00831CF1">
        <w:tc>
          <w:tcPr>
            <w:tcW w:w="3392" w:type="dxa"/>
            <w:vAlign w:val="center"/>
          </w:tcPr>
          <w:p w14:paraId="695BE902" w14:textId="77777777" w:rsidR="00E60406" w:rsidRPr="00E378B5" w:rsidRDefault="00E60406" w:rsidP="00831CF1">
            <w:pPr>
              <w:spacing w:line="360" w:lineRule="auto"/>
              <w:rPr>
                <w:b/>
                <w:bCs/>
                <w:lang w:val="en-US"/>
              </w:rPr>
            </w:pPr>
            <w:r w:rsidRPr="00E378B5">
              <w:rPr>
                <w:b/>
                <w:bCs/>
                <w:lang w:val="en-US"/>
              </w:rPr>
              <w:t xml:space="preserve">Phase oversampling </w:t>
            </w:r>
          </w:p>
        </w:tc>
        <w:tc>
          <w:tcPr>
            <w:tcW w:w="2116" w:type="dxa"/>
          </w:tcPr>
          <w:p w14:paraId="0606EE30" w14:textId="77777777" w:rsidR="00E60406" w:rsidRPr="00E378B5" w:rsidRDefault="00E60406" w:rsidP="00831CF1">
            <w:pPr>
              <w:spacing w:line="360" w:lineRule="auto"/>
              <w:jc w:val="center"/>
              <w:rPr>
                <w:lang w:val="en-US"/>
              </w:rPr>
            </w:pPr>
            <w:r w:rsidRPr="00E378B5">
              <w:rPr>
                <w:lang w:val="en-US"/>
              </w:rPr>
              <w:t>0 %</w:t>
            </w:r>
          </w:p>
        </w:tc>
        <w:tc>
          <w:tcPr>
            <w:tcW w:w="2117" w:type="dxa"/>
          </w:tcPr>
          <w:p w14:paraId="52EC4F99" w14:textId="77777777" w:rsidR="00E60406" w:rsidRPr="00E378B5" w:rsidRDefault="00E60406" w:rsidP="00831CF1">
            <w:pPr>
              <w:spacing w:line="360" w:lineRule="auto"/>
              <w:jc w:val="center"/>
              <w:rPr>
                <w:lang w:val="en-US"/>
              </w:rPr>
            </w:pPr>
            <w:r w:rsidRPr="00E378B5">
              <w:rPr>
                <w:lang w:val="en-US"/>
              </w:rPr>
              <w:t>0 %</w:t>
            </w:r>
          </w:p>
        </w:tc>
        <w:tc>
          <w:tcPr>
            <w:tcW w:w="2117" w:type="dxa"/>
          </w:tcPr>
          <w:p w14:paraId="4EB68835" w14:textId="77777777" w:rsidR="00E60406" w:rsidRPr="00E378B5" w:rsidRDefault="00E60406" w:rsidP="00831CF1">
            <w:pPr>
              <w:spacing w:line="360" w:lineRule="auto"/>
              <w:jc w:val="center"/>
              <w:rPr>
                <w:lang w:val="en-US"/>
              </w:rPr>
            </w:pPr>
            <w:r w:rsidRPr="00E378B5">
              <w:rPr>
                <w:lang w:val="en-US"/>
              </w:rPr>
              <w:t>0 %</w:t>
            </w:r>
          </w:p>
        </w:tc>
        <w:tc>
          <w:tcPr>
            <w:tcW w:w="2117" w:type="dxa"/>
          </w:tcPr>
          <w:p w14:paraId="4B943B1C" w14:textId="77777777" w:rsidR="00E60406" w:rsidRPr="00E378B5" w:rsidRDefault="00E60406" w:rsidP="00831CF1">
            <w:pPr>
              <w:spacing w:line="360" w:lineRule="auto"/>
              <w:jc w:val="center"/>
              <w:rPr>
                <w:lang w:val="en-US"/>
              </w:rPr>
            </w:pPr>
            <w:r w:rsidRPr="00E378B5">
              <w:rPr>
                <w:lang w:val="en-US"/>
              </w:rPr>
              <w:t>0 %</w:t>
            </w:r>
          </w:p>
        </w:tc>
        <w:tc>
          <w:tcPr>
            <w:tcW w:w="2883" w:type="dxa"/>
          </w:tcPr>
          <w:p w14:paraId="10AC838E" w14:textId="77777777" w:rsidR="00E60406" w:rsidRPr="00E378B5" w:rsidRDefault="00E60406" w:rsidP="00831CF1">
            <w:pPr>
              <w:spacing w:line="360" w:lineRule="auto"/>
              <w:jc w:val="center"/>
              <w:rPr>
                <w:lang w:val="en-US"/>
              </w:rPr>
            </w:pPr>
            <w:r w:rsidRPr="00E378B5">
              <w:rPr>
                <w:lang w:val="en-US"/>
              </w:rPr>
              <w:t>20 %</w:t>
            </w:r>
          </w:p>
        </w:tc>
      </w:tr>
      <w:tr w:rsidR="00E378B5" w:rsidRPr="00E378B5" w14:paraId="6CB7FE43" w14:textId="77777777" w:rsidTr="00831CF1">
        <w:tc>
          <w:tcPr>
            <w:tcW w:w="3392" w:type="dxa"/>
            <w:vAlign w:val="center"/>
          </w:tcPr>
          <w:p w14:paraId="35AA80C4" w14:textId="77777777" w:rsidR="00E60406" w:rsidRPr="00E378B5" w:rsidRDefault="00E60406" w:rsidP="00831CF1">
            <w:pPr>
              <w:spacing w:line="360" w:lineRule="auto"/>
              <w:rPr>
                <w:b/>
                <w:bCs/>
                <w:lang w:val="en-US"/>
              </w:rPr>
            </w:pPr>
            <w:r w:rsidRPr="00E378B5">
              <w:rPr>
                <w:b/>
                <w:bCs/>
                <w:lang w:val="en-US"/>
              </w:rPr>
              <w:t>Slice oversampling</w:t>
            </w:r>
          </w:p>
        </w:tc>
        <w:tc>
          <w:tcPr>
            <w:tcW w:w="2116" w:type="dxa"/>
          </w:tcPr>
          <w:p w14:paraId="691AB1C6"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4022D936"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13F3D61F" w14:textId="77777777" w:rsidR="00E60406" w:rsidRPr="00E378B5" w:rsidRDefault="00E60406" w:rsidP="00831CF1">
            <w:pPr>
              <w:spacing w:line="360" w:lineRule="auto"/>
              <w:jc w:val="center"/>
              <w:rPr>
                <w:lang w:val="en-US"/>
              </w:rPr>
            </w:pPr>
            <w:r w:rsidRPr="00E378B5">
              <w:rPr>
                <w:lang w:val="en-US"/>
              </w:rPr>
              <w:t>NA</w:t>
            </w:r>
          </w:p>
        </w:tc>
        <w:tc>
          <w:tcPr>
            <w:tcW w:w="2117" w:type="dxa"/>
          </w:tcPr>
          <w:p w14:paraId="0C6A0D26" w14:textId="77777777" w:rsidR="00E60406" w:rsidRPr="00E378B5" w:rsidRDefault="00E60406" w:rsidP="00831CF1">
            <w:pPr>
              <w:spacing w:line="360" w:lineRule="auto"/>
              <w:jc w:val="center"/>
              <w:rPr>
                <w:lang w:val="en-US"/>
              </w:rPr>
            </w:pPr>
            <w:r w:rsidRPr="00E378B5">
              <w:rPr>
                <w:lang w:val="en-US"/>
              </w:rPr>
              <w:t>NA</w:t>
            </w:r>
          </w:p>
        </w:tc>
        <w:tc>
          <w:tcPr>
            <w:tcW w:w="2883" w:type="dxa"/>
          </w:tcPr>
          <w:p w14:paraId="5B8732E2" w14:textId="77777777" w:rsidR="00E60406" w:rsidRPr="00E378B5" w:rsidRDefault="00E60406" w:rsidP="00831CF1">
            <w:pPr>
              <w:spacing w:line="360" w:lineRule="auto"/>
              <w:jc w:val="center"/>
              <w:rPr>
                <w:lang w:val="en-US"/>
              </w:rPr>
            </w:pPr>
            <w:r w:rsidRPr="00E378B5">
              <w:rPr>
                <w:lang w:val="en-US"/>
              </w:rPr>
              <w:t>20 %</w:t>
            </w:r>
          </w:p>
        </w:tc>
      </w:tr>
      <w:tr w:rsidR="00E378B5" w:rsidRPr="00E378B5" w14:paraId="6DD9C246" w14:textId="77777777" w:rsidTr="00831CF1">
        <w:tc>
          <w:tcPr>
            <w:tcW w:w="3392" w:type="dxa"/>
            <w:vAlign w:val="center"/>
          </w:tcPr>
          <w:p w14:paraId="69A23B56" w14:textId="77777777" w:rsidR="00E60406" w:rsidRPr="00E378B5" w:rsidRDefault="00E60406" w:rsidP="00831CF1">
            <w:pPr>
              <w:spacing w:line="360" w:lineRule="auto"/>
              <w:rPr>
                <w:b/>
                <w:bCs/>
                <w:vertAlign w:val="superscript"/>
                <w:lang w:val="en-US"/>
              </w:rPr>
            </w:pPr>
            <w:r w:rsidRPr="00E378B5">
              <w:rPr>
                <w:b/>
                <w:bCs/>
                <w:lang w:val="en-US"/>
              </w:rPr>
              <w:t>Voxel size (reconstructed)</w:t>
            </w:r>
          </w:p>
        </w:tc>
        <w:tc>
          <w:tcPr>
            <w:tcW w:w="2116" w:type="dxa"/>
          </w:tcPr>
          <w:p w14:paraId="0FCB3AC5" w14:textId="77777777" w:rsidR="00E60406" w:rsidRPr="00E378B5" w:rsidRDefault="00E60406" w:rsidP="00831CF1">
            <w:pPr>
              <w:spacing w:line="360" w:lineRule="auto"/>
              <w:jc w:val="center"/>
              <w:rPr>
                <w:lang w:val="en-US"/>
              </w:rPr>
            </w:pPr>
            <w:r w:rsidRPr="00E378B5">
              <w:rPr>
                <w:lang w:val="en-US"/>
              </w:rPr>
              <w:t>1.5 x 1.5 x 6 mm</w:t>
            </w:r>
            <w:r w:rsidRPr="00E378B5">
              <w:rPr>
                <w:vertAlign w:val="superscript"/>
                <w:lang w:val="en-US"/>
              </w:rPr>
              <w:t>3</w:t>
            </w:r>
          </w:p>
        </w:tc>
        <w:tc>
          <w:tcPr>
            <w:tcW w:w="2117" w:type="dxa"/>
          </w:tcPr>
          <w:p w14:paraId="029A59F5" w14:textId="77777777" w:rsidR="00E60406" w:rsidRPr="00E378B5" w:rsidRDefault="00E60406" w:rsidP="00831CF1">
            <w:pPr>
              <w:spacing w:line="360" w:lineRule="auto"/>
              <w:jc w:val="center"/>
              <w:rPr>
                <w:lang w:val="en-US"/>
              </w:rPr>
            </w:pPr>
            <w:r w:rsidRPr="00E378B5">
              <w:rPr>
                <w:lang w:val="en-US"/>
              </w:rPr>
              <w:t>1.7 x 1.7 x 8 mm</w:t>
            </w:r>
            <w:r w:rsidRPr="00E378B5">
              <w:rPr>
                <w:vertAlign w:val="superscript"/>
                <w:lang w:val="en-US"/>
              </w:rPr>
              <w:t>3</w:t>
            </w:r>
          </w:p>
        </w:tc>
        <w:tc>
          <w:tcPr>
            <w:tcW w:w="2117" w:type="dxa"/>
          </w:tcPr>
          <w:p w14:paraId="7679BCEE" w14:textId="77777777" w:rsidR="00E60406" w:rsidRPr="00E378B5" w:rsidRDefault="00E60406" w:rsidP="00831CF1">
            <w:pPr>
              <w:spacing w:line="360" w:lineRule="auto"/>
              <w:jc w:val="center"/>
              <w:rPr>
                <w:lang w:val="en-US"/>
              </w:rPr>
            </w:pPr>
            <w:r w:rsidRPr="00E378B5">
              <w:rPr>
                <w:lang w:val="en-US"/>
              </w:rPr>
              <w:t>1.6 x 1.6 x 8 mm</w:t>
            </w:r>
            <w:r w:rsidRPr="00E378B5">
              <w:rPr>
                <w:vertAlign w:val="superscript"/>
                <w:lang w:val="en-US"/>
              </w:rPr>
              <w:t>3</w:t>
            </w:r>
          </w:p>
        </w:tc>
        <w:tc>
          <w:tcPr>
            <w:tcW w:w="2117" w:type="dxa"/>
          </w:tcPr>
          <w:p w14:paraId="3751E7C1" w14:textId="77777777" w:rsidR="00E60406" w:rsidRPr="00E378B5" w:rsidRDefault="00E60406" w:rsidP="00831CF1">
            <w:pPr>
              <w:spacing w:line="360" w:lineRule="auto"/>
              <w:jc w:val="center"/>
              <w:rPr>
                <w:lang w:val="en-US"/>
              </w:rPr>
            </w:pPr>
            <w:r w:rsidRPr="00E378B5">
              <w:rPr>
                <w:lang w:val="en-US"/>
              </w:rPr>
              <w:t>1.8 x 1.8 x 8 mm</w:t>
            </w:r>
            <w:r w:rsidRPr="00E378B5">
              <w:rPr>
                <w:vertAlign w:val="superscript"/>
                <w:lang w:val="en-US"/>
              </w:rPr>
              <w:t>3</w:t>
            </w:r>
          </w:p>
        </w:tc>
        <w:tc>
          <w:tcPr>
            <w:tcW w:w="2883" w:type="dxa"/>
          </w:tcPr>
          <w:p w14:paraId="5C34BA3E" w14:textId="77777777" w:rsidR="00E60406" w:rsidRPr="00E378B5" w:rsidRDefault="00E60406" w:rsidP="00831CF1">
            <w:pPr>
              <w:spacing w:line="360" w:lineRule="auto"/>
              <w:jc w:val="center"/>
              <w:rPr>
                <w:lang w:val="en-US"/>
              </w:rPr>
            </w:pPr>
            <w:r w:rsidRPr="00E378B5">
              <w:rPr>
                <w:lang w:val="en-US"/>
              </w:rPr>
              <w:t>1.3 x 1.3 x 6 mm</w:t>
            </w:r>
          </w:p>
        </w:tc>
      </w:tr>
      <w:tr w:rsidR="00E378B5" w:rsidRPr="00E378B5" w14:paraId="06B57FCB" w14:textId="77777777" w:rsidTr="00831CF1">
        <w:tc>
          <w:tcPr>
            <w:tcW w:w="3392" w:type="dxa"/>
            <w:vAlign w:val="center"/>
          </w:tcPr>
          <w:p w14:paraId="55FEEAE5" w14:textId="77777777" w:rsidR="00E60406" w:rsidRPr="00E378B5" w:rsidRDefault="00E60406" w:rsidP="00831CF1">
            <w:pPr>
              <w:spacing w:line="360" w:lineRule="auto"/>
              <w:rPr>
                <w:b/>
                <w:bCs/>
                <w:lang w:val="en-US"/>
              </w:rPr>
            </w:pPr>
            <w:r w:rsidRPr="00E378B5">
              <w:rPr>
                <w:b/>
                <w:bCs/>
                <w:lang w:val="en-US"/>
              </w:rPr>
              <w:t>Voxel size (acquired)</w:t>
            </w:r>
          </w:p>
        </w:tc>
        <w:tc>
          <w:tcPr>
            <w:tcW w:w="2116" w:type="dxa"/>
          </w:tcPr>
          <w:p w14:paraId="2F862996" w14:textId="77777777" w:rsidR="00E60406" w:rsidRPr="00E378B5" w:rsidRDefault="00E60406" w:rsidP="00831CF1">
            <w:pPr>
              <w:spacing w:line="360" w:lineRule="auto"/>
              <w:jc w:val="center"/>
              <w:rPr>
                <w:lang w:val="en-US"/>
              </w:rPr>
            </w:pPr>
            <w:r w:rsidRPr="00E378B5">
              <w:rPr>
                <w:lang w:val="en-US"/>
              </w:rPr>
              <w:t>1.5 x 1.6 x 6 mm</w:t>
            </w:r>
            <w:r w:rsidRPr="00E378B5">
              <w:rPr>
                <w:vertAlign w:val="superscript"/>
                <w:lang w:val="en-US"/>
              </w:rPr>
              <w:t>3</w:t>
            </w:r>
          </w:p>
        </w:tc>
        <w:tc>
          <w:tcPr>
            <w:tcW w:w="2117" w:type="dxa"/>
          </w:tcPr>
          <w:p w14:paraId="48F62387" w14:textId="77777777" w:rsidR="00E60406" w:rsidRPr="00E378B5" w:rsidRDefault="00E60406" w:rsidP="00831CF1">
            <w:pPr>
              <w:spacing w:line="360" w:lineRule="auto"/>
              <w:jc w:val="center"/>
              <w:rPr>
                <w:lang w:val="en-US"/>
              </w:rPr>
            </w:pPr>
            <w:r w:rsidRPr="00E378B5">
              <w:rPr>
                <w:lang w:val="en-US"/>
              </w:rPr>
              <w:t>1.7 x 2.0 x 8 mm</w:t>
            </w:r>
            <w:r w:rsidRPr="00E378B5">
              <w:rPr>
                <w:vertAlign w:val="superscript"/>
                <w:lang w:val="en-US"/>
              </w:rPr>
              <w:t>3</w:t>
            </w:r>
          </w:p>
        </w:tc>
        <w:tc>
          <w:tcPr>
            <w:tcW w:w="2117" w:type="dxa"/>
          </w:tcPr>
          <w:p w14:paraId="25BDC930" w14:textId="77777777" w:rsidR="00E60406" w:rsidRPr="00E378B5" w:rsidRDefault="00E60406" w:rsidP="00831CF1">
            <w:pPr>
              <w:spacing w:line="360" w:lineRule="auto"/>
              <w:jc w:val="center"/>
              <w:rPr>
                <w:lang w:val="en-US"/>
              </w:rPr>
            </w:pPr>
            <w:r w:rsidRPr="00E378B5">
              <w:rPr>
                <w:lang w:val="en-US"/>
              </w:rPr>
              <w:t>1.6 x 1.7 x 8 mm</w:t>
            </w:r>
            <w:r w:rsidRPr="00E378B5">
              <w:rPr>
                <w:vertAlign w:val="superscript"/>
                <w:lang w:val="en-US"/>
              </w:rPr>
              <w:t>3</w:t>
            </w:r>
          </w:p>
        </w:tc>
        <w:tc>
          <w:tcPr>
            <w:tcW w:w="2117" w:type="dxa"/>
          </w:tcPr>
          <w:p w14:paraId="7CDBF36D" w14:textId="77777777" w:rsidR="00E60406" w:rsidRPr="00E378B5" w:rsidRDefault="00E60406" w:rsidP="00831CF1">
            <w:pPr>
              <w:spacing w:line="360" w:lineRule="auto"/>
              <w:jc w:val="center"/>
              <w:rPr>
                <w:lang w:val="en-US"/>
              </w:rPr>
            </w:pPr>
            <w:r w:rsidRPr="00E378B5">
              <w:rPr>
                <w:lang w:val="en-US"/>
              </w:rPr>
              <w:t>1.8 x 1.8 x 8 mm</w:t>
            </w:r>
            <w:r w:rsidRPr="00E378B5">
              <w:rPr>
                <w:vertAlign w:val="superscript"/>
                <w:lang w:val="en-US"/>
              </w:rPr>
              <w:t>3</w:t>
            </w:r>
          </w:p>
        </w:tc>
        <w:tc>
          <w:tcPr>
            <w:tcW w:w="2883" w:type="dxa"/>
          </w:tcPr>
          <w:p w14:paraId="1D169742" w14:textId="77777777" w:rsidR="00E60406" w:rsidRPr="00E378B5" w:rsidRDefault="00E60406" w:rsidP="00831CF1">
            <w:pPr>
              <w:spacing w:line="360" w:lineRule="auto"/>
              <w:jc w:val="center"/>
              <w:rPr>
                <w:lang w:val="en-US"/>
              </w:rPr>
            </w:pPr>
            <w:r w:rsidRPr="00E378B5">
              <w:rPr>
                <w:lang w:val="en-US"/>
              </w:rPr>
              <w:t>1.3 x 1.4 x 8 mm</w:t>
            </w:r>
          </w:p>
        </w:tc>
      </w:tr>
      <w:tr w:rsidR="00E378B5" w:rsidRPr="00E378B5" w14:paraId="6AAB709A" w14:textId="77777777" w:rsidTr="00831CF1">
        <w:tc>
          <w:tcPr>
            <w:tcW w:w="3392" w:type="dxa"/>
            <w:vAlign w:val="center"/>
          </w:tcPr>
          <w:p w14:paraId="7BF446CA" w14:textId="77777777" w:rsidR="00E60406" w:rsidRPr="00E378B5" w:rsidRDefault="00E60406" w:rsidP="00831CF1">
            <w:pPr>
              <w:spacing w:line="360" w:lineRule="auto"/>
              <w:rPr>
                <w:b/>
                <w:bCs/>
                <w:lang w:val="en-US"/>
              </w:rPr>
            </w:pPr>
            <w:r w:rsidRPr="00E378B5">
              <w:rPr>
                <w:b/>
                <w:bCs/>
                <w:lang w:val="en-US"/>
              </w:rPr>
              <w:t>TE/TR</w:t>
            </w:r>
          </w:p>
        </w:tc>
        <w:tc>
          <w:tcPr>
            <w:tcW w:w="2116" w:type="dxa"/>
          </w:tcPr>
          <w:p w14:paraId="654CAE7D" w14:textId="77777777" w:rsidR="00E60406" w:rsidRPr="00E378B5" w:rsidRDefault="00E60406" w:rsidP="00831CF1">
            <w:pPr>
              <w:spacing w:line="360" w:lineRule="auto"/>
              <w:jc w:val="center"/>
              <w:rPr>
                <w:lang w:val="en-US"/>
              </w:rPr>
            </w:pPr>
            <w:r w:rsidRPr="00E378B5">
              <w:rPr>
                <w:lang w:val="en-US"/>
              </w:rPr>
              <w:t xml:space="preserve">1.18/2.9 </w:t>
            </w:r>
            <w:proofErr w:type="spellStart"/>
            <w:r w:rsidRPr="00E378B5">
              <w:rPr>
                <w:lang w:val="en-US"/>
              </w:rPr>
              <w:t>ms</w:t>
            </w:r>
            <w:proofErr w:type="spellEnd"/>
          </w:p>
        </w:tc>
        <w:tc>
          <w:tcPr>
            <w:tcW w:w="2117" w:type="dxa"/>
          </w:tcPr>
          <w:p w14:paraId="49CEDC08" w14:textId="77777777" w:rsidR="00E60406" w:rsidRPr="00E378B5" w:rsidRDefault="00E60406" w:rsidP="00831CF1">
            <w:pPr>
              <w:spacing w:line="360" w:lineRule="auto"/>
              <w:jc w:val="center"/>
              <w:rPr>
                <w:lang w:val="en-US"/>
              </w:rPr>
            </w:pPr>
            <w:r w:rsidRPr="00E378B5">
              <w:rPr>
                <w:lang w:val="en-US"/>
              </w:rPr>
              <w:t xml:space="preserve">1.04/2.8 </w:t>
            </w:r>
            <w:proofErr w:type="spellStart"/>
            <w:r w:rsidRPr="00E378B5">
              <w:rPr>
                <w:lang w:val="en-US"/>
              </w:rPr>
              <w:t>ms</w:t>
            </w:r>
            <w:proofErr w:type="spellEnd"/>
          </w:p>
        </w:tc>
        <w:tc>
          <w:tcPr>
            <w:tcW w:w="2117" w:type="dxa"/>
          </w:tcPr>
          <w:p w14:paraId="1FDC0AF5" w14:textId="77777777" w:rsidR="00E60406" w:rsidRPr="00E378B5" w:rsidRDefault="00E60406" w:rsidP="00831CF1">
            <w:pPr>
              <w:spacing w:line="360" w:lineRule="auto"/>
              <w:jc w:val="center"/>
              <w:rPr>
                <w:lang w:val="en-US"/>
              </w:rPr>
            </w:pPr>
            <w:r w:rsidRPr="00E378B5">
              <w:rPr>
                <w:lang w:val="en-US"/>
              </w:rPr>
              <w:t xml:space="preserve">1.15/2.8 </w:t>
            </w:r>
            <w:proofErr w:type="spellStart"/>
            <w:r w:rsidRPr="00E378B5">
              <w:rPr>
                <w:lang w:val="en-US"/>
              </w:rPr>
              <w:t>ms</w:t>
            </w:r>
            <w:proofErr w:type="spellEnd"/>
          </w:p>
        </w:tc>
        <w:tc>
          <w:tcPr>
            <w:tcW w:w="2117" w:type="dxa"/>
          </w:tcPr>
          <w:p w14:paraId="579D09A2" w14:textId="77777777" w:rsidR="00E60406" w:rsidRPr="00E378B5" w:rsidRDefault="00E60406" w:rsidP="00831CF1">
            <w:pPr>
              <w:spacing w:line="360" w:lineRule="auto"/>
              <w:jc w:val="center"/>
              <w:rPr>
                <w:lang w:val="en-US"/>
              </w:rPr>
            </w:pPr>
            <w:r w:rsidRPr="00E378B5">
              <w:rPr>
                <w:lang w:val="en-US"/>
              </w:rPr>
              <w:t xml:space="preserve">1.31/3 </w:t>
            </w:r>
            <w:proofErr w:type="spellStart"/>
            <w:r w:rsidRPr="00E378B5">
              <w:rPr>
                <w:lang w:val="en-US"/>
              </w:rPr>
              <w:t>ms</w:t>
            </w:r>
            <w:proofErr w:type="spellEnd"/>
          </w:p>
        </w:tc>
        <w:tc>
          <w:tcPr>
            <w:tcW w:w="2883" w:type="dxa"/>
          </w:tcPr>
          <w:p w14:paraId="3E876145" w14:textId="77777777" w:rsidR="00E60406" w:rsidRPr="00E378B5" w:rsidRDefault="00E60406" w:rsidP="00831CF1">
            <w:pPr>
              <w:spacing w:line="360" w:lineRule="auto"/>
              <w:jc w:val="center"/>
              <w:rPr>
                <w:lang w:val="en-US"/>
              </w:rPr>
            </w:pPr>
            <w:r w:rsidRPr="00E378B5">
              <w:rPr>
                <w:lang w:val="en-US"/>
              </w:rPr>
              <w:t xml:space="preserve">1.35/3.4 </w:t>
            </w:r>
            <w:proofErr w:type="spellStart"/>
            <w:r w:rsidRPr="00E378B5">
              <w:rPr>
                <w:lang w:val="en-US"/>
              </w:rPr>
              <w:t>ms</w:t>
            </w:r>
            <w:proofErr w:type="spellEnd"/>
          </w:p>
        </w:tc>
      </w:tr>
      <w:tr w:rsidR="00E378B5" w:rsidRPr="00E378B5" w14:paraId="2B1F1AAC" w14:textId="77777777" w:rsidTr="00831CF1">
        <w:tc>
          <w:tcPr>
            <w:tcW w:w="3392" w:type="dxa"/>
            <w:vAlign w:val="center"/>
          </w:tcPr>
          <w:p w14:paraId="4E0BAA4C" w14:textId="77777777" w:rsidR="00E60406" w:rsidRPr="00E378B5" w:rsidRDefault="00E60406" w:rsidP="00831CF1">
            <w:pPr>
              <w:spacing w:line="360" w:lineRule="auto"/>
              <w:rPr>
                <w:b/>
                <w:bCs/>
                <w:lang w:val="en-US"/>
              </w:rPr>
            </w:pPr>
            <w:r w:rsidRPr="00E378B5">
              <w:rPr>
                <w:b/>
                <w:bCs/>
                <w:lang w:val="en-US"/>
              </w:rPr>
              <w:t>Flip angle (FA)</w:t>
            </w:r>
          </w:p>
        </w:tc>
        <w:tc>
          <w:tcPr>
            <w:tcW w:w="2116" w:type="dxa"/>
          </w:tcPr>
          <w:p w14:paraId="30910418" w14:textId="77777777" w:rsidR="00E60406" w:rsidRPr="00E378B5" w:rsidRDefault="00E60406" w:rsidP="00831CF1">
            <w:pPr>
              <w:spacing w:line="360" w:lineRule="auto"/>
              <w:jc w:val="center"/>
              <w:rPr>
                <w:lang w:val="en-US"/>
              </w:rPr>
            </w:pPr>
            <w:r w:rsidRPr="00E378B5">
              <w:rPr>
                <w:lang w:val="en-US"/>
              </w:rPr>
              <w:t>55°</w:t>
            </w:r>
          </w:p>
        </w:tc>
        <w:tc>
          <w:tcPr>
            <w:tcW w:w="2117" w:type="dxa"/>
          </w:tcPr>
          <w:p w14:paraId="4656E86E" w14:textId="77777777" w:rsidR="00E60406" w:rsidRPr="00E378B5" w:rsidRDefault="00E60406" w:rsidP="00831CF1">
            <w:pPr>
              <w:spacing w:line="360" w:lineRule="auto"/>
              <w:jc w:val="center"/>
              <w:rPr>
                <w:lang w:val="en-US"/>
              </w:rPr>
            </w:pPr>
            <w:r w:rsidRPr="00E378B5">
              <w:rPr>
                <w:lang w:val="en-US"/>
              </w:rPr>
              <w:t>70°</w:t>
            </w:r>
          </w:p>
        </w:tc>
        <w:tc>
          <w:tcPr>
            <w:tcW w:w="2117" w:type="dxa"/>
          </w:tcPr>
          <w:p w14:paraId="0F1FAA64" w14:textId="77777777" w:rsidR="00E60406" w:rsidRPr="00E378B5" w:rsidRDefault="00E60406" w:rsidP="00831CF1">
            <w:pPr>
              <w:spacing w:line="360" w:lineRule="auto"/>
              <w:jc w:val="center"/>
              <w:rPr>
                <w:lang w:val="en-US"/>
              </w:rPr>
            </w:pPr>
            <w:r w:rsidRPr="00E378B5">
              <w:rPr>
                <w:lang w:val="en-US"/>
              </w:rPr>
              <w:t>55°</w:t>
            </w:r>
          </w:p>
        </w:tc>
        <w:tc>
          <w:tcPr>
            <w:tcW w:w="2117" w:type="dxa"/>
          </w:tcPr>
          <w:p w14:paraId="4CD87D6B" w14:textId="77777777" w:rsidR="00E60406" w:rsidRPr="00E378B5" w:rsidRDefault="00E60406" w:rsidP="00831CF1">
            <w:pPr>
              <w:spacing w:line="360" w:lineRule="auto"/>
              <w:jc w:val="center"/>
              <w:rPr>
                <w:lang w:val="en-US"/>
              </w:rPr>
            </w:pPr>
            <w:r w:rsidRPr="00E378B5">
              <w:rPr>
                <w:lang w:val="en-US"/>
              </w:rPr>
              <w:t>30°</w:t>
            </w:r>
          </w:p>
        </w:tc>
        <w:tc>
          <w:tcPr>
            <w:tcW w:w="2883" w:type="dxa"/>
          </w:tcPr>
          <w:p w14:paraId="28504977" w14:textId="77777777" w:rsidR="00E60406" w:rsidRPr="00E378B5" w:rsidRDefault="00E60406" w:rsidP="00831CF1">
            <w:pPr>
              <w:spacing w:line="360" w:lineRule="auto"/>
              <w:jc w:val="center"/>
              <w:rPr>
                <w:lang w:val="en-US"/>
              </w:rPr>
            </w:pPr>
            <w:r w:rsidRPr="00E378B5">
              <w:rPr>
                <w:lang w:val="en-US"/>
              </w:rPr>
              <w:t>9°</w:t>
            </w:r>
          </w:p>
        </w:tc>
      </w:tr>
      <w:tr w:rsidR="00E378B5" w:rsidRPr="00E378B5" w14:paraId="092C1E2D" w14:textId="77777777" w:rsidTr="00831CF1">
        <w:tc>
          <w:tcPr>
            <w:tcW w:w="3392" w:type="dxa"/>
            <w:tcBorders>
              <w:bottom w:val="single" w:sz="4" w:space="0" w:color="auto"/>
            </w:tcBorders>
            <w:vAlign w:val="center"/>
          </w:tcPr>
          <w:p w14:paraId="634EF40D" w14:textId="77777777" w:rsidR="00E60406" w:rsidRPr="00E378B5" w:rsidRDefault="00E60406" w:rsidP="00831CF1">
            <w:pPr>
              <w:spacing w:line="360" w:lineRule="auto"/>
              <w:rPr>
                <w:b/>
                <w:bCs/>
                <w:lang w:val="en-US"/>
              </w:rPr>
            </w:pPr>
            <w:r w:rsidRPr="00E378B5">
              <w:rPr>
                <w:b/>
                <w:bCs/>
                <w:lang w:val="en-US"/>
              </w:rPr>
              <w:t>Acceleration</w:t>
            </w:r>
          </w:p>
        </w:tc>
        <w:tc>
          <w:tcPr>
            <w:tcW w:w="2116" w:type="dxa"/>
            <w:tcBorders>
              <w:bottom w:val="single" w:sz="4" w:space="0" w:color="auto"/>
            </w:tcBorders>
          </w:tcPr>
          <w:p w14:paraId="66F58012" w14:textId="77777777" w:rsidR="00E60406" w:rsidRPr="00E378B5" w:rsidRDefault="00E60406" w:rsidP="00831CF1">
            <w:pPr>
              <w:spacing w:line="360" w:lineRule="auto"/>
              <w:jc w:val="center"/>
              <w:rPr>
                <w:lang w:val="en-US"/>
              </w:rPr>
            </w:pPr>
            <w:r w:rsidRPr="00E378B5">
              <w:rPr>
                <w:lang w:val="en-US"/>
              </w:rPr>
              <w:t>6.1</w:t>
            </w:r>
          </w:p>
          <w:p w14:paraId="733F1B36" w14:textId="77777777" w:rsidR="00E60406" w:rsidRPr="00E378B5" w:rsidRDefault="00E60406" w:rsidP="00831CF1">
            <w:pPr>
              <w:spacing w:line="360" w:lineRule="auto"/>
              <w:jc w:val="center"/>
              <w:rPr>
                <w:lang w:val="en-US"/>
              </w:rPr>
            </w:pPr>
            <w:r w:rsidRPr="00E378B5">
              <w:rPr>
                <w:lang w:val="en-US"/>
              </w:rPr>
              <w:t>(CS)</w:t>
            </w:r>
          </w:p>
        </w:tc>
        <w:tc>
          <w:tcPr>
            <w:tcW w:w="2117" w:type="dxa"/>
            <w:tcBorders>
              <w:bottom w:val="single" w:sz="4" w:space="0" w:color="auto"/>
            </w:tcBorders>
          </w:tcPr>
          <w:p w14:paraId="5703DD4D" w14:textId="77777777" w:rsidR="00E60406" w:rsidRPr="00E378B5" w:rsidRDefault="00E60406" w:rsidP="00831CF1">
            <w:pPr>
              <w:spacing w:line="360" w:lineRule="auto"/>
              <w:jc w:val="center"/>
              <w:rPr>
                <w:lang w:val="en-US"/>
              </w:rPr>
            </w:pPr>
            <w:r w:rsidRPr="00E378B5">
              <w:rPr>
                <w:lang w:val="en-US"/>
              </w:rPr>
              <w:t xml:space="preserve">2 </w:t>
            </w:r>
          </w:p>
          <w:p w14:paraId="4A4DC863" w14:textId="77777777" w:rsidR="00E60406" w:rsidRPr="00E378B5" w:rsidRDefault="00E60406" w:rsidP="00831CF1">
            <w:pPr>
              <w:spacing w:line="360" w:lineRule="auto"/>
              <w:jc w:val="center"/>
              <w:rPr>
                <w:lang w:val="en-US"/>
              </w:rPr>
            </w:pPr>
            <w:r w:rsidRPr="00E378B5">
              <w:rPr>
                <w:lang w:val="en-US"/>
              </w:rPr>
              <w:t>(GRAPPA)</w:t>
            </w:r>
          </w:p>
        </w:tc>
        <w:tc>
          <w:tcPr>
            <w:tcW w:w="2117" w:type="dxa"/>
            <w:tcBorders>
              <w:bottom w:val="single" w:sz="4" w:space="0" w:color="auto"/>
            </w:tcBorders>
          </w:tcPr>
          <w:p w14:paraId="250D49A5" w14:textId="77777777" w:rsidR="00E60406" w:rsidRPr="00E378B5" w:rsidRDefault="00E60406" w:rsidP="00831CF1">
            <w:pPr>
              <w:spacing w:line="360" w:lineRule="auto"/>
              <w:jc w:val="center"/>
              <w:rPr>
                <w:lang w:val="en-US"/>
              </w:rPr>
            </w:pPr>
            <w:r w:rsidRPr="00E378B5">
              <w:rPr>
                <w:lang w:val="en-US"/>
              </w:rPr>
              <w:t xml:space="preserve">6.5 </w:t>
            </w:r>
          </w:p>
          <w:p w14:paraId="09CF03F4" w14:textId="77777777" w:rsidR="00E60406" w:rsidRPr="00E378B5" w:rsidRDefault="00E60406" w:rsidP="00831CF1">
            <w:pPr>
              <w:spacing w:line="360" w:lineRule="auto"/>
              <w:jc w:val="center"/>
              <w:rPr>
                <w:lang w:val="en-US"/>
              </w:rPr>
            </w:pPr>
            <w:r w:rsidRPr="00E378B5">
              <w:rPr>
                <w:lang w:val="en-US"/>
              </w:rPr>
              <w:t>(CS)</w:t>
            </w:r>
          </w:p>
        </w:tc>
        <w:tc>
          <w:tcPr>
            <w:tcW w:w="2117" w:type="dxa"/>
            <w:tcBorders>
              <w:bottom w:val="single" w:sz="4" w:space="0" w:color="auto"/>
            </w:tcBorders>
          </w:tcPr>
          <w:p w14:paraId="65D76647" w14:textId="77777777" w:rsidR="00E60406" w:rsidRPr="00E378B5" w:rsidRDefault="00E60406" w:rsidP="00831CF1">
            <w:pPr>
              <w:spacing w:line="360" w:lineRule="auto"/>
              <w:jc w:val="center"/>
              <w:rPr>
                <w:lang w:val="en-US"/>
              </w:rPr>
            </w:pPr>
            <w:r w:rsidRPr="00E378B5">
              <w:rPr>
                <w:lang w:val="en-US"/>
              </w:rPr>
              <w:t xml:space="preserve">4.2 </w:t>
            </w:r>
          </w:p>
          <w:p w14:paraId="137BAC4E" w14:textId="77777777" w:rsidR="00E60406" w:rsidRPr="00E378B5" w:rsidRDefault="00E60406" w:rsidP="00831CF1">
            <w:pPr>
              <w:spacing w:line="360" w:lineRule="auto"/>
              <w:jc w:val="center"/>
              <w:rPr>
                <w:lang w:val="en-US"/>
              </w:rPr>
            </w:pPr>
            <w:r w:rsidRPr="00E378B5">
              <w:rPr>
                <w:lang w:val="en-US"/>
              </w:rPr>
              <w:t>(CS)</w:t>
            </w:r>
          </w:p>
        </w:tc>
        <w:tc>
          <w:tcPr>
            <w:tcW w:w="2883" w:type="dxa"/>
            <w:tcBorders>
              <w:bottom w:val="single" w:sz="4" w:space="0" w:color="auto"/>
            </w:tcBorders>
          </w:tcPr>
          <w:p w14:paraId="0A8DDF24" w14:textId="77777777" w:rsidR="00E60406" w:rsidRPr="00E378B5" w:rsidRDefault="00E60406" w:rsidP="00831CF1">
            <w:pPr>
              <w:spacing w:line="360" w:lineRule="auto"/>
              <w:jc w:val="center"/>
              <w:rPr>
                <w:lang w:val="en-US"/>
              </w:rPr>
            </w:pPr>
            <w:r w:rsidRPr="00E378B5">
              <w:rPr>
                <w:lang w:val="en-US"/>
              </w:rPr>
              <w:t xml:space="preserve">2 </w:t>
            </w:r>
          </w:p>
          <w:p w14:paraId="7FB62165" w14:textId="77777777" w:rsidR="00E60406" w:rsidRPr="00E378B5" w:rsidRDefault="00E60406" w:rsidP="00831CF1">
            <w:pPr>
              <w:spacing w:line="360" w:lineRule="auto"/>
              <w:jc w:val="center"/>
              <w:rPr>
                <w:lang w:val="en-US"/>
              </w:rPr>
            </w:pPr>
            <w:r w:rsidRPr="00E378B5">
              <w:rPr>
                <w:lang w:val="en-US"/>
              </w:rPr>
              <w:t>(GRAPPA)</w:t>
            </w:r>
          </w:p>
        </w:tc>
      </w:tr>
    </w:tbl>
    <w:p w14:paraId="1A7BE9E7" w14:textId="77777777" w:rsidR="00E60406" w:rsidRPr="00E378B5" w:rsidRDefault="00E60406" w:rsidP="00EE1859">
      <w:pPr>
        <w:rPr>
          <w:bCs/>
          <w:lang w:val="en-US"/>
        </w:rPr>
      </w:pPr>
      <w:r w:rsidRPr="00E378B5">
        <w:rPr>
          <w:lang w:val="en-US"/>
        </w:rPr>
        <w:t xml:space="preserve">Abbreviations: </w:t>
      </w:r>
      <w:proofErr w:type="spellStart"/>
      <w:r w:rsidRPr="00E378B5">
        <w:rPr>
          <w:lang w:val="en-US"/>
        </w:rPr>
        <w:t>bSSFP</w:t>
      </w:r>
      <w:proofErr w:type="spellEnd"/>
      <w:r w:rsidRPr="00E378B5">
        <w:rPr>
          <w:lang w:val="en-US"/>
        </w:rPr>
        <w:t xml:space="preserve">: balanced steady-state </w:t>
      </w:r>
      <w:r w:rsidR="00831CF1" w:rsidRPr="00E378B5">
        <w:rPr>
          <w:lang w:val="en-US"/>
        </w:rPr>
        <w:t>free-</w:t>
      </w:r>
      <w:r w:rsidRPr="00E378B5">
        <w:rPr>
          <w:lang w:val="en-US"/>
        </w:rPr>
        <w:t xml:space="preserve">precession; CS: compressed-sensing; FGRE: fast gradient echo; </w:t>
      </w:r>
      <w:proofErr w:type="spellStart"/>
      <w:r w:rsidRPr="00E378B5">
        <w:rPr>
          <w:lang w:val="en-US"/>
        </w:rPr>
        <w:t>FoV</w:t>
      </w:r>
      <w:proofErr w:type="spellEnd"/>
      <w:r w:rsidRPr="00E378B5">
        <w:rPr>
          <w:lang w:val="en-US"/>
        </w:rPr>
        <w:t>: reconstructed field of view; LGE: late gadolinium enhancement; TE: echo time; TI: inversion time; TR: repetition time</w:t>
      </w:r>
      <w:r w:rsidR="00831CF1" w:rsidRPr="00E378B5">
        <w:rPr>
          <w:bCs/>
          <w:lang w:val="en-US"/>
        </w:rPr>
        <w:t>, NA: not applicable</w:t>
      </w:r>
      <w:r w:rsidR="00C20B25" w:rsidRPr="00E378B5">
        <w:rPr>
          <w:bCs/>
          <w:lang w:val="en-US"/>
        </w:rPr>
        <w:t>.</w:t>
      </w:r>
    </w:p>
    <w:p w14:paraId="1FEBE37E" w14:textId="77777777" w:rsidR="00C20B25" w:rsidRPr="00E378B5" w:rsidRDefault="00C20B25" w:rsidP="00EE1859">
      <w:pPr>
        <w:rPr>
          <w:bCs/>
          <w:lang w:val="en-US"/>
        </w:rPr>
      </w:pPr>
    </w:p>
    <w:p w14:paraId="153F0680" w14:textId="77777777" w:rsidR="00115D8A" w:rsidRPr="00E378B5" w:rsidRDefault="00115D8A" w:rsidP="003D05F4">
      <w:pPr>
        <w:spacing w:line="480" w:lineRule="auto"/>
        <w:ind w:right="866"/>
        <w:rPr>
          <w:b/>
          <w:u w:val="single"/>
          <w:lang w:val="en-US"/>
        </w:rPr>
        <w:sectPr w:rsidR="00115D8A" w:rsidRPr="00E378B5" w:rsidSect="00C20B25">
          <w:pgSz w:w="16820" w:h="11900" w:orient="landscape"/>
          <w:pgMar w:top="1417" w:right="1417" w:bottom="1417" w:left="1417" w:header="708" w:footer="708" w:gutter="0"/>
          <w:cols w:space="708"/>
          <w:docGrid w:linePitch="360"/>
        </w:sectPr>
      </w:pPr>
    </w:p>
    <w:p w14:paraId="2DE90E07" w14:textId="74831CCB" w:rsidR="00115D8A" w:rsidRPr="00E378B5" w:rsidRDefault="00115D8A" w:rsidP="00115D8A">
      <w:pPr>
        <w:spacing w:line="480" w:lineRule="auto"/>
        <w:ind w:right="866"/>
        <w:rPr>
          <w:b/>
          <w:u w:val="single"/>
          <w:lang w:val="en-US"/>
        </w:rPr>
      </w:pPr>
      <w:r w:rsidRPr="00E378B5">
        <w:rPr>
          <w:rFonts w:eastAsia="Calibri"/>
          <w:b/>
          <w:u w:val="single"/>
          <w:lang w:val="en-US" w:eastAsia="en-US"/>
        </w:rPr>
        <w:lastRenderedPageBreak/>
        <w:t xml:space="preserve">SUPPLEMENTARY FILE </w:t>
      </w:r>
      <w:r w:rsidR="00C20B25" w:rsidRPr="00E378B5">
        <w:rPr>
          <w:rFonts w:eastAsia="Calibri"/>
          <w:b/>
          <w:u w:val="single"/>
          <w:lang w:val="en-US" w:eastAsia="en-US"/>
        </w:rPr>
        <w:t>7</w:t>
      </w:r>
    </w:p>
    <w:p w14:paraId="60CBFEDA" w14:textId="156CC064" w:rsidR="00115D8A" w:rsidRPr="00E378B5" w:rsidRDefault="00115D8A" w:rsidP="00115D8A">
      <w:pPr>
        <w:spacing w:line="480" w:lineRule="auto"/>
        <w:rPr>
          <w:rFonts w:eastAsia="Calibri"/>
          <w:b/>
          <w:lang w:val="en-US" w:eastAsia="en-US"/>
        </w:rPr>
      </w:pPr>
      <w:r w:rsidRPr="00E378B5">
        <w:rPr>
          <w:rFonts w:eastAsia="Calibri"/>
          <w:b/>
          <w:lang w:val="en-US" w:eastAsia="en-US"/>
        </w:rPr>
        <w:t>Table. Clinical</w:t>
      </w:r>
      <w:r w:rsidR="000D7578" w:rsidRPr="00E378B5">
        <w:rPr>
          <w:rFonts w:eastAsia="Calibri"/>
          <w:b/>
          <w:lang w:val="en-US" w:eastAsia="en-US"/>
        </w:rPr>
        <w:t xml:space="preserve">, CCTA and stress CMR </w:t>
      </w:r>
      <w:r w:rsidRPr="00E378B5">
        <w:rPr>
          <w:rFonts w:eastAsia="Calibri"/>
          <w:b/>
          <w:lang w:val="en-US" w:eastAsia="en-US"/>
        </w:rPr>
        <w:t xml:space="preserve">variables </w:t>
      </w:r>
      <w:r w:rsidR="00D50874" w:rsidRPr="00E378B5">
        <w:rPr>
          <w:rFonts w:eastAsia="Calibri"/>
          <w:b/>
          <w:lang w:val="en-US" w:eastAsia="en-US"/>
        </w:rPr>
        <w:t xml:space="preserve">included </w:t>
      </w:r>
      <w:r w:rsidRPr="00E378B5">
        <w:rPr>
          <w:rFonts w:eastAsia="Calibri"/>
          <w:b/>
          <w:lang w:val="en-US" w:eastAsia="en-US"/>
        </w:rPr>
        <w:t>in the clustering model.</w:t>
      </w:r>
    </w:p>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0490"/>
      </w:tblGrid>
      <w:tr w:rsidR="00E378B5" w:rsidRPr="00E378B5" w14:paraId="20F21035" w14:textId="77777777" w:rsidTr="00141019">
        <w:tc>
          <w:tcPr>
            <w:tcW w:w="3964" w:type="dxa"/>
            <w:tcBorders>
              <w:top w:val="single" w:sz="4" w:space="0" w:color="auto"/>
              <w:bottom w:val="single" w:sz="4" w:space="0" w:color="auto"/>
            </w:tcBorders>
          </w:tcPr>
          <w:p w14:paraId="0CFCE902" w14:textId="77777777" w:rsidR="00115D8A" w:rsidRPr="00E378B5" w:rsidRDefault="00115D8A" w:rsidP="00141019">
            <w:pPr>
              <w:spacing w:before="80" w:after="80"/>
              <w:ind w:right="868"/>
              <w:rPr>
                <w:b/>
                <w:lang w:val="en-US"/>
              </w:rPr>
            </w:pPr>
            <w:r w:rsidRPr="00E378B5">
              <w:rPr>
                <w:b/>
                <w:lang w:val="en-US"/>
              </w:rPr>
              <w:t xml:space="preserve">Phenotypic domain </w:t>
            </w:r>
          </w:p>
        </w:tc>
        <w:tc>
          <w:tcPr>
            <w:tcW w:w="10490" w:type="dxa"/>
            <w:tcBorders>
              <w:top w:val="single" w:sz="4" w:space="0" w:color="auto"/>
              <w:bottom w:val="single" w:sz="4" w:space="0" w:color="auto"/>
            </w:tcBorders>
          </w:tcPr>
          <w:p w14:paraId="5D83B636" w14:textId="25C83BF9" w:rsidR="00115D8A" w:rsidRPr="00E378B5" w:rsidRDefault="00115D8A" w:rsidP="00141019">
            <w:pPr>
              <w:spacing w:before="80" w:after="80"/>
              <w:ind w:right="868"/>
              <w:rPr>
                <w:b/>
                <w:lang w:val="en-US"/>
              </w:rPr>
            </w:pPr>
            <w:r w:rsidRPr="00E378B5">
              <w:rPr>
                <w:b/>
                <w:lang w:val="en-US"/>
              </w:rPr>
              <w:t>Clinical</w:t>
            </w:r>
            <w:r w:rsidR="00910C2C" w:rsidRPr="00E378B5">
              <w:rPr>
                <w:b/>
                <w:lang w:val="en-US"/>
              </w:rPr>
              <w:t>, CCTA</w:t>
            </w:r>
            <w:r w:rsidRPr="00E378B5">
              <w:rPr>
                <w:b/>
                <w:lang w:val="en-US"/>
              </w:rPr>
              <w:t xml:space="preserve"> and </w:t>
            </w:r>
            <w:r w:rsidR="00945931" w:rsidRPr="00E378B5">
              <w:rPr>
                <w:b/>
                <w:lang w:val="en-US"/>
              </w:rPr>
              <w:t xml:space="preserve">stress </w:t>
            </w:r>
            <w:r w:rsidRPr="00E378B5">
              <w:rPr>
                <w:b/>
                <w:lang w:val="en-US"/>
              </w:rPr>
              <w:t xml:space="preserve">CMR variables </w:t>
            </w:r>
          </w:p>
        </w:tc>
      </w:tr>
      <w:tr w:rsidR="00E378B5" w:rsidRPr="00E378B5" w14:paraId="716512E9" w14:textId="77777777" w:rsidTr="00141019">
        <w:tc>
          <w:tcPr>
            <w:tcW w:w="3964" w:type="dxa"/>
            <w:tcBorders>
              <w:top w:val="single" w:sz="4" w:space="0" w:color="auto"/>
            </w:tcBorders>
          </w:tcPr>
          <w:p w14:paraId="01648BE3" w14:textId="77777777" w:rsidR="00115D8A" w:rsidRPr="00E378B5" w:rsidRDefault="00115D8A" w:rsidP="00141019">
            <w:pPr>
              <w:spacing w:before="100" w:line="360" w:lineRule="auto"/>
              <w:ind w:right="868"/>
              <w:rPr>
                <w:b/>
                <w:lang w:val="en-US"/>
              </w:rPr>
            </w:pPr>
            <w:r w:rsidRPr="00E378B5">
              <w:rPr>
                <w:b/>
                <w:lang w:val="en-US"/>
              </w:rPr>
              <w:t xml:space="preserve">Demographics </w:t>
            </w:r>
          </w:p>
        </w:tc>
        <w:tc>
          <w:tcPr>
            <w:tcW w:w="10490" w:type="dxa"/>
            <w:tcBorders>
              <w:top w:val="single" w:sz="4" w:space="0" w:color="auto"/>
            </w:tcBorders>
          </w:tcPr>
          <w:p w14:paraId="095733A6" w14:textId="77777777" w:rsidR="00115D8A" w:rsidRPr="00E378B5" w:rsidRDefault="00115D8A" w:rsidP="00141019">
            <w:pPr>
              <w:spacing w:before="100" w:line="360" w:lineRule="auto"/>
              <w:ind w:right="868"/>
              <w:rPr>
                <w:bCs/>
                <w:lang w:val="en-US"/>
              </w:rPr>
            </w:pPr>
            <w:r w:rsidRPr="00E378B5">
              <w:rPr>
                <w:bCs/>
                <w:lang w:val="en-US"/>
              </w:rPr>
              <w:t>Age</w:t>
            </w:r>
            <w:r w:rsidRPr="00E378B5">
              <w:rPr>
                <w:bCs/>
                <w:vertAlign w:val="superscript"/>
                <w:lang w:val="en-US"/>
              </w:rPr>
              <w:t>*</w:t>
            </w:r>
            <w:r w:rsidRPr="00E378B5">
              <w:rPr>
                <w:bCs/>
                <w:lang w:val="en-US"/>
              </w:rPr>
              <w:t>, gender</w:t>
            </w:r>
            <w:r w:rsidRPr="00E378B5">
              <w:rPr>
                <w:bCs/>
                <w:vertAlign w:val="superscript"/>
                <w:lang w:val="en-US"/>
              </w:rPr>
              <w:t>*</w:t>
            </w:r>
            <w:r w:rsidRPr="00E378B5">
              <w:rPr>
                <w:bCs/>
                <w:lang w:val="en-US"/>
              </w:rPr>
              <w:t>.</w:t>
            </w:r>
          </w:p>
        </w:tc>
      </w:tr>
      <w:tr w:rsidR="00E378B5" w:rsidRPr="00E378B5" w14:paraId="41DAEA3D" w14:textId="77777777" w:rsidTr="00141019">
        <w:tc>
          <w:tcPr>
            <w:tcW w:w="3964" w:type="dxa"/>
          </w:tcPr>
          <w:p w14:paraId="4D937569" w14:textId="77777777" w:rsidR="00115D8A" w:rsidRPr="00E378B5" w:rsidRDefault="00115D8A" w:rsidP="00141019">
            <w:pPr>
              <w:spacing w:before="120" w:line="360" w:lineRule="auto"/>
              <w:ind w:right="868"/>
              <w:rPr>
                <w:b/>
                <w:lang w:val="en-US"/>
              </w:rPr>
            </w:pPr>
            <w:r w:rsidRPr="00E378B5">
              <w:rPr>
                <w:b/>
                <w:lang w:val="en-US"/>
              </w:rPr>
              <w:t xml:space="preserve">Cardiovascular risk factors </w:t>
            </w:r>
          </w:p>
        </w:tc>
        <w:tc>
          <w:tcPr>
            <w:tcW w:w="10490" w:type="dxa"/>
          </w:tcPr>
          <w:p w14:paraId="2D0C09A6" w14:textId="081D8B15" w:rsidR="00115D8A" w:rsidRPr="00E378B5" w:rsidRDefault="00115D8A" w:rsidP="00141019">
            <w:pPr>
              <w:spacing w:before="120" w:line="360" w:lineRule="auto"/>
              <w:ind w:right="868"/>
              <w:rPr>
                <w:bCs/>
                <w:lang w:val="en-US"/>
              </w:rPr>
            </w:pPr>
            <w:r w:rsidRPr="00E378B5">
              <w:rPr>
                <w:bCs/>
                <w:lang w:val="en-US"/>
              </w:rPr>
              <w:t>Hypertension</w:t>
            </w:r>
            <w:r w:rsidRPr="00E378B5">
              <w:rPr>
                <w:bCs/>
                <w:vertAlign w:val="superscript"/>
                <w:lang w:val="en-US"/>
              </w:rPr>
              <w:t>*</w:t>
            </w:r>
            <w:r w:rsidRPr="00E378B5">
              <w:rPr>
                <w:bCs/>
                <w:lang w:val="en-US"/>
              </w:rPr>
              <w:t>, body mass index</w:t>
            </w:r>
            <w:r w:rsidRPr="00E378B5">
              <w:rPr>
                <w:bCs/>
                <w:vertAlign w:val="superscript"/>
                <w:lang w:val="en-US"/>
              </w:rPr>
              <w:t>*</w:t>
            </w:r>
            <w:r w:rsidRPr="00E378B5">
              <w:rPr>
                <w:bCs/>
                <w:lang w:val="en-US"/>
              </w:rPr>
              <w:t>, diabetes mellitus</w:t>
            </w:r>
            <w:r w:rsidRPr="00E378B5">
              <w:rPr>
                <w:bCs/>
                <w:vertAlign w:val="superscript"/>
                <w:lang w:val="en-US"/>
              </w:rPr>
              <w:t>*</w:t>
            </w:r>
            <w:r w:rsidRPr="00E378B5">
              <w:rPr>
                <w:bCs/>
                <w:lang w:val="en-US"/>
              </w:rPr>
              <w:t xml:space="preserve">, </w:t>
            </w:r>
            <w:r w:rsidR="008B74CA" w:rsidRPr="00E378B5">
              <w:rPr>
                <w:bCs/>
                <w:lang w:val="en-US"/>
              </w:rPr>
              <w:t>dyslipidemia</w:t>
            </w:r>
            <w:r w:rsidRPr="00E378B5">
              <w:rPr>
                <w:bCs/>
                <w:vertAlign w:val="superscript"/>
                <w:lang w:val="en-US"/>
              </w:rPr>
              <w:t>*</w:t>
            </w:r>
            <w:r w:rsidRPr="00E378B5">
              <w:rPr>
                <w:bCs/>
                <w:lang w:val="en-US"/>
              </w:rPr>
              <w:t>, current or previous smoking</w:t>
            </w:r>
            <w:r w:rsidRPr="00E378B5">
              <w:rPr>
                <w:bCs/>
                <w:vertAlign w:val="superscript"/>
                <w:lang w:val="en-US"/>
              </w:rPr>
              <w:t>*</w:t>
            </w:r>
            <w:r w:rsidRPr="00E378B5">
              <w:rPr>
                <w:bCs/>
                <w:lang w:val="en-US"/>
              </w:rPr>
              <w:t xml:space="preserve"> and family history of coronary artery disease</w:t>
            </w:r>
            <w:r w:rsidRPr="00E378B5">
              <w:rPr>
                <w:bCs/>
                <w:vertAlign w:val="superscript"/>
                <w:lang w:val="en-US"/>
              </w:rPr>
              <w:t>*</w:t>
            </w:r>
            <w:r w:rsidRPr="00E378B5">
              <w:rPr>
                <w:bCs/>
                <w:lang w:val="en-US"/>
              </w:rPr>
              <w:t>.</w:t>
            </w:r>
          </w:p>
        </w:tc>
      </w:tr>
      <w:tr w:rsidR="00E378B5" w:rsidRPr="00E378B5" w14:paraId="261CB6C1" w14:textId="77777777" w:rsidTr="00141019">
        <w:tc>
          <w:tcPr>
            <w:tcW w:w="3964" w:type="dxa"/>
          </w:tcPr>
          <w:p w14:paraId="06590433" w14:textId="77777777" w:rsidR="00115D8A" w:rsidRPr="00E378B5" w:rsidRDefault="00115D8A" w:rsidP="00141019">
            <w:pPr>
              <w:spacing w:before="120" w:line="360" w:lineRule="auto"/>
              <w:ind w:right="868"/>
              <w:rPr>
                <w:b/>
                <w:lang w:val="en-US"/>
              </w:rPr>
            </w:pPr>
            <w:r w:rsidRPr="00E378B5">
              <w:rPr>
                <w:b/>
                <w:lang w:val="en-US"/>
              </w:rPr>
              <w:t xml:space="preserve">Medical history </w:t>
            </w:r>
          </w:p>
        </w:tc>
        <w:tc>
          <w:tcPr>
            <w:tcW w:w="10490" w:type="dxa"/>
          </w:tcPr>
          <w:p w14:paraId="2002CA6F" w14:textId="6FE2E54D" w:rsidR="00115D8A" w:rsidRPr="00E378B5" w:rsidRDefault="002338ED" w:rsidP="00141019">
            <w:pPr>
              <w:spacing w:before="120" w:line="360" w:lineRule="auto"/>
              <w:ind w:right="868"/>
              <w:rPr>
                <w:bCs/>
                <w:lang w:val="en-US"/>
              </w:rPr>
            </w:pPr>
            <w:r w:rsidRPr="00E378B5">
              <w:rPr>
                <w:bCs/>
                <w:lang w:val="en-US"/>
              </w:rPr>
              <w:t>I</w:t>
            </w:r>
            <w:r w:rsidR="00115D8A" w:rsidRPr="00E378B5">
              <w:rPr>
                <w:bCs/>
                <w:lang w:val="en-US"/>
              </w:rPr>
              <w:t>schemic stroke, pacemaker</w:t>
            </w:r>
            <w:r w:rsidRPr="00E378B5">
              <w:rPr>
                <w:bCs/>
                <w:lang w:val="en-US"/>
              </w:rPr>
              <w:t xml:space="preserve"> and</w:t>
            </w:r>
            <w:r w:rsidR="00115D8A" w:rsidRPr="00E378B5">
              <w:rPr>
                <w:bCs/>
                <w:lang w:val="en-US"/>
              </w:rPr>
              <w:t xml:space="preserve"> peripheral atheroma disease</w:t>
            </w:r>
            <w:r w:rsidR="00115D8A" w:rsidRPr="00E378B5">
              <w:rPr>
                <w:bCs/>
                <w:vertAlign w:val="superscript"/>
                <w:lang w:val="en-US"/>
              </w:rPr>
              <w:t>*</w:t>
            </w:r>
            <w:r w:rsidRPr="00E378B5">
              <w:rPr>
                <w:bCs/>
                <w:lang w:val="en-US"/>
              </w:rPr>
              <w:t>.</w:t>
            </w:r>
            <w:r w:rsidR="00115D8A" w:rsidRPr="00E378B5">
              <w:rPr>
                <w:lang w:val="en-US"/>
              </w:rPr>
              <w:t xml:space="preserve"> </w:t>
            </w:r>
          </w:p>
        </w:tc>
      </w:tr>
      <w:tr w:rsidR="00E378B5" w:rsidRPr="00E378B5" w14:paraId="701F97C3" w14:textId="77777777" w:rsidTr="00141019">
        <w:tc>
          <w:tcPr>
            <w:tcW w:w="3964" w:type="dxa"/>
          </w:tcPr>
          <w:p w14:paraId="369BC6F5" w14:textId="77777777" w:rsidR="00115D8A" w:rsidRPr="00E378B5" w:rsidRDefault="00115D8A" w:rsidP="00141019">
            <w:pPr>
              <w:spacing w:before="120" w:line="360" w:lineRule="auto"/>
              <w:ind w:right="868"/>
              <w:rPr>
                <w:b/>
                <w:lang w:val="en-US"/>
              </w:rPr>
            </w:pPr>
            <w:r w:rsidRPr="00E378B5">
              <w:rPr>
                <w:b/>
                <w:lang w:val="en-US"/>
              </w:rPr>
              <w:t xml:space="preserve">Physical characteristics </w:t>
            </w:r>
          </w:p>
        </w:tc>
        <w:tc>
          <w:tcPr>
            <w:tcW w:w="10490" w:type="dxa"/>
          </w:tcPr>
          <w:p w14:paraId="112C6B5D" w14:textId="77777777" w:rsidR="00115D8A" w:rsidRPr="00E378B5" w:rsidRDefault="00115D8A" w:rsidP="00141019">
            <w:pPr>
              <w:spacing w:before="120" w:line="360" w:lineRule="auto"/>
              <w:ind w:right="868"/>
              <w:rPr>
                <w:bCs/>
                <w:lang w:val="en-US"/>
              </w:rPr>
            </w:pPr>
            <w:r w:rsidRPr="00E378B5">
              <w:rPr>
                <w:bCs/>
                <w:lang w:val="en-US"/>
              </w:rPr>
              <w:t>Typical symptomatic angina</w:t>
            </w:r>
            <w:r w:rsidRPr="00E378B5">
              <w:rPr>
                <w:bCs/>
                <w:vertAlign w:val="superscript"/>
                <w:lang w:val="en-US"/>
              </w:rPr>
              <w:t>*</w:t>
            </w:r>
            <w:r w:rsidRPr="00E378B5">
              <w:rPr>
                <w:bCs/>
                <w:lang w:val="en-US"/>
              </w:rPr>
              <w:t>, dyspnea on exertion</w:t>
            </w:r>
            <w:r w:rsidRPr="00E378B5">
              <w:rPr>
                <w:bCs/>
                <w:vertAlign w:val="superscript"/>
                <w:lang w:val="en-US"/>
              </w:rPr>
              <w:t>*</w:t>
            </w:r>
            <w:r w:rsidRPr="00E378B5">
              <w:rPr>
                <w:bCs/>
                <w:lang w:val="en-US"/>
              </w:rPr>
              <w:t xml:space="preserve"> and body surface area.</w:t>
            </w:r>
          </w:p>
        </w:tc>
      </w:tr>
      <w:tr w:rsidR="00E378B5" w:rsidRPr="00E378B5" w14:paraId="5858E8F9" w14:textId="77777777" w:rsidTr="00141019">
        <w:tc>
          <w:tcPr>
            <w:tcW w:w="3964" w:type="dxa"/>
          </w:tcPr>
          <w:p w14:paraId="070E10E6" w14:textId="77777777" w:rsidR="00115D8A" w:rsidRPr="00E378B5" w:rsidRDefault="00115D8A" w:rsidP="00141019">
            <w:pPr>
              <w:spacing w:before="120" w:line="360" w:lineRule="auto"/>
              <w:ind w:right="868"/>
              <w:rPr>
                <w:b/>
                <w:lang w:val="en-US"/>
              </w:rPr>
            </w:pPr>
            <w:r w:rsidRPr="00E378B5">
              <w:rPr>
                <w:b/>
                <w:lang w:val="en-US"/>
              </w:rPr>
              <w:t>Electrocardiogram</w:t>
            </w:r>
          </w:p>
        </w:tc>
        <w:tc>
          <w:tcPr>
            <w:tcW w:w="10490" w:type="dxa"/>
          </w:tcPr>
          <w:p w14:paraId="41AB012D" w14:textId="77777777" w:rsidR="00115D8A" w:rsidRPr="00E378B5" w:rsidRDefault="00115D8A" w:rsidP="00141019">
            <w:pPr>
              <w:spacing w:before="120" w:line="360" w:lineRule="auto"/>
              <w:ind w:right="868"/>
              <w:rPr>
                <w:bCs/>
                <w:lang w:val="en-US"/>
              </w:rPr>
            </w:pPr>
            <w:r w:rsidRPr="00E378B5">
              <w:rPr>
                <w:bCs/>
                <w:lang w:val="en-US"/>
              </w:rPr>
              <w:t>Heart rate, cardiac rhythm (sinus or atrial fibrillation).</w:t>
            </w:r>
          </w:p>
        </w:tc>
      </w:tr>
      <w:tr w:rsidR="00E378B5" w:rsidRPr="00E378B5" w14:paraId="5A040AFA" w14:textId="77777777" w:rsidTr="00141019">
        <w:tc>
          <w:tcPr>
            <w:tcW w:w="3964" w:type="dxa"/>
          </w:tcPr>
          <w:p w14:paraId="5D552E70" w14:textId="32F65C7A" w:rsidR="00EE403A" w:rsidRPr="00E378B5" w:rsidRDefault="00EE403A" w:rsidP="00141019">
            <w:pPr>
              <w:spacing w:before="120" w:line="360" w:lineRule="auto"/>
              <w:ind w:right="868"/>
              <w:rPr>
                <w:b/>
                <w:lang w:val="en-US"/>
              </w:rPr>
            </w:pPr>
            <w:r w:rsidRPr="00E378B5">
              <w:rPr>
                <w:b/>
                <w:lang w:val="en-US"/>
              </w:rPr>
              <w:t xml:space="preserve">CCTA parameters </w:t>
            </w:r>
          </w:p>
        </w:tc>
        <w:tc>
          <w:tcPr>
            <w:tcW w:w="10490" w:type="dxa"/>
          </w:tcPr>
          <w:p w14:paraId="3E0BDDB2" w14:textId="2333A2B0" w:rsidR="00EE403A" w:rsidRPr="00E378B5" w:rsidRDefault="00195DD0" w:rsidP="00141019">
            <w:pPr>
              <w:spacing w:before="120" w:line="360" w:lineRule="auto"/>
              <w:ind w:right="868"/>
              <w:rPr>
                <w:lang w:val="en-US"/>
              </w:rPr>
            </w:pPr>
            <w:r w:rsidRPr="00E378B5">
              <w:rPr>
                <w:lang w:val="en-US"/>
              </w:rPr>
              <w:t>No. of segments with any plaque or stenosis, with stenosis &gt;50%, and with stenosis &gt;70%.</w:t>
            </w:r>
          </w:p>
          <w:p w14:paraId="322BB9DD" w14:textId="6EDCE763" w:rsidR="00195DD0" w:rsidRPr="00E378B5" w:rsidRDefault="00195DD0" w:rsidP="00141019">
            <w:pPr>
              <w:spacing w:before="120" w:line="360" w:lineRule="auto"/>
              <w:ind w:right="868"/>
              <w:rPr>
                <w:lang w:val="en-US"/>
              </w:rPr>
            </w:pPr>
            <w:r w:rsidRPr="00E378B5">
              <w:rPr>
                <w:lang w:val="en-US"/>
              </w:rPr>
              <w:t>No. of proximal segments with stenosis &gt;50%</w:t>
            </w:r>
            <w:r w:rsidR="00C7329C" w:rsidRPr="00E378B5">
              <w:rPr>
                <w:bCs/>
                <w:vertAlign w:val="superscript"/>
                <w:lang w:val="en-US"/>
              </w:rPr>
              <w:t>*</w:t>
            </w:r>
            <w:r w:rsidRPr="00E378B5">
              <w:rPr>
                <w:lang w:val="en-US"/>
              </w:rPr>
              <w:t xml:space="preserve"> and with stenosis &gt;70%.</w:t>
            </w:r>
          </w:p>
          <w:p w14:paraId="25193245" w14:textId="2BA5B22F" w:rsidR="00195DD0" w:rsidRPr="00E378B5" w:rsidRDefault="00195DD0" w:rsidP="00141019">
            <w:pPr>
              <w:spacing w:before="120" w:line="360" w:lineRule="auto"/>
              <w:ind w:right="868"/>
              <w:rPr>
                <w:lang w:val="en-US"/>
              </w:rPr>
            </w:pPr>
            <w:r w:rsidRPr="00E378B5">
              <w:rPr>
                <w:lang w:val="en-US"/>
              </w:rPr>
              <w:t>No. of segments with non-calcified plaques</w:t>
            </w:r>
            <w:r w:rsidR="00C7329C" w:rsidRPr="00E378B5">
              <w:rPr>
                <w:bCs/>
                <w:vertAlign w:val="superscript"/>
                <w:lang w:val="en-US"/>
              </w:rPr>
              <w:t>*</w:t>
            </w:r>
            <w:r w:rsidRPr="00E378B5">
              <w:rPr>
                <w:lang w:val="en-US"/>
              </w:rPr>
              <w:t>, with mixed plaques, with calcified plaques and with calcified or mixed plaques.</w:t>
            </w:r>
          </w:p>
          <w:p w14:paraId="27E36770" w14:textId="1FB45311" w:rsidR="002F7549" w:rsidRPr="00E378B5" w:rsidRDefault="002F7549" w:rsidP="00141019">
            <w:pPr>
              <w:spacing w:before="120" w:line="360" w:lineRule="auto"/>
              <w:ind w:right="868"/>
              <w:rPr>
                <w:bCs/>
                <w:lang w:val="en-US"/>
              </w:rPr>
            </w:pPr>
            <w:r w:rsidRPr="00E378B5">
              <w:rPr>
                <w:lang w:val="en-US"/>
              </w:rPr>
              <w:t>Number of vessels with obstructive CAD.</w:t>
            </w:r>
          </w:p>
        </w:tc>
      </w:tr>
      <w:tr w:rsidR="00E378B5" w:rsidRPr="00E378B5" w14:paraId="4C70747C" w14:textId="77777777" w:rsidTr="00141019">
        <w:tc>
          <w:tcPr>
            <w:tcW w:w="3964" w:type="dxa"/>
          </w:tcPr>
          <w:p w14:paraId="65EE7930" w14:textId="1B7C616F" w:rsidR="00115D8A" w:rsidRPr="00E378B5" w:rsidRDefault="00945931" w:rsidP="00141019">
            <w:pPr>
              <w:spacing w:before="120" w:line="360" w:lineRule="auto"/>
              <w:ind w:right="868"/>
              <w:rPr>
                <w:b/>
                <w:lang w:val="en-US"/>
              </w:rPr>
            </w:pPr>
            <w:r w:rsidRPr="00E378B5">
              <w:rPr>
                <w:b/>
                <w:lang w:val="en-US"/>
              </w:rPr>
              <w:t xml:space="preserve">Stress </w:t>
            </w:r>
            <w:r w:rsidR="00115D8A" w:rsidRPr="00E378B5">
              <w:rPr>
                <w:b/>
                <w:lang w:val="en-US"/>
              </w:rPr>
              <w:t xml:space="preserve">CMR parameters </w:t>
            </w:r>
          </w:p>
        </w:tc>
        <w:tc>
          <w:tcPr>
            <w:tcW w:w="10490" w:type="dxa"/>
          </w:tcPr>
          <w:p w14:paraId="08AC1363" w14:textId="3076C211" w:rsidR="00115D8A" w:rsidRPr="00E378B5" w:rsidRDefault="00115D8A" w:rsidP="00141019">
            <w:pPr>
              <w:spacing w:before="120" w:line="360" w:lineRule="auto"/>
              <w:ind w:right="868"/>
              <w:rPr>
                <w:bCs/>
                <w:lang w:val="en-US"/>
              </w:rPr>
            </w:pPr>
            <w:r w:rsidRPr="00E378B5">
              <w:rPr>
                <w:bCs/>
                <w:lang w:val="en-US"/>
              </w:rPr>
              <w:t>LV mass index, LV end-diastolic volume index</w:t>
            </w:r>
            <w:r w:rsidRPr="00E378B5">
              <w:rPr>
                <w:bCs/>
                <w:vertAlign w:val="superscript"/>
                <w:lang w:val="en-US"/>
              </w:rPr>
              <w:t>*</w:t>
            </w:r>
            <w:r w:rsidRPr="00E378B5">
              <w:rPr>
                <w:bCs/>
                <w:lang w:val="en-US"/>
              </w:rPr>
              <w:t>, LV end-systolic volume index, LV ejection volume index, LV ejection fraction</w:t>
            </w:r>
            <w:r w:rsidRPr="00E378B5">
              <w:rPr>
                <w:bCs/>
                <w:vertAlign w:val="superscript"/>
                <w:lang w:val="en-US"/>
              </w:rPr>
              <w:t>*</w:t>
            </w:r>
            <w:r w:rsidRPr="00E378B5">
              <w:rPr>
                <w:bCs/>
                <w:lang w:val="en-US"/>
              </w:rPr>
              <w:t>, presence of LGE</w:t>
            </w:r>
            <w:r w:rsidRPr="00E378B5">
              <w:rPr>
                <w:bCs/>
                <w:vertAlign w:val="superscript"/>
                <w:lang w:val="en-US"/>
              </w:rPr>
              <w:t>*</w:t>
            </w:r>
            <w:r w:rsidRPr="00E378B5">
              <w:rPr>
                <w:bCs/>
                <w:lang w:val="en-US"/>
              </w:rPr>
              <w:t xml:space="preserve">, presence of viability, </w:t>
            </w:r>
            <w:r w:rsidR="00E17803" w:rsidRPr="00E378B5">
              <w:rPr>
                <w:bCs/>
                <w:lang w:val="en-US"/>
              </w:rPr>
              <w:t xml:space="preserve">presence of inducible ischemia, </w:t>
            </w:r>
            <w:r w:rsidRPr="00E378B5">
              <w:rPr>
                <w:bCs/>
                <w:lang w:val="en-US"/>
              </w:rPr>
              <w:t>RV end-diastolic volume index, RV end-systolic volume index and RV ejection fraction.</w:t>
            </w:r>
          </w:p>
        </w:tc>
      </w:tr>
      <w:tr w:rsidR="00115D8A" w:rsidRPr="00E378B5" w14:paraId="5773A0C1" w14:textId="77777777" w:rsidTr="00141019">
        <w:tc>
          <w:tcPr>
            <w:tcW w:w="3964" w:type="dxa"/>
            <w:tcBorders>
              <w:bottom w:val="single" w:sz="4" w:space="0" w:color="auto"/>
            </w:tcBorders>
          </w:tcPr>
          <w:p w14:paraId="1131A9BE" w14:textId="77777777" w:rsidR="00115D8A" w:rsidRPr="00E378B5" w:rsidRDefault="00115D8A" w:rsidP="00141019">
            <w:pPr>
              <w:spacing w:line="360" w:lineRule="auto"/>
              <w:ind w:right="866"/>
              <w:rPr>
                <w:bCs/>
                <w:sz w:val="10"/>
                <w:szCs w:val="10"/>
                <w:lang w:val="en-US"/>
              </w:rPr>
            </w:pPr>
          </w:p>
        </w:tc>
        <w:tc>
          <w:tcPr>
            <w:tcW w:w="10490" w:type="dxa"/>
            <w:tcBorders>
              <w:bottom w:val="single" w:sz="4" w:space="0" w:color="auto"/>
            </w:tcBorders>
          </w:tcPr>
          <w:p w14:paraId="394998B1" w14:textId="77777777" w:rsidR="00115D8A" w:rsidRPr="00E378B5" w:rsidRDefault="00115D8A" w:rsidP="00141019">
            <w:pPr>
              <w:spacing w:line="360" w:lineRule="auto"/>
              <w:ind w:right="866"/>
              <w:rPr>
                <w:bCs/>
                <w:sz w:val="10"/>
                <w:szCs w:val="10"/>
                <w:lang w:val="en-US"/>
              </w:rPr>
            </w:pPr>
          </w:p>
        </w:tc>
      </w:tr>
    </w:tbl>
    <w:p w14:paraId="09EAFFE2" w14:textId="77777777" w:rsidR="00115D8A" w:rsidRPr="00E378B5" w:rsidRDefault="00115D8A" w:rsidP="00115D8A">
      <w:pPr>
        <w:spacing w:line="480" w:lineRule="auto"/>
        <w:ind w:right="866"/>
        <w:rPr>
          <w:rFonts w:eastAsia="Calibri"/>
          <w:bCs/>
          <w:lang w:val="en-US" w:eastAsia="en-US"/>
        </w:rPr>
      </w:pPr>
    </w:p>
    <w:p w14:paraId="17672692" w14:textId="77777777" w:rsidR="00115D8A" w:rsidRPr="00E378B5" w:rsidRDefault="00115D8A" w:rsidP="00115D8A">
      <w:pPr>
        <w:spacing w:line="480" w:lineRule="auto"/>
        <w:ind w:right="866"/>
        <w:rPr>
          <w:rFonts w:eastAsia="Calibri"/>
          <w:bCs/>
          <w:lang w:val="en-US" w:eastAsia="en-US"/>
        </w:rPr>
      </w:pPr>
      <w:r w:rsidRPr="00E378B5">
        <w:rPr>
          <w:rFonts w:eastAsia="Calibri"/>
          <w:bCs/>
          <w:lang w:val="en-US" w:eastAsia="en-US"/>
        </w:rPr>
        <w:t>* Clinical and CMR variables used in the clustering model.</w:t>
      </w:r>
    </w:p>
    <w:p w14:paraId="6B3F5B9E" w14:textId="77777777" w:rsidR="00115D8A" w:rsidRPr="00E378B5" w:rsidRDefault="00115D8A" w:rsidP="00115D8A">
      <w:pPr>
        <w:spacing w:line="480" w:lineRule="auto"/>
        <w:rPr>
          <w:bCs/>
          <w:i/>
          <w:iCs/>
          <w:lang w:val="en-US"/>
        </w:rPr>
        <w:sectPr w:rsidR="00115D8A" w:rsidRPr="00E378B5" w:rsidSect="00E60406">
          <w:pgSz w:w="16820" w:h="11900" w:orient="landscape"/>
          <w:pgMar w:top="1417" w:right="1417" w:bottom="1417" w:left="1417" w:header="708" w:footer="708" w:gutter="0"/>
          <w:cols w:space="708"/>
          <w:docGrid w:linePitch="360"/>
        </w:sectPr>
      </w:pPr>
      <w:r w:rsidRPr="00E378B5">
        <w:rPr>
          <w:bCs/>
          <w:i/>
          <w:iCs/>
          <w:u w:val="single"/>
          <w:lang w:val="en-US"/>
        </w:rPr>
        <w:t>Abbreviations</w:t>
      </w:r>
      <w:r w:rsidRPr="00E378B5">
        <w:rPr>
          <w:bCs/>
          <w:i/>
          <w:iCs/>
          <w:lang w:val="en-US"/>
        </w:rPr>
        <w:t>: CMR: cardiovascular magnetic resonance; LV: left ventricular; RV: right ventricular.</w:t>
      </w:r>
    </w:p>
    <w:p w14:paraId="78AABF85" w14:textId="15F04AC1" w:rsidR="00115D8A" w:rsidRPr="00E378B5" w:rsidRDefault="00115D8A" w:rsidP="00115D8A">
      <w:pPr>
        <w:spacing w:line="480" w:lineRule="auto"/>
        <w:ind w:right="866"/>
        <w:rPr>
          <w:b/>
          <w:u w:val="single"/>
          <w:lang w:val="en-US"/>
        </w:rPr>
      </w:pPr>
      <w:r w:rsidRPr="00E378B5">
        <w:rPr>
          <w:rFonts w:eastAsia="Calibri"/>
          <w:b/>
          <w:u w:val="single"/>
          <w:lang w:val="en-US" w:eastAsia="en-US"/>
        </w:rPr>
        <w:lastRenderedPageBreak/>
        <w:t xml:space="preserve">SUPPLEMENTARY FILE </w:t>
      </w:r>
      <w:r w:rsidR="00C20B25" w:rsidRPr="00E378B5">
        <w:rPr>
          <w:b/>
          <w:u w:val="single"/>
          <w:lang w:val="en-US"/>
        </w:rPr>
        <w:t>8</w:t>
      </w:r>
    </w:p>
    <w:p w14:paraId="49824CB9" w14:textId="77777777" w:rsidR="00115D8A" w:rsidRPr="00E378B5" w:rsidRDefault="00115D8A" w:rsidP="00115D8A">
      <w:pPr>
        <w:spacing w:line="480" w:lineRule="auto"/>
        <w:ind w:right="866"/>
        <w:rPr>
          <w:lang w:val="en-US"/>
        </w:rPr>
      </w:pPr>
      <w:r w:rsidRPr="00E378B5">
        <w:rPr>
          <w:b/>
          <w:bCs/>
          <w:lang w:val="en-US"/>
        </w:rPr>
        <w:t xml:space="preserve">Cluster analysis methods. </w:t>
      </w:r>
    </w:p>
    <w:p w14:paraId="26C63558" w14:textId="77777777" w:rsidR="00115D8A" w:rsidRPr="00E378B5" w:rsidRDefault="00115D8A" w:rsidP="00115D8A">
      <w:pPr>
        <w:spacing w:line="480" w:lineRule="auto"/>
        <w:jc w:val="both"/>
        <w:rPr>
          <w:b/>
          <w:bCs/>
          <w:i/>
          <w:iCs/>
          <w:lang w:val="en-US"/>
        </w:rPr>
      </w:pPr>
      <w:r w:rsidRPr="00E378B5">
        <w:rPr>
          <w:b/>
          <w:bCs/>
          <w:i/>
          <w:iCs/>
          <w:lang w:val="en-US"/>
        </w:rPr>
        <w:t>Data processing</w:t>
      </w:r>
    </w:p>
    <w:p w14:paraId="1CF9262C" w14:textId="034ADE50" w:rsidR="00115D8A" w:rsidRPr="00E378B5" w:rsidRDefault="00115D8A" w:rsidP="00A5276D">
      <w:pPr>
        <w:tabs>
          <w:tab w:val="left" w:pos="567"/>
          <w:tab w:val="left" w:pos="709"/>
        </w:tabs>
        <w:spacing w:line="480" w:lineRule="auto"/>
        <w:rPr>
          <w:rFonts w:eastAsiaTheme="minorEastAsia"/>
          <w:lang w:val="en-US"/>
        </w:rPr>
      </w:pPr>
      <w:proofErr w:type="spellStart"/>
      <w:r w:rsidRPr="00E378B5">
        <w:rPr>
          <w:bCs/>
          <w:lang w:val="en-US"/>
        </w:rPr>
        <w:t>Phenogroups</w:t>
      </w:r>
      <w:proofErr w:type="spellEnd"/>
      <w:r w:rsidRPr="00E378B5">
        <w:rPr>
          <w:bCs/>
          <w:lang w:val="en-US"/>
        </w:rPr>
        <w:t xml:space="preserve"> were defined based on </w:t>
      </w:r>
      <w:r w:rsidR="00A5276D" w:rsidRPr="00E378B5">
        <w:rPr>
          <w:bCs/>
          <w:lang w:val="en-US"/>
        </w:rPr>
        <w:t>17 categorical variables</w:t>
      </w:r>
      <w:r w:rsidRPr="00E378B5">
        <w:rPr>
          <w:bCs/>
          <w:lang w:val="en-US"/>
        </w:rPr>
        <w:t xml:space="preserve">, among baseline, clinical </w:t>
      </w:r>
      <w:r w:rsidR="00A5276D" w:rsidRPr="00E378B5">
        <w:rPr>
          <w:bCs/>
          <w:lang w:val="en-US"/>
        </w:rPr>
        <w:t xml:space="preserve">CCTA </w:t>
      </w:r>
      <w:r w:rsidRPr="00E378B5">
        <w:rPr>
          <w:bCs/>
          <w:lang w:val="en-US"/>
        </w:rPr>
        <w:t xml:space="preserve">and </w:t>
      </w:r>
      <w:r w:rsidR="00A5276D" w:rsidRPr="00E378B5">
        <w:rPr>
          <w:bCs/>
          <w:lang w:val="en-US"/>
        </w:rPr>
        <w:t xml:space="preserve">stress </w:t>
      </w:r>
      <w:r w:rsidRPr="00E378B5">
        <w:rPr>
          <w:bCs/>
          <w:lang w:val="en-US"/>
        </w:rPr>
        <w:t xml:space="preserve">CMR </w:t>
      </w:r>
      <w:r w:rsidR="00A5276D" w:rsidRPr="00E378B5">
        <w:rPr>
          <w:bCs/>
          <w:lang w:val="en-US"/>
        </w:rPr>
        <w:t>findings</w:t>
      </w:r>
      <w:r w:rsidRPr="00E378B5">
        <w:rPr>
          <w:bCs/>
          <w:lang w:val="en-US"/>
        </w:rPr>
        <w:t>:</w:t>
      </w:r>
      <w:r w:rsidR="00A5276D" w:rsidRPr="00E378B5">
        <w:rPr>
          <w:bCs/>
          <w:lang w:val="en-US"/>
        </w:rPr>
        <w:t xml:space="preserve"> </w:t>
      </w:r>
      <w:r w:rsidR="00A5276D" w:rsidRPr="00E378B5">
        <w:rPr>
          <w:rFonts w:eastAsiaTheme="minorEastAsia"/>
          <w:lang w:val="en-US"/>
        </w:rPr>
        <w:t xml:space="preserve">age, gender, obesity (body mass index ≥30 kg/m²), </w:t>
      </w:r>
      <w:proofErr w:type="spellStart"/>
      <w:r w:rsidR="008B74CA" w:rsidRPr="00E378B5">
        <w:rPr>
          <w:rFonts w:eastAsiaTheme="minorEastAsia"/>
          <w:lang w:val="en-US"/>
        </w:rPr>
        <w:t>dyslipidaemia</w:t>
      </w:r>
      <w:proofErr w:type="spellEnd"/>
      <w:r w:rsidR="00A5276D" w:rsidRPr="00E378B5">
        <w:rPr>
          <w:rFonts w:eastAsiaTheme="minorEastAsia"/>
          <w:lang w:val="en-US"/>
        </w:rPr>
        <w:t>, diabetes mellitus, hypertension, current or former smoker, family history of CAD, presence of typical angina, dyspnea on exertion, presence of atrial fibrillation (AF) on 12-lead ECG, history of peripheral arterial disease (PAD) defined by revascularization interventions involving the peripheral arterial circulation,</w:t>
      </w:r>
      <w:r w:rsidR="00A5276D" w:rsidRPr="00E378B5">
        <w:rPr>
          <w:rFonts w:eastAsiaTheme="minorEastAsia"/>
          <w:lang w:val="en-US"/>
        </w:rPr>
        <w:fldChar w:fldCharType="begin"/>
      </w:r>
      <w:r w:rsidR="00A5276D" w:rsidRPr="00E378B5">
        <w:rPr>
          <w:rFonts w:eastAsiaTheme="minorEastAsia"/>
          <w:lang w:val="en-US"/>
        </w:rPr>
        <w:instrText xml:space="preserve"> ADDIN ZOTERO_ITEM CSL_CITATION {"citationID":"QpijABhu","properties":{"formattedCitation":"\\super 11\\nosupersub{}","plainCitation":"11","noteIndex":0},"citationItems":[{"id":2255,"uris":["http://zotero.org/users/local/zNDbpfKM/items/PY3WCPLU"],"uri":["http://zotero.org/users/local/zNDbpfKM/items/PY3WCPLU"],"itemData":{"id":2255,"type":"article-journal","container-title":"Journal of the American College of Cardiology","DOI":"10.1016/j.jacc.2014.12.018","ISSN":"07351097","issue":"4","journalAbbreviation":"Journal of the American College of Cardiology","language":"en","page":"403-469","source":"DOI.org (Crossref)","title":"2014 ACC/AHA Key Data Elements and Definitions for Cardiovascular Endpoint Events in Clinical Trials","volume":"66","author":[{"family":"Hicks","given":"Karen A."},{"family":"Tcheng","given":"James E."},{"family":"Bozkurt","given":"Biykem"},{"family":"Chaitman","given":"Bernard R."},{"family":"Cutlip","given":"Donald E."},{"family":"Farb","given":"Andrew"},{"family":"Fonarow","given":"Gregg C."},{"family":"Jacobs","given":"Jeffrey P."},{"family":"Jaff","given":"Michael R."},{"family":"Lichtman","given":"Judith H."},{"family":"Limacher","given":"Marian C."},{"family":"Mahaffey","given":"Kenneth W."},{"family":"Mehran","given":"Roxana"},{"family":"Nissen","given":"Steven E."},{"family":"Smith","given":"Eric E."},{"family":"Targum","given":"Shari L."}],"issued":{"date-parts":[["2015",7]]}}}],"schema":"https://github.com/citation-style-language/schema/raw/master/csl-citation.json"} </w:instrText>
      </w:r>
      <w:r w:rsidR="00A5276D" w:rsidRPr="00E378B5">
        <w:rPr>
          <w:rFonts w:eastAsiaTheme="minorEastAsia"/>
          <w:lang w:val="en-US"/>
        </w:rPr>
        <w:fldChar w:fldCharType="separate"/>
      </w:r>
      <w:r w:rsidR="00A5276D" w:rsidRPr="00E378B5">
        <w:rPr>
          <w:vertAlign w:val="superscript"/>
          <w:lang w:val="en-US"/>
        </w:rPr>
        <w:t>11</w:t>
      </w:r>
      <w:r w:rsidR="00A5276D" w:rsidRPr="00E378B5">
        <w:rPr>
          <w:rFonts w:eastAsiaTheme="minorEastAsia"/>
          <w:lang w:val="en-US"/>
        </w:rPr>
        <w:fldChar w:fldCharType="end"/>
      </w:r>
      <w:r w:rsidR="00A5276D" w:rsidRPr="00E378B5">
        <w:rPr>
          <w:rFonts w:eastAsiaTheme="minorEastAsia"/>
          <w:lang w:val="en-US"/>
        </w:rPr>
        <w:t xml:space="preserve"> presence of LV dilatation defined by LV end-diastolic volume indexed (</w:t>
      </w:r>
      <w:proofErr w:type="spellStart"/>
      <w:r w:rsidR="00A5276D" w:rsidRPr="00E378B5">
        <w:rPr>
          <w:rFonts w:eastAsiaTheme="minorEastAsia"/>
          <w:lang w:val="en-US"/>
        </w:rPr>
        <w:t>LVEDVi</w:t>
      </w:r>
      <w:proofErr w:type="spellEnd"/>
      <w:r w:rsidR="00A5276D" w:rsidRPr="00E378B5">
        <w:rPr>
          <w:rFonts w:eastAsiaTheme="minorEastAsia"/>
          <w:lang w:val="en-US"/>
        </w:rPr>
        <w:t xml:space="preserve"> &gt;100 mL/m²),</w:t>
      </w:r>
      <w:r w:rsidR="00A5276D" w:rsidRPr="00E378B5">
        <w:rPr>
          <w:rFonts w:eastAsiaTheme="minorEastAsia"/>
          <w:lang w:val="en-US"/>
        </w:rPr>
        <w:fldChar w:fldCharType="begin"/>
      </w:r>
      <w:r w:rsidR="00A5276D" w:rsidRPr="00E378B5">
        <w:rPr>
          <w:rFonts w:eastAsiaTheme="minorEastAsia"/>
          <w:lang w:val="en-US"/>
        </w:rPr>
        <w:instrText xml:space="preserve"> ADDIN ZOTERO_ITEM CSL_CITATION {"citationID":"RAgcXFEH","properties":{"formattedCitation":"\\super 28\\nosupersub{}","plainCitation":"28","noteIndex":0},"citationItems":[{"id":3918,"uris":["http://zotero.org/users/local/zNDbpfKM/items/LVSFKNCV"],"uri":["http://zotero.org/users/local/zNDbpfKM/items/LVSFKNCV"],"itemData":{"id":3918,"type":"article-journal","abstract":"We used state of the art CMR to define ranges for normal left ventricular volumes and systolic/diastolic function normalized to the influence of gender, body surface area and age. New CMR normalized ranges were modeled and displayed in graphical form for clinical use, with normalization for body surface area, gender, and age. The determination of normality, or the severity of abnormality, depends on the use of the appropriate reference ranges normalized to all 3 variables. These novel data have particular importance for clinical practice and clinical trials using CMR.","container-title":"Journal of Cardiovascular Magnetic Resonance: Official Journal of the Society for Cardiovascular Magnetic Resonance","DOI":"10.1080/10976640600572889","ISSN":"1097-6647","issue":"3","journalAbbreviation":"J Cardiovasc Magn Reson","language":"eng","note":"PMID: 16755827","page":"417-426","source":"PubMed","title":"Normalized left ventricular systolic and diastolic function by steady state free precession cardiovascular magnetic resonance","volume":"8","author":[{"family":"Maceira","given":"A. M."},{"family":"Prasad","given":"S. K."},{"family":"Khan","given":"M."},{"family":"Pennell","given":"D. J."}],"issued":{"date-parts":[["2006"]]}}}],"schema":"https://github.com/citation-style-language/schema/raw/master/csl-citation.json"} </w:instrText>
      </w:r>
      <w:r w:rsidR="00A5276D" w:rsidRPr="00E378B5">
        <w:rPr>
          <w:rFonts w:eastAsiaTheme="minorEastAsia"/>
          <w:lang w:val="en-US"/>
        </w:rPr>
        <w:fldChar w:fldCharType="separate"/>
      </w:r>
      <w:r w:rsidR="00A5276D" w:rsidRPr="00E378B5">
        <w:rPr>
          <w:vertAlign w:val="superscript"/>
          <w:lang w:val="en-US"/>
        </w:rPr>
        <w:t>28</w:t>
      </w:r>
      <w:r w:rsidR="00A5276D" w:rsidRPr="00E378B5">
        <w:rPr>
          <w:rFonts w:eastAsiaTheme="minorEastAsia"/>
          <w:lang w:val="en-US"/>
        </w:rPr>
        <w:fldChar w:fldCharType="end"/>
      </w:r>
      <w:r w:rsidR="00A5276D" w:rsidRPr="00E378B5">
        <w:rPr>
          <w:rFonts w:eastAsiaTheme="minorEastAsia"/>
          <w:lang w:val="en-US"/>
        </w:rPr>
        <w:t xml:space="preserve"> presence of LV systolic dysfunction defined by LV ejection fraction (LVEF) value &lt;50%,</w:t>
      </w:r>
      <w:r w:rsidR="00A5276D" w:rsidRPr="00E378B5">
        <w:rPr>
          <w:rFonts w:eastAsiaTheme="minorEastAsia"/>
          <w:lang w:val="en-US"/>
        </w:rPr>
        <w:fldChar w:fldCharType="begin"/>
      </w:r>
      <w:r w:rsidR="00A5276D" w:rsidRPr="00E378B5">
        <w:rPr>
          <w:rFonts w:eastAsiaTheme="minorEastAsia"/>
          <w:lang w:val="en-US"/>
        </w:rPr>
        <w:instrText xml:space="preserve"> ADDIN ZOTERO_ITEM CSL_CITATION {"citationID":"N91inbei","properties":{"formattedCitation":"\\super 28\\nosupersub{}","plainCitation":"28","noteIndex":0},"citationItems":[{"id":3918,"uris":["http://zotero.org/users/local/zNDbpfKM/items/LVSFKNCV"],"uri":["http://zotero.org/users/local/zNDbpfKM/items/LVSFKNCV"],"itemData":{"id":3918,"type":"article-journal","abstract":"We used state of the art CMR to define ranges for normal left ventricular volumes and systolic/diastolic function normalized to the influence of gender, body surface area and age. New CMR normalized ranges were modeled and displayed in graphical form for clinical use, with normalization for body surface area, gender, and age. The determination of normality, or the severity of abnormality, depends on the use of the appropriate reference ranges normalized to all 3 variables. These novel data have particular importance for clinical practice and clinical trials using CMR.","container-title":"Journal of Cardiovascular Magnetic Resonance: Official Journal of the Society for Cardiovascular Magnetic Resonance","DOI":"10.1080/10976640600572889","ISSN":"1097-6647","issue":"3","journalAbbreviation":"J Cardiovasc Magn Reson","language":"eng","note":"PMID: 16755827","page":"417-426","source":"PubMed","title":"Normalized left ventricular systolic and diastolic function by steady state free precession cardiovascular magnetic resonance","volume":"8","author":[{"family":"Maceira","given":"A. M."},{"family":"Prasad","given":"S. K."},{"family":"Khan","given":"M."},{"family":"Pennell","given":"D. J."}],"issued":{"date-parts":[["2006"]]}}}],"schema":"https://github.com/citation-style-language/schema/raw/master/csl-citation.json"} </w:instrText>
      </w:r>
      <w:r w:rsidR="00A5276D" w:rsidRPr="00E378B5">
        <w:rPr>
          <w:rFonts w:eastAsiaTheme="minorEastAsia"/>
          <w:lang w:val="en-US"/>
        </w:rPr>
        <w:fldChar w:fldCharType="separate"/>
      </w:r>
      <w:r w:rsidR="00A5276D" w:rsidRPr="00E378B5">
        <w:rPr>
          <w:vertAlign w:val="superscript"/>
          <w:lang w:val="en-US"/>
        </w:rPr>
        <w:t>28</w:t>
      </w:r>
      <w:r w:rsidR="00A5276D" w:rsidRPr="00E378B5">
        <w:rPr>
          <w:rFonts w:eastAsiaTheme="minorEastAsia"/>
          <w:lang w:val="en-US"/>
        </w:rPr>
        <w:fldChar w:fldCharType="end"/>
      </w:r>
      <w:r w:rsidR="00A5276D" w:rsidRPr="00E378B5">
        <w:rPr>
          <w:rFonts w:eastAsiaTheme="minorEastAsia"/>
          <w:lang w:val="en-US"/>
        </w:rPr>
        <w:t xml:space="preserve"> ≥ 1 proximal segment with stenosis &gt;50%, rate of segments with </w:t>
      </w:r>
      <w:r w:rsidR="00F40C0A" w:rsidRPr="00E378B5">
        <w:rPr>
          <w:rFonts w:eastAsiaTheme="minorEastAsia"/>
          <w:lang w:val="en-US"/>
        </w:rPr>
        <w:t>non-</w:t>
      </w:r>
      <w:r w:rsidR="00A5276D" w:rsidRPr="00E378B5">
        <w:rPr>
          <w:rFonts w:eastAsiaTheme="minorEastAsia"/>
          <w:lang w:val="en-US"/>
        </w:rPr>
        <w:t>calcified plaques ≥ 50%, the presence of LGE,</w:t>
      </w:r>
      <w:r w:rsidR="00A5276D" w:rsidRPr="00E378B5">
        <w:rPr>
          <w:bCs/>
          <w:lang w:val="en-US"/>
        </w:rPr>
        <w:t xml:space="preserve"> and the presence of inducible </w:t>
      </w:r>
      <w:r w:rsidR="008B74CA" w:rsidRPr="00E378B5">
        <w:rPr>
          <w:bCs/>
          <w:lang w:val="en-US"/>
        </w:rPr>
        <w:t>ischemia</w:t>
      </w:r>
      <w:r w:rsidR="00A5276D" w:rsidRPr="00E378B5">
        <w:rPr>
          <w:bCs/>
          <w:lang w:val="en-US"/>
        </w:rPr>
        <w:t>.</w:t>
      </w:r>
    </w:p>
    <w:p w14:paraId="1D3A181D" w14:textId="77777777" w:rsidR="00115D8A" w:rsidRPr="00E378B5" w:rsidRDefault="00115D8A" w:rsidP="00115D8A">
      <w:pPr>
        <w:tabs>
          <w:tab w:val="left" w:pos="567"/>
          <w:tab w:val="left" w:pos="709"/>
        </w:tabs>
        <w:spacing w:line="480" w:lineRule="auto"/>
        <w:jc w:val="both"/>
        <w:rPr>
          <w:bCs/>
          <w:lang w:val="en-US"/>
        </w:rPr>
      </w:pPr>
    </w:p>
    <w:p w14:paraId="58BBD7DE" w14:textId="77777777" w:rsidR="00115D8A" w:rsidRPr="00E378B5" w:rsidRDefault="00115D8A" w:rsidP="00115D8A">
      <w:pPr>
        <w:spacing w:line="480" w:lineRule="auto"/>
        <w:jc w:val="both"/>
        <w:rPr>
          <w:b/>
          <w:bCs/>
          <w:i/>
          <w:iCs/>
          <w:lang w:val="en-US"/>
        </w:rPr>
      </w:pPr>
      <w:bookmarkStart w:id="0" w:name="_Hlk46149062"/>
      <w:r w:rsidRPr="00E378B5">
        <w:rPr>
          <w:b/>
          <w:bCs/>
          <w:i/>
          <w:iCs/>
          <w:lang w:val="en-US"/>
        </w:rPr>
        <w:t xml:space="preserve">Unsupervised machine learning methods to define </w:t>
      </w:r>
      <w:proofErr w:type="spellStart"/>
      <w:r w:rsidRPr="00E378B5">
        <w:rPr>
          <w:b/>
          <w:bCs/>
          <w:i/>
          <w:iCs/>
          <w:lang w:val="en-US"/>
        </w:rPr>
        <w:t>phenogroups</w:t>
      </w:r>
      <w:proofErr w:type="spellEnd"/>
    </w:p>
    <w:p w14:paraId="3955367E" w14:textId="6C0CA899" w:rsidR="00115D8A" w:rsidRPr="00E378B5" w:rsidRDefault="00115D8A" w:rsidP="00115D8A">
      <w:pPr>
        <w:spacing w:line="480" w:lineRule="auto"/>
        <w:jc w:val="both"/>
        <w:rPr>
          <w:lang w:val="en-US"/>
        </w:rPr>
      </w:pPr>
      <w:bookmarkStart w:id="1" w:name="_Hlk46149071"/>
      <w:bookmarkEnd w:id="0"/>
      <w:r w:rsidRPr="00E378B5">
        <w:rPr>
          <w:lang w:val="en-US"/>
        </w:rPr>
        <w:t xml:space="preserve">We used the </w:t>
      </w:r>
      <w:proofErr w:type="spellStart"/>
      <w:r w:rsidRPr="00E378B5">
        <w:rPr>
          <w:lang w:val="en-US"/>
        </w:rPr>
        <w:t>optCluster</w:t>
      </w:r>
      <w:proofErr w:type="spellEnd"/>
      <w:r w:rsidRPr="00E378B5">
        <w:rPr>
          <w:lang w:val="en-US"/>
        </w:rPr>
        <w:t xml:space="preserve"> package to determine the optimal clustering method. The </w:t>
      </w:r>
      <w:proofErr w:type="spellStart"/>
      <w:r w:rsidRPr="00E378B5">
        <w:rPr>
          <w:lang w:val="en-US"/>
        </w:rPr>
        <w:t>optCluster</w:t>
      </w:r>
      <w:proofErr w:type="spellEnd"/>
      <w:r w:rsidRPr="00E378B5">
        <w:rPr>
          <w:lang w:val="en-US"/>
        </w:rPr>
        <w:t xml:space="preserve"> results indicated the </w:t>
      </w:r>
      <w:proofErr w:type="spellStart"/>
      <w:r w:rsidRPr="00E378B5">
        <w:rPr>
          <w:lang w:val="en-US"/>
        </w:rPr>
        <w:t>diana</w:t>
      </w:r>
      <w:proofErr w:type="spellEnd"/>
      <w:r w:rsidRPr="00E378B5">
        <w:rPr>
          <w:lang w:val="en-US"/>
        </w:rPr>
        <w:t xml:space="preserve"> method as the most robust on validation parameters. All other clustering methods were overall quite similar in performance. </w:t>
      </w:r>
      <w:bookmarkEnd w:id="1"/>
      <w:r w:rsidRPr="00E378B5">
        <w:rPr>
          <w:lang w:val="en-US"/>
        </w:rPr>
        <w:t xml:space="preserve">Phenotypic clusters were defined using an unsupervised hierarchical clustering of principal components (HCPC) approach. </w:t>
      </w:r>
      <w:r w:rsidRPr="00E378B5">
        <w:rPr>
          <w:bCs/>
          <w:lang w:val="en-US"/>
        </w:rPr>
        <w:t xml:space="preserve">Indeed, we used the </w:t>
      </w:r>
      <w:proofErr w:type="spellStart"/>
      <w:r w:rsidRPr="00E378B5">
        <w:rPr>
          <w:bCs/>
          <w:lang w:val="en-US"/>
        </w:rPr>
        <w:t>FactoMineR</w:t>
      </w:r>
      <w:proofErr w:type="spellEnd"/>
      <w:r w:rsidRPr="00E378B5">
        <w:rPr>
          <w:bCs/>
          <w:lang w:val="en-US"/>
        </w:rPr>
        <w:t xml:space="preserve"> package using two steps: a Multiple Correspondence Analysis (MCA), by which principles components were obtained, following by a hierarchical clustering analysis (using Euclidean distance measures).</w:t>
      </w:r>
      <w:r w:rsidRPr="00E378B5">
        <w:rPr>
          <w:lang w:val="en-US"/>
        </w:rPr>
        <w:t xml:space="preserve"> </w:t>
      </w:r>
    </w:p>
    <w:p w14:paraId="15184742" w14:textId="77777777" w:rsidR="00115D8A" w:rsidRPr="00E378B5" w:rsidRDefault="00115D8A" w:rsidP="00115D8A">
      <w:pPr>
        <w:spacing w:line="480" w:lineRule="auto"/>
        <w:jc w:val="both"/>
        <w:rPr>
          <w:lang w:val="en-US"/>
        </w:rPr>
      </w:pPr>
      <w:r w:rsidRPr="00E378B5">
        <w:rPr>
          <w:lang w:val="en-US"/>
        </w:rPr>
        <w:t xml:space="preserve">The optimal number of </w:t>
      </w:r>
      <w:proofErr w:type="spellStart"/>
      <w:r w:rsidRPr="00E378B5">
        <w:rPr>
          <w:lang w:val="en-US"/>
        </w:rPr>
        <w:t>phenogroups</w:t>
      </w:r>
      <w:proofErr w:type="spellEnd"/>
      <w:r w:rsidRPr="00E378B5">
        <w:rPr>
          <w:lang w:val="en-US"/>
        </w:rPr>
        <w:t xml:space="preserve"> was determined based on the gain in within-inertia (inside group variance), the shape of the dendrogram tree and using the </w:t>
      </w:r>
      <w:proofErr w:type="spellStart"/>
      <w:r w:rsidRPr="00E378B5">
        <w:rPr>
          <w:lang w:val="en-US"/>
        </w:rPr>
        <w:t>Nbclust</w:t>
      </w:r>
      <w:proofErr w:type="spellEnd"/>
      <w:r w:rsidRPr="00E378B5">
        <w:rPr>
          <w:lang w:val="en-US"/>
        </w:rPr>
        <w:t xml:space="preserve"> package. After cutting </w:t>
      </w:r>
      <w:r w:rsidRPr="00E378B5">
        <w:rPr>
          <w:lang w:val="en-US"/>
        </w:rPr>
        <w:lastRenderedPageBreak/>
        <w:t>the tree to the desired number of clusters, a k-means consolidation was performed to increase the robustness of the created clusters, which is included in the HCPC method by default.</w:t>
      </w:r>
    </w:p>
    <w:p w14:paraId="5F726D64" w14:textId="77777777" w:rsidR="00115D8A" w:rsidRPr="00E378B5" w:rsidRDefault="00115D8A" w:rsidP="00115D8A">
      <w:pPr>
        <w:spacing w:line="480" w:lineRule="auto"/>
        <w:jc w:val="both"/>
        <w:rPr>
          <w:b/>
          <w:bCs/>
          <w:i/>
          <w:iCs/>
          <w:lang w:val="en-US"/>
        </w:rPr>
      </w:pPr>
    </w:p>
    <w:p w14:paraId="70D9C8C3" w14:textId="77777777" w:rsidR="00115D8A" w:rsidRPr="00E378B5" w:rsidRDefault="00115D8A" w:rsidP="00115D8A">
      <w:pPr>
        <w:spacing w:line="480" w:lineRule="auto"/>
        <w:ind w:right="866"/>
        <w:rPr>
          <w:b/>
          <w:u w:val="single"/>
          <w:lang w:val="en-US"/>
        </w:rPr>
      </w:pPr>
    </w:p>
    <w:p w14:paraId="5795AAC8" w14:textId="77777777" w:rsidR="00C20B25" w:rsidRPr="00E378B5" w:rsidRDefault="00C20B25" w:rsidP="00115D8A">
      <w:pPr>
        <w:spacing w:line="480" w:lineRule="auto"/>
        <w:ind w:right="866"/>
        <w:rPr>
          <w:b/>
          <w:u w:val="single"/>
          <w:lang w:val="en-US"/>
        </w:rPr>
      </w:pPr>
    </w:p>
    <w:p w14:paraId="6FEF8603" w14:textId="77777777" w:rsidR="00C20B25" w:rsidRPr="00E378B5" w:rsidRDefault="00C20B25" w:rsidP="00115D8A">
      <w:pPr>
        <w:spacing w:line="480" w:lineRule="auto"/>
        <w:ind w:right="866"/>
        <w:rPr>
          <w:b/>
          <w:u w:val="single"/>
          <w:lang w:val="en-US"/>
        </w:rPr>
      </w:pPr>
    </w:p>
    <w:p w14:paraId="6EEABE00" w14:textId="77777777" w:rsidR="00C20B25" w:rsidRPr="00E378B5" w:rsidRDefault="00C20B25" w:rsidP="00C20B25">
      <w:pPr>
        <w:spacing w:line="480" w:lineRule="auto"/>
        <w:ind w:right="866"/>
        <w:rPr>
          <w:rFonts w:eastAsia="Calibri"/>
          <w:b/>
          <w:u w:val="single"/>
          <w:lang w:val="en-US" w:eastAsia="en-US"/>
        </w:rPr>
        <w:sectPr w:rsidR="00C20B25" w:rsidRPr="00E378B5" w:rsidSect="004D0F01">
          <w:pgSz w:w="11900" w:h="16840"/>
          <w:pgMar w:top="1417" w:right="1417" w:bottom="1417" w:left="1417" w:header="708" w:footer="708" w:gutter="0"/>
          <w:cols w:space="708"/>
          <w:docGrid w:linePitch="360"/>
        </w:sectPr>
      </w:pPr>
    </w:p>
    <w:p w14:paraId="52F50378" w14:textId="525DAE0B" w:rsidR="00C20B25" w:rsidRPr="00E378B5" w:rsidRDefault="00C20B25" w:rsidP="00C20B25">
      <w:pPr>
        <w:spacing w:line="480" w:lineRule="auto"/>
        <w:ind w:right="866"/>
        <w:rPr>
          <w:b/>
          <w:u w:val="single"/>
          <w:lang w:val="en-US"/>
        </w:rPr>
      </w:pPr>
      <w:r w:rsidRPr="00E378B5">
        <w:rPr>
          <w:rFonts w:eastAsia="Calibri"/>
          <w:b/>
          <w:u w:val="single"/>
          <w:lang w:val="en-US" w:eastAsia="en-US"/>
        </w:rPr>
        <w:lastRenderedPageBreak/>
        <w:t xml:space="preserve">SUPPLEMENTAL MATERIAL </w:t>
      </w:r>
      <w:r w:rsidRPr="00E378B5">
        <w:rPr>
          <w:b/>
          <w:u w:val="single"/>
          <w:lang w:val="en-US"/>
        </w:rPr>
        <w:t>9</w:t>
      </w:r>
    </w:p>
    <w:p w14:paraId="7DB9713B" w14:textId="77777777" w:rsidR="006E55B1" w:rsidRPr="00E378B5" w:rsidRDefault="006E55B1" w:rsidP="006E55B1">
      <w:pPr>
        <w:widowControl w:val="0"/>
        <w:autoSpaceDE w:val="0"/>
        <w:autoSpaceDN w:val="0"/>
        <w:adjustRightInd w:val="0"/>
        <w:spacing w:line="480" w:lineRule="auto"/>
        <w:rPr>
          <w:b/>
          <w:bCs/>
          <w:lang w:val="en-US"/>
        </w:rPr>
      </w:pPr>
      <w:r w:rsidRPr="00E378B5">
        <w:rPr>
          <w:b/>
          <w:bCs/>
          <w:lang w:val="en-US"/>
        </w:rPr>
        <w:t xml:space="preserve">Stress CMR safety results </w:t>
      </w:r>
    </w:p>
    <w:p w14:paraId="0DE5C086" w14:textId="2FB94C7A" w:rsidR="00155A1A" w:rsidRPr="00E378B5" w:rsidRDefault="00155A1A" w:rsidP="00155A1A">
      <w:pPr>
        <w:widowControl w:val="0"/>
        <w:autoSpaceDE w:val="0"/>
        <w:autoSpaceDN w:val="0"/>
        <w:adjustRightInd w:val="0"/>
        <w:spacing w:line="480" w:lineRule="auto"/>
        <w:rPr>
          <w:lang w:val="en-US"/>
        </w:rPr>
      </w:pPr>
      <w:r w:rsidRPr="00E378B5">
        <w:rPr>
          <w:lang w:val="en-US"/>
        </w:rPr>
        <w:t>There were 16 cases of unstable angina and 2 acute pulmonary edemas, but no transient ischemic attack, disabling stroke, ST elevation MI or sustained ventricular tachycardia were recorded in relation to stress CMR. Among the 2,210 patients who completed the stress CMR protocol, the main adverse events during or immediately after the study were: 289 headaches (13.1%), 209 nausea or vomiting (9.4%), 131 chest discomfort due to dipyridamole (5.9%), 78 dizziness (3.5%) and 38 anginas with ECG evidence of myocardial ischemia (1.7%). For all patients, symptoms resolved quickly with intravenous theophylline and additional sublingual nitrates and/or intravenous betablockers in 28 patients (1.3%).</w:t>
      </w:r>
    </w:p>
    <w:p w14:paraId="5E0273F2" w14:textId="77777777" w:rsidR="00C85EFD" w:rsidRPr="00E378B5" w:rsidRDefault="00C85EFD" w:rsidP="00115D8A">
      <w:pPr>
        <w:spacing w:line="480" w:lineRule="auto"/>
        <w:ind w:right="866"/>
        <w:rPr>
          <w:b/>
          <w:u w:val="single"/>
          <w:lang w:val="en-US"/>
        </w:rPr>
        <w:sectPr w:rsidR="00C85EFD" w:rsidRPr="00E378B5" w:rsidSect="004D0F01">
          <w:pgSz w:w="11900" w:h="16840"/>
          <w:pgMar w:top="1417" w:right="1417" w:bottom="1417" w:left="1417" w:header="708" w:footer="708" w:gutter="0"/>
          <w:cols w:space="708"/>
          <w:docGrid w:linePitch="360"/>
        </w:sectPr>
      </w:pPr>
    </w:p>
    <w:p w14:paraId="1F26F0E5" w14:textId="77777777" w:rsidR="00C85EFD" w:rsidRPr="00E378B5" w:rsidRDefault="00C85EFD" w:rsidP="00C85EFD">
      <w:pPr>
        <w:spacing w:line="360" w:lineRule="auto"/>
        <w:ind w:right="866"/>
        <w:rPr>
          <w:b/>
          <w:lang w:val="en-US"/>
        </w:rPr>
      </w:pPr>
      <w:r w:rsidRPr="00E378B5">
        <w:rPr>
          <w:rFonts w:eastAsia="Calibri"/>
          <w:b/>
          <w:u w:val="single"/>
          <w:lang w:val="en-US" w:eastAsia="en-US"/>
        </w:rPr>
        <w:lastRenderedPageBreak/>
        <w:t>SUPPLEMENTARY FILE 10</w:t>
      </w:r>
    </w:p>
    <w:p w14:paraId="33F43CD6" w14:textId="77777777" w:rsidR="00C85EFD" w:rsidRPr="00E378B5" w:rsidRDefault="00C85EFD" w:rsidP="00C85EFD">
      <w:pPr>
        <w:spacing w:after="120"/>
        <w:ind w:right="868"/>
        <w:rPr>
          <w:b/>
          <w:lang w:val="en-US"/>
        </w:rPr>
      </w:pPr>
      <w:r w:rsidRPr="00E378B5">
        <w:rPr>
          <w:b/>
          <w:lang w:val="en-US"/>
        </w:rPr>
        <w:t>Table. Baseline Clinical characteristics and Outcomes of patients inducible ischemia according to the presence of obstructive CAD as defined by ICA.</w:t>
      </w:r>
    </w:p>
    <w:tbl>
      <w:tblPr>
        <w:tblW w:w="12475" w:type="dxa"/>
        <w:tblCellMar>
          <w:left w:w="70" w:type="dxa"/>
          <w:right w:w="70" w:type="dxa"/>
        </w:tblCellMar>
        <w:tblLook w:val="04A0" w:firstRow="1" w:lastRow="0" w:firstColumn="1" w:lastColumn="0" w:noHBand="0" w:noVBand="1"/>
      </w:tblPr>
      <w:tblGrid>
        <w:gridCol w:w="4395"/>
        <w:gridCol w:w="3450"/>
        <w:gridCol w:w="3260"/>
        <w:gridCol w:w="1370"/>
      </w:tblGrid>
      <w:tr w:rsidR="00E378B5" w:rsidRPr="00E378B5" w14:paraId="359945F3" w14:textId="77777777" w:rsidTr="00983CB7">
        <w:trPr>
          <w:trHeight w:val="960"/>
        </w:trPr>
        <w:tc>
          <w:tcPr>
            <w:tcW w:w="4395" w:type="dxa"/>
            <w:tcBorders>
              <w:top w:val="single" w:sz="4" w:space="0" w:color="auto"/>
              <w:left w:val="nil"/>
              <w:bottom w:val="single" w:sz="4" w:space="0" w:color="auto"/>
              <w:right w:val="nil"/>
            </w:tcBorders>
            <w:shd w:val="clear" w:color="auto" w:fill="auto"/>
            <w:noWrap/>
            <w:vAlign w:val="bottom"/>
            <w:hideMark/>
          </w:tcPr>
          <w:p w14:paraId="3BCEA7B2" w14:textId="77777777" w:rsidR="00C85EFD" w:rsidRPr="00E378B5" w:rsidRDefault="00C85EFD" w:rsidP="00983CB7">
            <w:pPr>
              <w:rPr>
                <w:sz w:val="22"/>
                <w:szCs w:val="22"/>
                <w:lang w:val="en-US"/>
              </w:rPr>
            </w:pPr>
            <w:r w:rsidRPr="00E378B5">
              <w:rPr>
                <w:sz w:val="22"/>
                <w:szCs w:val="22"/>
                <w:lang w:val="en-US"/>
              </w:rPr>
              <w:t> </w:t>
            </w:r>
          </w:p>
        </w:tc>
        <w:tc>
          <w:tcPr>
            <w:tcW w:w="3450" w:type="dxa"/>
            <w:tcBorders>
              <w:top w:val="single" w:sz="4" w:space="0" w:color="auto"/>
              <w:left w:val="nil"/>
              <w:bottom w:val="single" w:sz="4" w:space="0" w:color="auto"/>
              <w:right w:val="nil"/>
            </w:tcBorders>
            <w:shd w:val="clear" w:color="auto" w:fill="auto"/>
            <w:vAlign w:val="center"/>
            <w:hideMark/>
          </w:tcPr>
          <w:p w14:paraId="02043C39" w14:textId="77777777" w:rsidR="00C85EFD" w:rsidRPr="00E378B5" w:rsidRDefault="00C85EFD" w:rsidP="00983CB7">
            <w:pPr>
              <w:jc w:val="center"/>
              <w:rPr>
                <w:b/>
                <w:bCs/>
                <w:lang w:val="en-US"/>
              </w:rPr>
            </w:pPr>
            <w:r w:rsidRPr="00E378B5">
              <w:rPr>
                <w:b/>
                <w:lang w:val="en-US"/>
              </w:rPr>
              <w:t>Ischemia with obstructive CAD as defined by ICA</w:t>
            </w:r>
          </w:p>
          <w:p w14:paraId="7787010A" w14:textId="77777777" w:rsidR="00C85EFD" w:rsidRPr="00E378B5" w:rsidRDefault="00C85EFD" w:rsidP="00983CB7">
            <w:pPr>
              <w:jc w:val="center"/>
              <w:rPr>
                <w:b/>
                <w:bCs/>
                <w:lang w:val="en-US"/>
              </w:rPr>
            </w:pPr>
            <w:r w:rsidRPr="00E378B5">
              <w:rPr>
                <w:b/>
                <w:bCs/>
                <w:lang w:val="en-US"/>
              </w:rPr>
              <w:t>(N=250)</w:t>
            </w:r>
          </w:p>
        </w:tc>
        <w:tc>
          <w:tcPr>
            <w:tcW w:w="3260" w:type="dxa"/>
            <w:tcBorders>
              <w:top w:val="single" w:sz="4" w:space="0" w:color="auto"/>
              <w:left w:val="nil"/>
              <w:bottom w:val="single" w:sz="4" w:space="0" w:color="auto"/>
              <w:right w:val="nil"/>
            </w:tcBorders>
            <w:shd w:val="clear" w:color="auto" w:fill="auto"/>
            <w:vAlign w:val="center"/>
            <w:hideMark/>
          </w:tcPr>
          <w:p w14:paraId="113FCE88" w14:textId="77777777" w:rsidR="00C85EFD" w:rsidRPr="00E378B5" w:rsidRDefault="00C85EFD" w:rsidP="00983CB7">
            <w:pPr>
              <w:jc w:val="center"/>
              <w:rPr>
                <w:b/>
                <w:bCs/>
                <w:lang w:val="en-US"/>
              </w:rPr>
            </w:pPr>
            <w:r w:rsidRPr="00E378B5">
              <w:rPr>
                <w:b/>
                <w:lang w:val="en-US"/>
              </w:rPr>
              <w:t>Ischemia without obstructive CAD as defined by ICA</w:t>
            </w:r>
            <w:r w:rsidRPr="00E378B5">
              <w:rPr>
                <w:b/>
                <w:bCs/>
                <w:lang w:val="en-US"/>
              </w:rPr>
              <w:t xml:space="preserve"> (N=37)</w:t>
            </w:r>
          </w:p>
        </w:tc>
        <w:tc>
          <w:tcPr>
            <w:tcW w:w="1370" w:type="dxa"/>
            <w:tcBorders>
              <w:top w:val="single" w:sz="4" w:space="0" w:color="auto"/>
              <w:left w:val="nil"/>
              <w:bottom w:val="single" w:sz="4" w:space="0" w:color="auto"/>
              <w:right w:val="nil"/>
            </w:tcBorders>
            <w:shd w:val="clear" w:color="auto" w:fill="auto"/>
            <w:vAlign w:val="center"/>
            <w:hideMark/>
          </w:tcPr>
          <w:p w14:paraId="57E2DF31" w14:textId="77777777" w:rsidR="00C85EFD" w:rsidRPr="00E378B5" w:rsidRDefault="00C85EFD" w:rsidP="00983CB7">
            <w:pPr>
              <w:jc w:val="center"/>
              <w:rPr>
                <w:b/>
                <w:bCs/>
                <w:lang w:val="en-US"/>
              </w:rPr>
            </w:pPr>
            <w:r w:rsidRPr="00E378B5">
              <w:rPr>
                <w:b/>
                <w:bCs/>
                <w:lang w:val="en-US"/>
              </w:rPr>
              <w:t>p value</w:t>
            </w:r>
          </w:p>
        </w:tc>
      </w:tr>
      <w:tr w:rsidR="00E378B5" w:rsidRPr="00E378B5" w14:paraId="3E989739" w14:textId="77777777" w:rsidTr="00983CB7">
        <w:trPr>
          <w:trHeight w:val="58"/>
        </w:trPr>
        <w:tc>
          <w:tcPr>
            <w:tcW w:w="4395" w:type="dxa"/>
            <w:tcBorders>
              <w:top w:val="nil"/>
              <w:left w:val="nil"/>
              <w:bottom w:val="nil"/>
              <w:right w:val="nil"/>
            </w:tcBorders>
            <w:shd w:val="clear" w:color="auto" w:fill="auto"/>
            <w:noWrap/>
            <w:vAlign w:val="bottom"/>
          </w:tcPr>
          <w:p w14:paraId="541D4B60" w14:textId="77777777" w:rsidR="00C85EFD" w:rsidRPr="00E378B5" w:rsidRDefault="00C85EFD" w:rsidP="00983CB7">
            <w:pPr>
              <w:rPr>
                <w:sz w:val="8"/>
                <w:szCs w:val="8"/>
                <w:lang w:val="en-US"/>
              </w:rPr>
            </w:pPr>
          </w:p>
        </w:tc>
        <w:tc>
          <w:tcPr>
            <w:tcW w:w="3450" w:type="dxa"/>
            <w:tcBorders>
              <w:top w:val="nil"/>
              <w:left w:val="nil"/>
              <w:bottom w:val="nil"/>
              <w:right w:val="nil"/>
            </w:tcBorders>
            <w:shd w:val="clear" w:color="auto" w:fill="auto"/>
            <w:noWrap/>
            <w:vAlign w:val="center"/>
          </w:tcPr>
          <w:p w14:paraId="02E18263" w14:textId="77777777" w:rsidR="00C85EFD" w:rsidRPr="00E378B5" w:rsidRDefault="00C85EFD" w:rsidP="00983CB7">
            <w:pPr>
              <w:jc w:val="center"/>
              <w:rPr>
                <w:sz w:val="8"/>
                <w:szCs w:val="8"/>
                <w:lang w:val="en-US"/>
              </w:rPr>
            </w:pPr>
          </w:p>
        </w:tc>
        <w:tc>
          <w:tcPr>
            <w:tcW w:w="3260" w:type="dxa"/>
            <w:tcBorders>
              <w:top w:val="nil"/>
              <w:left w:val="nil"/>
              <w:bottom w:val="nil"/>
              <w:right w:val="nil"/>
            </w:tcBorders>
            <w:shd w:val="clear" w:color="auto" w:fill="auto"/>
            <w:noWrap/>
            <w:vAlign w:val="center"/>
          </w:tcPr>
          <w:p w14:paraId="2053C1A5" w14:textId="77777777" w:rsidR="00C85EFD" w:rsidRPr="00E378B5" w:rsidRDefault="00C85EFD" w:rsidP="00983CB7">
            <w:pPr>
              <w:jc w:val="center"/>
              <w:rPr>
                <w:sz w:val="8"/>
                <w:szCs w:val="8"/>
                <w:lang w:val="en-US"/>
              </w:rPr>
            </w:pPr>
          </w:p>
        </w:tc>
        <w:tc>
          <w:tcPr>
            <w:tcW w:w="1370" w:type="dxa"/>
            <w:tcBorders>
              <w:top w:val="nil"/>
              <w:left w:val="nil"/>
              <w:bottom w:val="nil"/>
              <w:right w:val="nil"/>
            </w:tcBorders>
            <w:shd w:val="clear" w:color="auto" w:fill="auto"/>
            <w:noWrap/>
            <w:vAlign w:val="bottom"/>
          </w:tcPr>
          <w:p w14:paraId="48389AD4" w14:textId="77777777" w:rsidR="00C85EFD" w:rsidRPr="00E378B5" w:rsidRDefault="00C85EFD" w:rsidP="00983CB7">
            <w:pPr>
              <w:jc w:val="center"/>
              <w:rPr>
                <w:sz w:val="8"/>
                <w:szCs w:val="8"/>
                <w:lang w:val="en-US"/>
              </w:rPr>
            </w:pPr>
          </w:p>
        </w:tc>
      </w:tr>
      <w:tr w:rsidR="00E378B5" w:rsidRPr="00E378B5" w14:paraId="5155EE94" w14:textId="77777777" w:rsidTr="00983CB7">
        <w:trPr>
          <w:trHeight w:val="300"/>
        </w:trPr>
        <w:tc>
          <w:tcPr>
            <w:tcW w:w="4395" w:type="dxa"/>
            <w:tcBorders>
              <w:top w:val="nil"/>
              <w:left w:val="nil"/>
              <w:bottom w:val="nil"/>
              <w:right w:val="nil"/>
            </w:tcBorders>
            <w:shd w:val="clear" w:color="auto" w:fill="auto"/>
            <w:noWrap/>
            <w:vAlign w:val="bottom"/>
            <w:hideMark/>
          </w:tcPr>
          <w:p w14:paraId="7EEE483C" w14:textId="77777777" w:rsidR="00C85EFD" w:rsidRPr="00E378B5" w:rsidRDefault="00C85EFD" w:rsidP="00983CB7">
            <w:pPr>
              <w:rPr>
                <w:lang w:val="en-US"/>
              </w:rPr>
            </w:pPr>
            <w:r w:rsidRPr="00E378B5">
              <w:rPr>
                <w:lang w:val="en-US"/>
              </w:rPr>
              <w:t>Age, years</w:t>
            </w:r>
          </w:p>
        </w:tc>
        <w:tc>
          <w:tcPr>
            <w:tcW w:w="3450" w:type="dxa"/>
            <w:tcBorders>
              <w:top w:val="nil"/>
              <w:left w:val="nil"/>
              <w:bottom w:val="nil"/>
              <w:right w:val="nil"/>
            </w:tcBorders>
            <w:shd w:val="clear" w:color="auto" w:fill="auto"/>
            <w:noWrap/>
            <w:vAlign w:val="center"/>
            <w:hideMark/>
          </w:tcPr>
          <w:p w14:paraId="16562088" w14:textId="77777777" w:rsidR="00C85EFD" w:rsidRPr="00E378B5" w:rsidRDefault="00C85EFD" w:rsidP="00983CB7">
            <w:pPr>
              <w:jc w:val="center"/>
              <w:rPr>
                <w:lang w:val="en-US"/>
              </w:rPr>
            </w:pPr>
            <w:r w:rsidRPr="00E378B5">
              <w:t>72.0 ± 11.5</w:t>
            </w:r>
          </w:p>
        </w:tc>
        <w:tc>
          <w:tcPr>
            <w:tcW w:w="3260" w:type="dxa"/>
            <w:tcBorders>
              <w:top w:val="nil"/>
              <w:left w:val="nil"/>
              <w:bottom w:val="nil"/>
              <w:right w:val="nil"/>
            </w:tcBorders>
            <w:shd w:val="clear" w:color="auto" w:fill="auto"/>
            <w:noWrap/>
            <w:vAlign w:val="center"/>
            <w:hideMark/>
          </w:tcPr>
          <w:p w14:paraId="012AC944" w14:textId="77777777" w:rsidR="00C85EFD" w:rsidRPr="00E378B5" w:rsidRDefault="00C85EFD" w:rsidP="00983CB7">
            <w:pPr>
              <w:jc w:val="center"/>
              <w:rPr>
                <w:lang w:val="en-US"/>
              </w:rPr>
            </w:pPr>
            <w:r w:rsidRPr="00E378B5">
              <w:t>72.3 ± 11.0</w:t>
            </w:r>
          </w:p>
        </w:tc>
        <w:tc>
          <w:tcPr>
            <w:tcW w:w="1370" w:type="dxa"/>
            <w:tcBorders>
              <w:top w:val="nil"/>
              <w:left w:val="nil"/>
              <w:bottom w:val="nil"/>
              <w:right w:val="nil"/>
            </w:tcBorders>
            <w:shd w:val="clear" w:color="auto" w:fill="auto"/>
            <w:noWrap/>
            <w:vAlign w:val="bottom"/>
            <w:hideMark/>
          </w:tcPr>
          <w:p w14:paraId="6177F098" w14:textId="77777777" w:rsidR="00C85EFD" w:rsidRPr="00E378B5" w:rsidRDefault="00C85EFD" w:rsidP="00983CB7">
            <w:pPr>
              <w:jc w:val="center"/>
              <w:rPr>
                <w:b/>
                <w:bCs/>
                <w:lang w:val="en-US"/>
              </w:rPr>
            </w:pPr>
            <w:r w:rsidRPr="00E378B5">
              <w:t>0.57</w:t>
            </w:r>
          </w:p>
        </w:tc>
      </w:tr>
      <w:tr w:rsidR="00E378B5" w:rsidRPr="00E378B5" w14:paraId="7A0B34A2" w14:textId="77777777" w:rsidTr="00983CB7">
        <w:trPr>
          <w:trHeight w:val="300"/>
        </w:trPr>
        <w:tc>
          <w:tcPr>
            <w:tcW w:w="4395" w:type="dxa"/>
            <w:tcBorders>
              <w:top w:val="nil"/>
              <w:left w:val="nil"/>
              <w:bottom w:val="nil"/>
              <w:right w:val="nil"/>
            </w:tcBorders>
            <w:shd w:val="clear" w:color="auto" w:fill="auto"/>
            <w:noWrap/>
            <w:vAlign w:val="bottom"/>
          </w:tcPr>
          <w:p w14:paraId="68AE96A1" w14:textId="77777777" w:rsidR="00C85EFD" w:rsidRPr="00E378B5" w:rsidRDefault="00C85EFD" w:rsidP="00983CB7">
            <w:pPr>
              <w:rPr>
                <w:lang w:val="en-US"/>
              </w:rPr>
            </w:pPr>
            <w:r w:rsidRPr="00E378B5">
              <w:rPr>
                <w:lang w:val="en-US"/>
              </w:rPr>
              <w:t>Males, n (%)</w:t>
            </w:r>
          </w:p>
        </w:tc>
        <w:tc>
          <w:tcPr>
            <w:tcW w:w="3450" w:type="dxa"/>
            <w:tcBorders>
              <w:top w:val="nil"/>
              <w:left w:val="nil"/>
              <w:bottom w:val="nil"/>
              <w:right w:val="nil"/>
            </w:tcBorders>
            <w:shd w:val="clear" w:color="auto" w:fill="auto"/>
            <w:noWrap/>
            <w:vAlign w:val="center"/>
          </w:tcPr>
          <w:p w14:paraId="0CD589CA" w14:textId="77777777" w:rsidR="00C85EFD" w:rsidRPr="00E378B5" w:rsidRDefault="00C85EFD" w:rsidP="00983CB7">
            <w:pPr>
              <w:jc w:val="center"/>
              <w:rPr>
                <w:lang w:val="en-US"/>
              </w:rPr>
            </w:pPr>
            <w:r w:rsidRPr="00E378B5">
              <w:t>182 (72.8)</w:t>
            </w:r>
          </w:p>
        </w:tc>
        <w:tc>
          <w:tcPr>
            <w:tcW w:w="3260" w:type="dxa"/>
            <w:tcBorders>
              <w:top w:val="nil"/>
              <w:left w:val="nil"/>
              <w:bottom w:val="nil"/>
              <w:right w:val="nil"/>
            </w:tcBorders>
            <w:shd w:val="clear" w:color="auto" w:fill="auto"/>
            <w:noWrap/>
            <w:vAlign w:val="center"/>
          </w:tcPr>
          <w:p w14:paraId="7713C20D" w14:textId="77777777" w:rsidR="00C85EFD" w:rsidRPr="00E378B5" w:rsidRDefault="00C85EFD" w:rsidP="00983CB7">
            <w:pPr>
              <w:jc w:val="center"/>
              <w:rPr>
                <w:lang w:val="en-US"/>
              </w:rPr>
            </w:pPr>
            <w:r w:rsidRPr="00E378B5">
              <w:t>25 (68.0)</w:t>
            </w:r>
          </w:p>
        </w:tc>
        <w:tc>
          <w:tcPr>
            <w:tcW w:w="1370" w:type="dxa"/>
            <w:tcBorders>
              <w:top w:val="nil"/>
              <w:left w:val="nil"/>
              <w:bottom w:val="nil"/>
              <w:right w:val="nil"/>
            </w:tcBorders>
            <w:shd w:val="clear" w:color="auto" w:fill="auto"/>
            <w:noWrap/>
            <w:vAlign w:val="bottom"/>
          </w:tcPr>
          <w:p w14:paraId="4C086B5A" w14:textId="77777777" w:rsidR="00C85EFD" w:rsidRPr="00E378B5" w:rsidRDefault="00C85EFD" w:rsidP="00983CB7">
            <w:pPr>
              <w:jc w:val="center"/>
              <w:rPr>
                <w:lang w:val="en-US"/>
              </w:rPr>
            </w:pPr>
            <w:r w:rsidRPr="00E378B5">
              <w:t>0.08</w:t>
            </w:r>
          </w:p>
        </w:tc>
      </w:tr>
      <w:tr w:rsidR="00E378B5" w:rsidRPr="00E378B5" w14:paraId="62F89E5D" w14:textId="77777777" w:rsidTr="00983CB7">
        <w:trPr>
          <w:trHeight w:val="300"/>
        </w:trPr>
        <w:tc>
          <w:tcPr>
            <w:tcW w:w="4395" w:type="dxa"/>
            <w:tcBorders>
              <w:top w:val="nil"/>
              <w:left w:val="nil"/>
              <w:bottom w:val="nil"/>
              <w:right w:val="nil"/>
            </w:tcBorders>
            <w:shd w:val="clear" w:color="auto" w:fill="auto"/>
            <w:noWrap/>
            <w:vAlign w:val="bottom"/>
            <w:hideMark/>
          </w:tcPr>
          <w:p w14:paraId="1AEF1BFF" w14:textId="77777777" w:rsidR="00C85EFD" w:rsidRPr="00E378B5" w:rsidRDefault="00C85EFD" w:rsidP="00983CB7">
            <w:pPr>
              <w:rPr>
                <w:lang w:val="en-US"/>
              </w:rPr>
            </w:pPr>
            <w:r w:rsidRPr="00E378B5">
              <w:rPr>
                <w:lang w:val="en-US"/>
              </w:rPr>
              <w:t>Body mass index, kg/m²</w:t>
            </w:r>
          </w:p>
        </w:tc>
        <w:tc>
          <w:tcPr>
            <w:tcW w:w="3450" w:type="dxa"/>
            <w:tcBorders>
              <w:top w:val="nil"/>
              <w:left w:val="nil"/>
              <w:bottom w:val="nil"/>
              <w:right w:val="nil"/>
            </w:tcBorders>
            <w:shd w:val="clear" w:color="auto" w:fill="auto"/>
            <w:noWrap/>
            <w:vAlign w:val="center"/>
            <w:hideMark/>
          </w:tcPr>
          <w:p w14:paraId="6211C3E6" w14:textId="77777777" w:rsidR="00C85EFD" w:rsidRPr="00E378B5" w:rsidRDefault="00C85EFD" w:rsidP="00983CB7">
            <w:pPr>
              <w:jc w:val="center"/>
              <w:rPr>
                <w:lang w:val="en-US"/>
              </w:rPr>
            </w:pPr>
            <w:r w:rsidRPr="00E378B5">
              <w:t>27.4 ± 4.3</w:t>
            </w:r>
          </w:p>
        </w:tc>
        <w:tc>
          <w:tcPr>
            <w:tcW w:w="3260" w:type="dxa"/>
            <w:tcBorders>
              <w:top w:val="nil"/>
              <w:left w:val="nil"/>
              <w:bottom w:val="nil"/>
              <w:right w:val="nil"/>
            </w:tcBorders>
            <w:shd w:val="clear" w:color="auto" w:fill="auto"/>
            <w:noWrap/>
            <w:vAlign w:val="center"/>
            <w:hideMark/>
          </w:tcPr>
          <w:p w14:paraId="5E954C95" w14:textId="77777777" w:rsidR="00C85EFD" w:rsidRPr="00E378B5" w:rsidRDefault="00C85EFD" w:rsidP="00983CB7">
            <w:pPr>
              <w:jc w:val="center"/>
              <w:rPr>
                <w:lang w:val="en-US"/>
              </w:rPr>
            </w:pPr>
            <w:r w:rsidRPr="00E378B5">
              <w:t>28.0 ± 6.2</w:t>
            </w:r>
          </w:p>
        </w:tc>
        <w:tc>
          <w:tcPr>
            <w:tcW w:w="1370" w:type="dxa"/>
            <w:tcBorders>
              <w:top w:val="nil"/>
              <w:left w:val="nil"/>
              <w:bottom w:val="nil"/>
              <w:right w:val="nil"/>
            </w:tcBorders>
            <w:shd w:val="clear" w:color="auto" w:fill="auto"/>
            <w:noWrap/>
            <w:vAlign w:val="bottom"/>
            <w:hideMark/>
          </w:tcPr>
          <w:p w14:paraId="20A7DDE7" w14:textId="77777777" w:rsidR="00C85EFD" w:rsidRPr="00E378B5" w:rsidRDefault="00C85EFD" w:rsidP="00983CB7">
            <w:pPr>
              <w:jc w:val="center"/>
              <w:rPr>
                <w:b/>
                <w:bCs/>
                <w:lang w:val="en-US"/>
              </w:rPr>
            </w:pPr>
            <w:r w:rsidRPr="00E378B5">
              <w:t>0.39</w:t>
            </w:r>
          </w:p>
        </w:tc>
      </w:tr>
      <w:tr w:rsidR="00E378B5" w:rsidRPr="00E378B5" w14:paraId="7E43BE54" w14:textId="77777777" w:rsidTr="00983CB7">
        <w:trPr>
          <w:trHeight w:val="68"/>
        </w:trPr>
        <w:tc>
          <w:tcPr>
            <w:tcW w:w="4395" w:type="dxa"/>
            <w:tcBorders>
              <w:top w:val="nil"/>
              <w:left w:val="nil"/>
              <w:bottom w:val="nil"/>
              <w:right w:val="nil"/>
            </w:tcBorders>
            <w:shd w:val="clear" w:color="auto" w:fill="auto"/>
            <w:noWrap/>
            <w:vAlign w:val="bottom"/>
            <w:hideMark/>
          </w:tcPr>
          <w:p w14:paraId="76E03F82" w14:textId="77777777" w:rsidR="00C85EFD" w:rsidRPr="00E378B5" w:rsidRDefault="00C85EFD" w:rsidP="00983CB7">
            <w:pPr>
              <w:jc w:val="center"/>
              <w:rPr>
                <w:sz w:val="16"/>
                <w:szCs w:val="16"/>
                <w:lang w:val="en-US"/>
              </w:rPr>
            </w:pPr>
          </w:p>
        </w:tc>
        <w:tc>
          <w:tcPr>
            <w:tcW w:w="3450" w:type="dxa"/>
            <w:tcBorders>
              <w:top w:val="nil"/>
              <w:left w:val="nil"/>
              <w:bottom w:val="nil"/>
              <w:right w:val="nil"/>
            </w:tcBorders>
            <w:shd w:val="clear" w:color="auto" w:fill="auto"/>
            <w:noWrap/>
            <w:vAlign w:val="center"/>
            <w:hideMark/>
          </w:tcPr>
          <w:p w14:paraId="13F14362" w14:textId="77777777" w:rsidR="00C85EFD" w:rsidRPr="00E378B5" w:rsidRDefault="00C85EFD" w:rsidP="00983CB7">
            <w:pPr>
              <w:jc w:val="center"/>
              <w:rPr>
                <w:sz w:val="16"/>
                <w:szCs w:val="16"/>
                <w:lang w:val="en-US"/>
              </w:rPr>
            </w:pPr>
          </w:p>
        </w:tc>
        <w:tc>
          <w:tcPr>
            <w:tcW w:w="3260" w:type="dxa"/>
            <w:tcBorders>
              <w:top w:val="nil"/>
              <w:left w:val="nil"/>
              <w:bottom w:val="nil"/>
              <w:right w:val="nil"/>
            </w:tcBorders>
            <w:shd w:val="clear" w:color="auto" w:fill="auto"/>
            <w:noWrap/>
            <w:vAlign w:val="center"/>
            <w:hideMark/>
          </w:tcPr>
          <w:p w14:paraId="29B2C279" w14:textId="77777777" w:rsidR="00C85EFD" w:rsidRPr="00E378B5" w:rsidRDefault="00C85EFD" w:rsidP="00983CB7">
            <w:pPr>
              <w:jc w:val="center"/>
              <w:rPr>
                <w:sz w:val="16"/>
                <w:szCs w:val="16"/>
                <w:lang w:val="en-US"/>
              </w:rPr>
            </w:pPr>
          </w:p>
        </w:tc>
        <w:tc>
          <w:tcPr>
            <w:tcW w:w="1370" w:type="dxa"/>
            <w:tcBorders>
              <w:top w:val="nil"/>
              <w:left w:val="nil"/>
              <w:bottom w:val="nil"/>
              <w:right w:val="nil"/>
            </w:tcBorders>
            <w:shd w:val="clear" w:color="auto" w:fill="auto"/>
            <w:noWrap/>
            <w:vAlign w:val="bottom"/>
            <w:hideMark/>
          </w:tcPr>
          <w:p w14:paraId="49DB5474" w14:textId="77777777" w:rsidR="00C85EFD" w:rsidRPr="00E378B5" w:rsidRDefault="00C85EFD" w:rsidP="00983CB7">
            <w:pPr>
              <w:jc w:val="center"/>
              <w:rPr>
                <w:b/>
                <w:bCs/>
                <w:sz w:val="16"/>
                <w:szCs w:val="16"/>
                <w:lang w:val="en-US"/>
              </w:rPr>
            </w:pPr>
          </w:p>
        </w:tc>
      </w:tr>
      <w:tr w:rsidR="00E378B5" w:rsidRPr="00E378B5" w14:paraId="01E14483" w14:textId="77777777" w:rsidTr="00983CB7">
        <w:trPr>
          <w:trHeight w:val="300"/>
        </w:trPr>
        <w:tc>
          <w:tcPr>
            <w:tcW w:w="4395" w:type="dxa"/>
            <w:tcBorders>
              <w:top w:val="nil"/>
              <w:left w:val="nil"/>
              <w:bottom w:val="nil"/>
              <w:right w:val="nil"/>
            </w:tcBorders>
            <w:shd w:val="clear" w:color="auto" w:fill="auto"/>
            <w:noWrap/>
            <w:vAlign w:val="bottom"/>
            <w:hideMark/>
          </w:tcPr>
          <w:p w14:paraId="07E994B4" w14:textId="77777777" w:rsidR="00C85EFD" w:rsidRPr="00E378B5" w:rsidRDefault="00C85EFD" w:rsidP="00983CB7">
            <w:pPr>
              <w:rPr>
                <w:lang w:val="en-US"/>
              </w:rPr>
            </w:pPr>
            <w:r w:rsidRPr="00E378B5">
              <w:rPr>
                <w:b/>
                <w:bCs/>
                <w:lang w:val="en-US"/>
              </w:rPr>
              <w:t>Coronary risk factors</w:t>
            </w:r>
            <w:r w:rsidRPr="00E378B5">
              <w:rPr>
                <w:lang w:val="en-US"/>
              </w:rPr>
              <w:t>, n (%)</w:t>
            </w:r>
          </w:p>
        </w:tc>
        <w:tc>
          <w:tcPr>
            <w:tcW w:w="3450" w:type="dxa"/>
            <w:tcBorders>
              <w:top w:val="nil"/>
              <w:left w:val="nil"/>
              <w:bottom w:val="nil"/>
              <w:right w:val="nil"/>
            </w:tcBorders>
            <w:shd w:val="clear" w:color="auto" w:fill="auto"/>
            <w:noWrap/>
            <w:vAlign w:val="center"/>
            <w:hideMark/>
          </w:tcPr>
          <w:p w14:paraId="26FA7E5B" w14:textId="77777777" w:rsidR="00C85EFD" w:rsidRPr="00E378B5" w:rsidRDefault="00C85EFD" w:rsidP="00983CB7">
            <w:pPr>
              <w:jc w:val="center"/>
              <w:rPr>
                <w:lang w:val="en-US"/>
              </w:rPr>
            </w:pPr>
          </w:p>
        </w:tc>
        <w:tc>
          <w:tcPr>
            <w:tcW w:w="3260" w:type="dxa"/>
            <w:tcBorders>
              <w:top w:val="nil"/>
              <w:left w:val="nil"/>
              <w:bottom w:val="nil"/>
              <w:right w:val="nil"/>
            </w:tcBorders>
            <w:shd w:val="clear" w:color="auto" w:fill="auto"/>
            <w:noWrap/>
            <w:vAlign w:val="center"/>
            <w:hideMark/>
          </w:tcPr>
          <w:p w14:paraId="72CE2F0A" w14:textId="77777777" w:rsidR="00C85EFD" w:rsidRPr="00E378B5" w:rsidRDefault="00C85EFD" w:rsidP="00983CB7">
            <w:pPr>
              <w:jc w:val="center"/>
              <w:rPr>
                <w:lang w:val="en-US"/>
              </w:rPr>
            </w:pPr>
          </w:p>
        </w:tc>
        <w:tc>
          <w:tcPr>
            <w:tcW w:w="1370" w:type="dxa"/>
            <w:tcBorders>
              <w:top w:val="nil"/>
              <w:left w:val="nil"/>
              <w:bottom w:val="nil"/>
              <w:right w:val="nil"/>
            </w:tcBorders>
            <w:shd w:val="clear" w:color="auto" w:fill="auto"/>
            <w:noWrap/>
            <w:vAlign w:val="bottom"/>
            <w:hideMark/>
          </w:tcPr>
          <w:p w14:paraId="6AEF857F" w14:textId="77777777" w:rsidR="00C85EFD" w:rsidRPr="00E378B5" w:rsidRDefault="00C85EFD" w:rsidP="00983CB7">
            <w:pPr>
              <w:jc w:val="center"/>
              <w:rPr>
                <w:lang w:val="en-US"/>
              </w:rPr>
            </w:pPr>
          </w:p>
        </w:tc>
      </w:tr>
      <w:tr w:rsidR="00E378B5" w:rsidRPr="00E378B5" w14:paraId="0EBEBA70" w14:textId="77777777" w:rsidTr="00983CB7">
        <w:trPr>
          <w:trHeight w:val="300"/>
        </w:trPr>
        <w:tc>
          <w:tcPr>
            <w:tcW w:w="4395" w:type="dxa"/>
            <w:tcBorders>
              <w:top w:val="nil"/>
              <w:left w:val="nil"/>
              <w:bottom w:val="nil"/>
              <w:right w:val="nil"/>
            </w:tcBorders>
            <w:shd w:val="clear" w:color="auto" w:fill="auto"/>
            <w:noWrap/>
            <w:vAlign w:val="bottom"/>
            <w:hideMark/>
          </w:tcPr>
          <w:p w14:paraId="3A0E144E" w14:textId="77777777" w:rsidR="00C85EFD" w:rsidRPr="00E378B5" w:rsidRDefault="00C85EFD" w:rsidP="00983CB7">
            <w:pPr>
              <w:rPr>
                <w:lang w:val="en-US"/>
              </w:rPr>
            </w:pPr>
            <w:r w:rsidRPr="00E378B5">
              <w:rPr>
                <w:lang w:val="en-US"/>
              </w:rPr>
              <w:t xml:space="preserve">   Diabetes mellitus</w:t>
            </w:r>
          </w:p>
        </w:tc>
        <w:tc>
          <w:tcPr>
            <w:tcW w:w="3450" w:type="dxa"/>
            <w:tcBorders>
              <w:top w:val="nil"/>
              <w:left w:val="nil"/>
              <w:bottom w:val="nil"/>
              <w:right w:val="nil"/>
            </w:tcBorders>
            <w:shd w:val="clear" w:color="auto" w:fill="auto"/>
            <w:noWrap/>
            <w:vAlign w:val="center"/>
            <w:hideMark/>
          </w:tcPr>
          <w:p w14:paraId="492DCF73" w14:textId="77777777" w:rsidR="00C85EFD" w:rsidRPr="00E378B5" w:rsidRDefault="00C85EFD" w:rsidP="00983CB7">
            <w:pPr>
              <w:jc w:val="center"/>
              <w:rPr>
                <w:lang w:val="en-US"/>
              </w:rPr>
            </w:pPr>
            <w:r w:rsidRPr="00E378B5">
              <w:t>82 (32.8)</w:t>
            </w:r>
          </w:p>
        </w:tc>
        <w:tc>
          <w:tcPr>
            <w:tcW w:w="3260" w:type="dxa"/>
            <w:tcBorders>
              <w:top w:val="nil"/>
              <w:left w:val="nil"/>
              <w:bottom w:val="nil"/>
              <w:right w:val="nil"/>
            </w:tcBorders>
            <w:shd w:val="clear" w:color="auto" w:fill="auto"/>
            <w:noWrap/>
            <w:vAlign w:val="center"/>
            <w:hideMark/>
          </w:tcPr>
          <w:p w14:paraId="7D7C5AD2" w14:textId="77777777" w:rsidR="00C85EFD" w:rsidRPr="00E378B5" w:rsidRDefault="00C85EFD" w:rsidP="00983CB7">
            <w:pPr>
              <w:jc w:val="center"/>
              <w:rPr>
                <w:lang w:val="en-US"/>
              </w:rPr>
            </w:pPr>
            <w:r w:rsidRPr="00E378B5">
              <w:t>12 (32.4)</w:t>
            </w:r>
          </w:p>
        </w:tc>
        <w:tc>
          <w:tcPr>
            <w:tcW w:w="1370" w:type="dxa"/>
            <w:tcBorders>
              <w:top w:val="nil"/>
              <w:left w:val="nil"/>
              <w:bottom w:val="nil"/>
              <w:right w:val="nil"/>
            </w:tcBorders>
            <w:shd w:val="clear" w:color="auto" w:fill="auto"/>
            <w:noWrap/>
            <w:vAlign w:val="bottom"/>
            <w:hideMark/>
          </w:tcPr>
          <w:p w14:paraId="26B527A5" w14:textId="77777777" w:rsidR="00C85EFD" w:rsidRPr="00E378B5" w:rsidRDefault="00C85EFD" w:rsidP="00983CB7">
            <w:pPr>
              <w:jc w:val="center"/>
              <w:rPr>
                <w:b/>
                <w:bCs/>
                <w:lang w:val="en-US"/>
              </w:rPr>
            </w:pPr>
            <w:r w:rsidRPr="00E378B5">
              <w:t>0.76</w:t>
            </w:r>
          </w:p>
        </w:tc>
      </w:tr>
      <w:tr w:rsidR="00E378B5" w:rsidRPr="00E378B5" w14:paraId="24D80B55" w14:textId="77777777" w:rsidTr="00983CB7">
        <w:trPr>
          <w:trHeight w:val="300"/>
        </w:trPr>
        <w:tc>
          <w:tcPr>
            <w:tcW w:w="4395" w:type="dxa"/>
            <w:tcBorders>
              <w:top w:val="nil"/>
              <w:left w:val="nil"/>
              <w:bottom w:val="nil"/>
              <w:right w:val="nil"/>
            </w:tcBorders>
            <w:shd w:val="clear" w:color="auto" w:fill="auto"/>
            <w:noWrap/>
            <w:vAlign w:val="bottom"/>
            <w:hideMark/>
          </w:tcPr>
          <w:p w14:paraId="460317D4" w14:textId="77777777" w:rsidR="00C85EFD" w:rsidRPr="00E378B5" w:rsidRDefault="00C85EFD" w:rsidP="00983CB7">
            <w:pPr>
              <w:rPr>
                <w:lang w:val="en-US"/>
              </w:rPr>
            </w:pPr>
            <w:r w:rsidRPr="00E378B5">
              <w:rPr>
                <w:lang w:val="en-US"/>
              </w:rPr>
              <w:t xml:space="preserve">   Hypertension</w:t>
            </w:r>
          </w:p>
        </w:tc>
        <w:tc>
          <w:tcPr>
            <w:tcW w:w="3450" w:type="dxa"/>
            <w:tcBorders>
              <w:top w:val="nil"/>
              <w:left w:val="nil"/>
              <w:bottom w:val="nil"/>
              <w:right w:val="nil"/>
            </w:tcBorders>
            <w:shd w:val="clear" w:color="auto" w:fill="auto"/>
            <w:noWrap/>
            <w:vAlign w:val="center"/>
            <w:hideMark/>
          </w:tcPr>
          <w:p w14:paraId="7FB6023E" w14:textId="77777777" w:rsidR="00C85EFD" w:rsidRPr="00E378B5" w:rsidRDefault="00C85EFD" w:rsidP="00983CB7">
            <w:pPr>
              <w:jc w:val="center"/>
              <w:rPr>
                <w:lang w:val="en-US"/>
              </w:rPr>
            </w:pPr>
            <w:r w:rsidRPr="00E378B5">
              <w:t>164 (67.6)</w:t>
            </w:r>
          </w:p>
        </w:tc>
        <w:tc>
          <w:tcPr>
            <w:tcW w:w="3260" w:type="dxa"/>
            <w:tcBorders>
              <w:top w:val="nil"/>
              <w:left w:val="nil"/>
              <w:bottom w:val="nil"/>
              <w:right w:val="nil"/>
            </w:tcBorders>
            <w:shd w:val="clear" w:color="auto" w:fill="auto"/>
            <w:noWrap/>
            <w:vAlign w:val="center"/>
            <w:hideMark/>
          </w:tcPr>
          <w:p w14:paraId="048109C0" w14:textId="77777777" w:rsidR="00C85EFD" w:rsidRPr="00E378B5" w:rsidRDefault="00C85EFD" w:rsidP="00983CB7">
            <w:pPr>
              <w:jc w:val="center"/>
              <w:rPr>
                <w:lang w:val="en-US"/>
              </w:rPr>
            </w:pPr>
            <w:r w:rsidRPr="00E378B5">
              <w:t>27 (73.0)</w:t>
            </w:r>
          </w:p>
        </w:tc>
        <w:tc>
          <w:tcPr>
            <w:tcW w:w="1370" w:type="dxa"/>
            <w:tcBorders>
              <w:top w:val="nil"/>
              <w:left w:val="nil"/>
              <w:bottom w:val="nil"/>
              <w:right w:val="nil"/>
            </w:tcBorders>
            <w:shd w:val="clear" w:color="auto" w:fill="auto"/>
            <w:noWrap/>
            <w:vAlign w:val="bottom"/>
            <w:hideMark/>
          </w:tcPr>
          <w:p w14:paraId="655FBCBA" w14:textId="77777777" w:rsidR="00C85EFD" w:rsidRPr="00E378B5" w:rsidRDefault="00C85EFD" w:rsidP="00983CB7">
            <w:pPr>
              <w:jc w:val="center"/>
              <w:rPr>
                <w:b/>
                <w:bCs/>
                <w:lang w:val="en-US"/>
              </w:rPr>
            </w:pPr>
            <w:r w:rsidRPr="00E378B5">
              <w:t>0.031</w:t>
            </w:r>
          </w:p>
        </w:tc>
      </w:tr>
      <w:tr w:rsidR="00E378B5" w:rsidRPr="00E378B5" w14:paraId="4B3EB8D2" w14:textId="77777777" w:rsidTr="00983CB7">
        <w:trPr>
          <w:trHeight w:val="300"/>
        </w:trPr>
        <w:tc>
          <w:tcPr>
            <w:tcW w:w="4395" w:type="dxa"/>
            <w:tcBorders>
              <w:top w:val="nil"/>
              <w:left w:val="nil"/>
              <w:bottom w:val="nil"/>
              <w:right w:val="nil"/>
            </w:tcBorders>
            <w:shd w:val="clear" w:color="auto" w:fill="auto"/>
            <w:noWrap/>
            <w:vAlign w:val="bottom"/>
          </w:tcPr>
          <w:p w14:paraId="0F37749A" w14:textId="77777777" w:rsidR="00C85EFD" w:rsidRPr="00E378B5" w:rsidRDefault="00C85EFD" w:rsidP="00983CB7">
            <w:pPr>
              <w:rPr>
                <w:lang w:val="en-US"/>
              </w:rPr>
            </w:pPr>
            <w:r w:rsidRPr="00E378B5">
              <w:rPr>
                <w:lang w:val="en-US"/>
              </w:rPr>
              <w:t xml:space="preserve">   Obesity</w:t>
            </w:r>
            <w:r w:rsidRPr="00E378B5">
              <w:rPr>
                <w:vertAlign w:val="superscript"/>
                <w:lang w:val="en-US"/>
              </w:rPr>
              <w:t>*</w:t>
            </w:r>
            <w:r w:rsidRPr="00E378B5">
              <w:rPr>
                <w:lang w:val="en-US"/>
              </w:rPr>
              <w:t xml:space="preserve"> </w:t>
            </w:r>
          </w:p>
        </w:tc>
        <w:tc>
          <w:tcPr>
            <w:tcW w:w="3450" w:type="dxa"/>
            <w:tcBorders>
              <w:top w:val="nil"/>
              <w:left w:val="nil"/>
              <w:bottom w:val="nil"/>
              <w:right w:val="nil"/>
            </w:tcBorders>
            <w:shd w:val="clear" w:color="auto" w:fill="auto"/>
            <w:noWrap/>
            <w:vAlign w:val="center"/>
          </w:tcPr>
          <w:p w14:paraId="5D80FEAD" w14:textId="77777777" w:rsidR="00C85EFD" w:rsidRPr="00E378B5" w:rsidRDefault="00C85EFD" w:rsidP="00983CB7">
            <w:pPr>
              <w:jc w:val="center"/>
              <w:rPr>
                <w:lang w:val="en-US"/>
              </w:rPr>
            </w:pPr>
            <w:r w:rsidRPr="00E378B5">
              <w:t>38 (15.2)</w:t>
            </w:r>
          </w:p>
        </w:tc>
        <w:tc>
          <w:tcPr>
            <w:tcW w:w="3260" w:type="dxa"/>
            <w:tcBorders>
              <w:top w:val="nil"/>
              <w:left w:val="nil"/>
              <w:bottom w:val="nil"/>
              <w:right w:val="nil"/>
            </w:tcBorders>
            <w:shd w:val="clear" w:color="auto" w:fill="auto"/>
            <w:noWrap/>
            <w:vAlign w:val="center"/>
          </w:tcPr>
          <w:p w14:paraId="38B71EAC" w14:textId="77777777" w:rsidR="00C85EFD" w:rsidRPr="00E378B5" w:rsidRDefault="00C85EFD" w:rsidP="00983CB7">
            <w:pPr>
              <w:jc w:val="center"/>
              <w:rPr>
                <w:lang w:val="en-US"/>
              </w:rPr>
            </w:pPr>
            <w:r w:rsidRPr="00E378B5">
              <w:t>23 (62.1)</w:t>
            </w:r>
          </w:p>
        </w:tc>
        <w:tc>
          <w:tcPr>
            <w:tcW w:w="1370" w:type="dxa"/>
            <w:tcBorders>
              <w:top w:val="nil"/>
              <w:left w:val="nil"/>
              <w:bottom w:val="nil"/>
              <w:right w:val="nil"/>
            </w:tcBorders>
            <w:shd w:val="clear" w:color="auto" w:fill="auto"/>
            <w:noWrap/>
            <w:vAlign w:val="bottom"/>
          </w:tcPr>
          <w:p w14:paraId="64206E92" w14:textId="77777777" w:rsidR="00C85EFD" w:rsidRPr="00E378B5" w:rsidRDefault="00C85EFD" w:rsidP="00983CB7">
            <w:pPr>
              <w:jc w:val="center"/>
              <w:rPr>
                <w:b/>
                <w:bCs/>
                <w:lang w:val="en-US"/>
              </w:rPr>
            </w:pPr>
            <w:r w:rsidRPr="00E378B5">
              <w:t>&lt;0.001</w:t>
            </w:r>
          </w:p>
        </w:tc>
      </w:tr>
      <w:tr w:rsidR="00E378B5" w:rsidRPr="00E378B5" w14:paraId="6490A576" w14:textId="77777777" w:rsidTr="00983CB7">
        <w:trPr>
          <w:trHeight w:val="300"/>
        </w:trPr>
        <w:tc>
          <w:tcPr>
            <w:tcW w:w="4395" w:type="dxa"/>
            <w:tcBorders>
              <w:top w:val="nil"/>
              <w:left w:val="nil"/>
              <w:bottom w:val="nil"/>
              <w:right w:val="nil"/>
            </w:tcBorders>
            <w:shd w:val="clear" w:color="auto" w:fill="auto"/>
            <w:noWrap/>
            <w:vAlign w:val="bottom"/>
            <w:hideMark/>
          </w:tcPr>
          <w:p w14:paraId="40452BB4" w14:textId="77777777" w:rsidR="00C85EFD" w:rsidRPr="00E378B5" w:rsidRDefault="00C85EFD" w:rsidP="00983CB7">
            <w:pPr>
              <w:rPr>
                <w:lang w:val="en-US"/>
              </w:rPr>
            </w:pPr>
            <w:r w:rsidRPr="00E378B5">
              <w:rPr>
                <w:lang w:val="en-US"/>
              </w:rPr>
              <w:t xml:space="preserve">   Dyslipidemia </w:t>
            </w:r>
          </w:p>
        </w:tc>
        <w:tc>
          <w:tcPr>
            <w:tcW w:w="3450" w:type="dxa"/>
            <w:tcBorders>
              <w:top w:val="nil"/>
              <w:left w:val="nil"/>
              <w:bottom w:val="nil"/>
              <w:right w:val="nil"/>
            </w:tcBorders>
            <w:shd w:val="clear" w:color="auto" w:fill="auto"/>
            <w:noWrap/>
            <w:vAlign w:val="center"/>
            <w:hideMark/>
          </w:tcPr>
          <w:p w14:paraId="38AA62F2" w14:textId="77777777" w:rsidR="00C85EFD" w:rsidRPr="00E378B5" w:rsidRDefault="00C85EFD" w:rsidP="00983CB7">
            <w:pPr>
              <w:jc w:val="center"/>
              <w:rPr>
                <w:lang w:val="en-US"/>
              </w:rPr>
            </w:pPr>
            <w:r w:rsidRPr="00E378B5">
              <w:t>135 (54.0)</w:t>
            </w:r>
          </w:p>
        </w:tc>
        <w:tc>
          <w:tcPr>
            <w:tcW w:w="3260" w:type="dxa"/>
            <w:tcBorders>
              <w:top w:val="nil"/>
              <w:left w:val="nil"/>
              <w:bottom w:val="nil"/>
              <w:right w:val="nil"/>
            </w:tcBorders>
            <w:shd w:val="clear" w:color="auto" w:fill="auto"/>
            <w:noWrap/>
            <w:vAlign w:val="center"/>
            <w:hideMark/>
          </w:tcPr>
          <w:p w14:paraId="7BA2AD7C" w14:textId="77777777" w:rsidR="00C85EFD" w:rsidRPr="00E378B5" w:rsidRDefault="00C85EFD" w:rsidP="00983CB7">
            <w:pPr>
              <w:jc w:val="center"/>
              <w:rPr>
                <w:lang w:val="en-US"/>
              </w:rPr>
            </w:pPr>
            <w:r w:rsidRPr="00E378B5">
              <w:t>18 (48.6)</w:t>
            </w:r>
          </w:p>
        </w:tc>
        <w:tc>
          <w:tcPr>
            <w:tcW w:w="1370" w:type="dxa"/>
            <w:tcBorders>
              <w:top w:val="nil"/>
              <w:left w:val="nil"/>
              <w:bottom w:val="nil"/>
              <w:right w:val="nil"/>
            </w:tcBorders>
            <w:shd w:val="clear" w:color="auto" w:fill="auto"/>
            <w:noWrap/>
            <w:vAlign w:val="bottom"/>
            <w:hideMark/>
          </w:tcPr>
          <w:p w14:paraId="2AE66A81" w14:textId="77777777" w:rsidR="00C85EFD" w:rsidRPr="00E378B5" w:rsidRDefault="00C85EFD" w:rsidP="00983CB7">
            <w:pPr>
              <w:jc w:val="center"/>
              <w:rPr>
                <w:b/>
                <w:bCs/>
                <w:lang w:val="en-US"/>
              </w:rPr>
            </w:pPr>
            <w:r w:rsidRPr="00E378B5">
              <w:t>0.06</w:t>
            </w:r>
          </w:p>
        </w:tc>
      </w:tr>
      <w:tr w:rsidR="00E378B5" w:rsidRPr="00E378B5" w14:paraId="1B8087C2" w14:textId="77777777" w:rsidTr="00983CB7">
        <w:trPr>
          <w:trHeight w:val="300"/>
        </w:trPr>
        <w:tc>
          <w:tcPr>
            <w:tcW w:w="4395" w:type="dxa"/>
            <w:tcBorders>
              <w:top w:val="nil"/>
              <w:left w:val="nil"/>
              <w:bottom w:val="nil"/>
              <w:right w:val="nil"/>
            </w:tcBorders>
            <w:shd w:val="clear" w:color="auto" w:fill="auto"/>
            <w:noWrap/>
            <w:vAlign w:val="bottom"/>
            <w:hideMark/>
          </w:tcPr>
          <w:p w14:paraId="1C288E77" w14:textId="77777777" w:rsidR="00C85EFD" w:rsidRPr="00E378B5" w:rsidRDefault="00C85EFD" w:rsidP="00983CB7">
            <w:pPr>
              <w:rPr>
                <w:lang w:val="en-US"/>
              </w:rPr>
            </w:pPr>
            <w:r w:rsidRPr="00E378B5">
              <w:rPr>
                <w:lang w:val="en-US"/>
              </w:rPr>
              <w:t xml:space="preserve">   Smoking</w:t>
            </w:r>
          </w:p>
        </w:tc>
        <w:tc>
          <w:tcPr>
            <w:tcW w:w="3450" w:type="dxa"/>
            <w:tcBorders>
              <w:top w:val="nil"/>
              <w:left w:val="nil"/>
              <w:bottom w:val="nil"/>
              <w:right w:val="nil"/>
            </w:tcBorders>
            <w:shd w:val="clear" w:color="auto" w:fill="auto"/>
            <w:noWrap/>
            <w:vAlign w:val="center"/>
            <w:hideMark/>
          </w:tcPr>
          <w:p w14:paraId="5AEE229A" w14:textId="77777777" w:rsidR="00C85EFD" w:rsidRPr="00E378B5" w:rsidRDefault="00C85EFD" w:rsidP="00983CB7">
            <w:pPr>
              <w:jc w:val="center"/>
              <w:rPr>
                <w:lang w:val="en-US"/>
              </w:rPr>
            </w:pPr>
            <w:r w:rsidRPr="00E378B5">
              <w:t>54 (21.6)</w:t>
            </w:r>
          </w:p>
        </w:tc>
        <w:tc>
          <w:tcPr>
            <w:tcW w:w="3260" w:type="dxa"/>
            <w:tcBorders>
              <w:top w:val="nil"/>
              <w:left w:val="nil"/>
              <w:bottom w:val="nil"/>
              <w:right w:val="nil"/>
            </w:tcBorders>
            <w:shd w:val="clear" w:color="auto" w:fill="auto"/>
            <w:noWrap/>
            <w:vAlign w:val="center"/>
            <w:hideMark/>
          </w:tcPr>
          <w:p w14:paraId="7CB250B3" w14:textId="77777777" w:rsidR="00C85EFD" w:rsidRPr="00E378B5" w:rsidRDefault="00C85EFD" w:rsidP="00983CB7">
            <w:pPr>
              <w:jc w:val="center"/>
              <w:rPr>
                <w:lang w:val="en-US"/>
              </w:rPr>
            </w:pPr>
            <w:r w:rsidRPr="00E378B5">
              <w:t>10 (27.0)</w:t>
            </w:r>
          </w:p>
        </w:tc>
        <w:tc>
          <w:tcPr>
            <w:tcW w:w="1370" w:type="dxa"/>
            <w:tcBorders>
              <w:top w:val="nil"/>
              <w:left w:val="nil"/>
              <w:bottom w:val="nil"/>
              <w:right w:val="nil"/>
            </w:tcBorders>
            <w:shd w:val="clear" w:color="auto" w:fill="auto"/>
            <w:noWrap/>
            <w:vAlign w:val="bottom"/>
            <w:hideMark/>
          </w:tcPr>
          <w:p w14:paraId="5FCECC4D" w14:textId="77777777" w:rsidR="00C85EFD" w:rsidRPr="00E378B5" w:rsidRDefault="00C85EFD" w:rsidP="00983CB7">
            <w:pPr>
              <w:jc w:val="center"/>
              <w:rPr>
                <w:b/>
                <w:bCs/>
                <w:lang w:val="en-US"/>
              </w:rPr>
            </w:pPr>
            <w:r w:rsidRPr="00E378B5">
              <w:t>0.019</w:t>
            </w:r>
          </w:p>
        </w:tc>
      </w:tr>
      <w:tr w:rsidR="00E378B5" w:rsidRPr="00E378B5" w14:paraId="5AE6BCA6" w14:textId="77777777" w:rsidTr="00983CB7">
        <w:trPr>
          <w:trHeight w:val="68"/>
        </w:trPr>
        <w:tc>
          <w:tcPr>
            <w:tcW w:w="4395" w:type="dxa"/>
            <w:tcBorders>
              <w:top w:val="nil"/>
              <w:left w:val="nil"/>
              <w:bottom w:val="nil"/>
              <w:right w:val="nil"/>
            </w:tcBorders>
            <w:shd w:val="clear" w:color="auto" w:fill="auto"/>
            <w:noWrap/>
            <w:vAlign w:val="bottom"/>
            <w:hideMark/>
          </w:tcPr>
          <w:p w14:paraId="2CE4D287" w14:textId="77777777" w:rsidR="00C85EFD" w:rsidRPr="00E378B5" w:rsidRDefault="00C85EFD" w:rsidP="00983CB7">
            <w:pPr>
              <w:jc w:val="center"/>
              <w:rPr>
                <w:sz w:val="16"/>
                <w:szCs w:val="16"/>
                <w:lang w:val="en-US"/>
              </w:rPr>
            </w:pPr>
          </w:p>
        </w:tc>
        <w:tc>
          <w:tcPr>
            <w:tcW w:w="3450" w:type="dxa"/>
            <w:tcBorders>
              <w:top w:val="nil"/>
              <w:left w:val="nil"/>
              <w:bottom w:val="nil"/>
              <w:right w:val="nil"/>
            </w:tcBorders>
            <w:shd w:val="clear" w:color="auto" w:fill="auto"/>
            <w:noWrap/>
            <w:vAlign w:val="center"/>
            <w:hideMark/>
          </w:tcPr>
          <w:p w14:paraId="616D4F98" w14:textId="77777777" w:rsidR="00C85EFD" w:rsidRPr="00E378B5" w:rsidRDefault="00C85EFD" w:rsidP="00983CB7">
            <w:pPr>
              <w:jc w:val="center"/>
              <w:rPr>
                <w:sz w:val="16"/>
                <w:szCs w:val="16"/>
                <w:lang w:val="en-US"/>
              </w:rPr>
            </w:pPr>
          </w:p>
        </w:tc>
        <w:tc>
          <w:tcPr>
            <w:tcW w:w="3260" w:type="dxa"/>
            <w:tcBorders>
              <w:top w:val="nil"/>
              <w:left w:val="nil"/>
              <w:bottom w:val="nil"/>
              <w:right w:val="nil"/>
            </w:tcBorders>
            <w:shd w:val="clear" w:color="auto" w:fill="auto"/>
            <w:noWrap/>
            <w:vAlign w:val="center"/>
            <w:hideMark/>
          </w:tcPr>
          <w:p w14:paraId="39937028" w14:textId="77777777" w:rsidR="00C85EFD" w:rsidRPr="00E378B5" w:rsidRDefault="00C85EFD" w:rsidP="00983CB7">
            <w:pPr>
              <w:jc w:val="center"/>
              <w:rPr>
                <w:sz w:val="16"/>
                <w:szCs w:val="16"/>
                <w:lang w:val="en-US"/>
              </w:rPr>
            </w:pPr>
          </w:p>
        </w:tc>
        <w:tc>
          <w:tcPr>
            <w:tcW w:w="1370" w:type="dxa"/>
            <w:tcBorders>
              <w:top w:val="nil"/>
              <w:left w:val="nil"/>
              <w:bottom w:val="nil"/>
              <w:right w:val="nil"/>
            </w:tcBorders>
            <w:shd w:val="clear" w:color="auto" w:fill="auto"/>
            <w:noWrap/>
            <w:vAlign w:val="bottom"/>
            <w:hideMark/>
          </w:tcPr>
          <w:p w14:paraId="6842849F" w14:textId="77777777" w:rsidR="00C85EFD" w:rsidRPr="00E378B5" w:rsidRDefault="00C85EFD" w:rsidP="00983CB7">
            <w:pPr>
              <w:jc w:val="center"/>
              <w:rPr>
                <w:sz w:val="16"/>
                <w:szCs w:val="16"/>
                <w:lang w:val="en-US"/>
              </w:rPr>
            </w:pPr>
          </w:p>
        </w:tc>
      </w:tr>
      <w:tr w:rsidR="00E378B5" w:rsidRPr="00E378B5" w14:paraId="6C6D01CC" w14:textId="77777777" w:rsidTr="00983CB7">
        <w:trPr>
          <w:trHeight w:val="300"/>
        </w:trPr>
        <w:tc>
          <w:tcPr>
            <w:tcW w:w="4395" w:type="dxa"/>
            <w:tcBorders>
              <w:top w:val="nil"/>
              <w:left w:val="nil"/>
              <w:bottom w:val="nil"/>
              <w:right w:val="nil"/>
            </w:tcBorders>
            <w:shd w:val="clear" w:color="auto" w:fill="auto"/>
            <w:noWrap/>
            <w:vAlign w:val="bottom"/>
            <w:hideMark/>
          </w:tcPr>
          <w:p w14:paraId="60E013EE" w14:textId="77777777" w:rsidR="00C85EFD" w:rsidRPr="00E378B5" w:rsidRDefault="00C85EFD" w:rsidP="00983CB7">
            <w:pPr>
              <w:rPr>
                <w:lang w:val="en-US"/>
              </w:rPr>
            </w:pPr>
            <w:r w:rsidRPr="00E378B5">
              <w:rPr>
                <w:b/>
                <w:bCs/>
                <w:lang w:val="en-US"/>
              </w:rPr>
              <w:t>Medical history of CV disease</w:t>
            </w:r>
            <w:r w:rsidRPr="00E378B5">
              <w:rPr>
                <w:lang w:val="en-US"/>
              </w:rPr>
              <w:t xml:space="preserve">, n (%) </w:t>
            </w:r>
          </w:p>
        </w:tc>
        <w:tc>
          <w:tcPr>
            <w:tcW w:w="3450" w:type="dxa"/>
            <w:tcBorders>
              <w:top w:val="nil"/>
              <w:left w:val="nil"/>
              <w:bottom w:val="nil"/>
              <w:right w:val="nil"/>
            </w:tcBorders>
            <w:shd w:val="clear" w:color="auto" w:fill="auto"/>
            <w:noWrap/>
            <w:vAlign w:val="center"/>
            <w:hideMark/>
          </w:tcPr>
          <w:p w14:paraId="0F697352" w14:textId="77777777" w:rsidR="00C85EFD" w:rsidRPr="00E378B5" w:rsidRDefault="00C85EFD" w:rsidP="00983CB7">
            <w:pPr>
              <w:jc w:val="center"/>
              <w:rPr>
                <w:lang w:val="en-US"/>
              </w:rPr>
            </w:pPr>
          </w:p>
        </w:tc>
        <w:tc>
          <w:tcPr>
            <w:tcW w:w="3260" w:type="dxa"/>
            <w:tcBorders>
              <w:top w:val="nil"/>
              <w:left w:val="nil"/>
              <w:bottom w:val="nil"/>
              <w:right w:val="nil"/>
            </w:tcBorders>
            <w:shd w:val="clear" w:color="auto" w:fill="auto"/>
            <w:noWrap/>
            <w:vAlign w:val="center"/>
            <w:hideMark/>
          </w:tcPr>
          <w:p w14:paraId="5B79CCCE" w14:textId="77777777" w:rsidR="00C85EFD" w:rsidRPr="00E378B5" w:rsidRDefault="00C85EFD" w:rsidP="00983CB7">
            <w:pPr>
              <w:jc w:val="center"/>
              <w:rPr>
                <w:lang w:val="en-US"/>
              </w:rPr>
            </w:pPr>
          </w:p>
        </w:tc>
        <w:tc>
          <w:tcPr>
            <w:tcW w:w="1370" w:type="dxa"/>
            <w:tcBorders>
              <w:top w:val="nil"/>
              <w:left w:val="nil"/>
              <w:bottom w:val="nil"/>
              <w:right w:val="nil"/>
            </w:tcBorders>
            <w:shd w:val="clear" w:color="auto" w:fill="auto"/>
            <w:noWrap/>
            <w:vAlign w:val="bottom"/>
            <w:hideMark/>
          </w:tcPr>
          <w:p w14:paraId="6AB2E7A1" w14:textId="77777777" w:rsidR="00C85EFD" w:rsidRPr="00E378B5" w:rsidRDefault="00C85EFD" w:rsidP="00983CB7">
            <w:pPr>
              <w:jc w:val="center"/>
              <w:rPr>
                <w:lang w:val="en-US"/>
              </w:rPr>
            </w:pPr>
          </w:p>
        </w:tc>
      </w:tr>
      <w:tr w:rsidR="00E378B5" w:rsidRPr="00E378B5" w14:paraId="6811E49F" w14:textId="77777777" w:rsidTr="00983CB7">
        <w:trPr>
          <w:trHeight w:val="300"/>
        </w:trPr>
        <w:tc>
          <w:tcPr>
            <w:tcW w:w="4395" w:type="dxa"/>
            <w:tcBorders>
              <w:top w:val="nil"/>
              <w:left w:val="nil"/>
              <w:bottom w:val="nil"/>
              <w:right w:val="nil"/>
            </w:tcBorders>
            <w:shd w:val="clear" w:color="auto" w:fill="auto"/>
            <w:noWrap/>
            <w:vAlign w:val="bottom"/>
          </w:tcPr>
          <w:p w14:paraId="2CEAE80C" w14:textId="77777777" w:rsidR="00C85EFD" w:rsidRPr="00E378B5" w:rsidRDefault="00C85EFD" w:rsidP="00983CB7">
            <w:pPr>
              <w:rPr>
                <w:lang w:val="en-US"/>
              </w:rPr>
            </w:pPr>
            <w:r w:rsidRPr="00E378B5">
              <w:rPr>
                <w:lang w:val="en-US"/>
              </w:rPr>
              <w:t xml:space="preserve">   Peripheral atheroma</w:t>
            </w:r>
          </w:p>
        </w:tc>
        <w:tc>
          <w:tcPr>
            <w:tcW w:w="3450" w:type="dxa"/>
            <w:tcBorders>
              <w:top w:val="nil"/>
              <w:left w:val="nil"/>
              <w:bottom w:val="nil"/>
              <w:right w:val="nil"/>
            </w:tcBorders>
            <w:shd w:val="clear" w:color="auto" w:fill="auto"/>
            <w:noWrap/>
            <w:vAlign w:val="center"/>
          </w:tcPr>
          <w:p w14:paraId="4AD4CE6E" w14:textId="77777777" w:rsidR="00C85EFD" w:rsidRPr="00E378B5" w:rsidRDefault="00C85EFD" w:rsidP="00983CB7">
            <w:pPr>
              <w:jc w:val="center"/>
              <w:rPr>
                <w:lang w:val="en-US"/>
              </w:rPr>
            </w:pPr>
            <w:r w:rsidRPr="00E378B5">
              <w:t>20 (8.0)</w:t>
            </w:r>
          </w:p>
        </w:tc>
        <w:tc>
          <w:tcPr>
            <w:tcW w:w="3260" w:type="dxa"/>
            <w:tcBorders>
              <w:top w:val="nil"/>
              <w:left w:val="nil"/>
              <w:bottom w:val="nil"/>
              <w:right w:val="nil"/>
            </w:tcBorders>
            <w:shd w:val="clear" w:color="auto" w:fill="auto"/>
            <w:noWrap/>
            <w:vAlign w:val="center"/>
          </w:tcPr>
          <w:p w14:paraId="61002308" w14:textId="77777777" w:rsidR="00C85EFD" w:rsidRPr="00E378B5" w:rsidRDefault="00C85EFD" w:rsidP="00983CB7">
            <w:pPr>
              <w:jc w:val="center"/>
              <w:rPr>
                <w:lang w:val="en-US"/>
              </w:rPr>
            </w:pPr>
            <w:r w:rsidRPr="00E378B5">
              <w:t>6 (16.2)</w:t>
            </w:r>
          </w:p>
        </w:tc>
        <w:tc>
          <w:tcPr>
            <w:tcW w:w="1370" w:type="dxa"/>
            <w:tcBorders>
              <w:top w:val="nil"/>
              <w:left w:val="nil"/>
              <w:bottom w:val="nil"/>
              <w:right w:val="nil"/>
            </w:tcBorders>
            <w:shd w:val="clear" w:color="auto" w:fill="auto"/>
            <w:noWrap/>
            <w:vAlign w:val="bottom"/>
          </w:tcPr>
          <w:p w14:paraId="5D4CD846" w14:textId="77777777" w:rsidR="00C85EFD" w:rsidRPr="00E378B5" w:rsidRDefault="00C85EFD" w:rsidP="00983CB7">
            <w:pPr>
              <w:jc w:val="center"/>
              <w:rPr>
                <w:b/>
                <w:bCs/>
                <w:lang w:val="en-US"/>
              </w:rPr>
            </w:pPr>
            <w:r w:rsidRPr="00E378B5">
              <w:t>0.081</w:t>
            </w:r>
          </w:p>
        </w:tc>
      </w:tr>
      <w:tr w:rsidR="00E378B5" w:rsidRPr="00E378B5" w14:paraId="49D0E017" w14:textId="77777777" w:rsidTr="00983CB7">
        <w:trPr>
          <w:trHeight w:val="300"/>
        </w:trPr>
        <w:tc>
          <w:tcPr>
            <w:tcW w:w="4395" w:type="dxa"/>
            <w:tcBorders>
              <w:top w:val="nil"/>
              <w:left w:val="nil"/>
              <w:bottom w:val="nil"/>
              <w:right w:val="nil"/>
            </w:tcBorders>
            <w:shd w:val="clear" w:color="auto" w:fill="auto"/>
            <w:noWrap/>
            <w:vAlign w:val="bottom"/>
          </w:tcPr>
          <w:p w14:paraId="117C96E2" w14:textId="77777777" w:rsidR="00C85EFD" w:rsidRPr="00E378B5" w:rsidRDefault="00C85EFD" w:rsidP="00983CB7">
            <w:pPr>
              <w:rPr>
                <w:lang w:val="en-US"/>
              </w:rPr>
            </w:pPr>
            <w:r w:rsidRPr="00E378B5">
              <w:rPr>
                <w:lang w:val="en-US"/>
              </w:rPr>
              <w:t xml:space="preserve">   Ischemic stroke</w:t>
            </w:r>
          </w:p>
        </w:tc>
        <w:tc>
          <w:tcPr>
            <w:tcW w:w="3450" w:type="dxa"/>
            <w:tcBorders>
              <w:top w:val="nil"/>
              <w:left w:val="nil"/>
              <w:bottom w:val="nil"/>
              <w:right w:val="nil"/>
            </w:tcBorders>
            <w:shd w:val="clear" w:color="auto" w:fill="auto"/>
            <w:noWrap/>
            <w:vAlign w:val="center"/>
          </w:tcPr>
          <w:p w14:paraId="73B51DE3" w14:textId="77777777" w:rsidR="00C85EFD" w:rsidRPr="00E378B5" w:rsidRDefault="00C85EFD" w:rsidP="00983CB7">
            <w:pPr>
              <w:jc w:val="center"/>
              <w:rPr>
                <w:lang w:val="en-US"/>
              </w:rPr>
            </w:pPr>
            <w:r w:rsidRPr="00E378B5">
              <w:t>7 (2.8)</w:t>
            </w:r>
          </w:p>
        </w:tc>
        <w:tc>
          <w:tcPr>
            <w:tcW w:w="3260" w:type="dxa"/>
            <w:tcBorders>
              <w:top w:val="nil"/>
              <w:left w:val="nil"/>
              <w:bottom w:val="nil"/>
              <w:right w:val="nil"/>
            </w:tcBorders>
            <w:shd w:val="clear" w:color="auto" w:fill="auto"/>
            <w:noWrap/>
            <w:vAlign w:val="center"/>
          </w:tcPr>
          <w:p w14:paraId="064879BD" w14:textId="77777777" w:rsidR="00C85EFD" w:rsidRPr="00E378B5" w:rsidRDefault="00C85EFD" w:rsidP="00983CB7">
            <w:pPr>
              <w:jc w:val="center"/>
              <w:rPr>
                <w:lang w:val="en-US"/>
              </w:rPr>
            </w:pPr>
            <w:r w:rsidRPr="00E378B5">
              <w:t>10 (27.0)</w:t>
            </w:r>
          </w:p>
        </w:tc>
        <w:tc>
          <w:tcPr>
            <w:tcW w:w="1370" w:type="dxa"/>
            <w:tcBorders>
              <w:top w:val="nil"/>
              <w:left w:val="nil"/>
              <w:bottom w:val="nil"/>
              <w:right w:val="nil"/>
            </w:tcBorders>
            <w:shd w:val="clear" w:color="auto" w:fill="auto"/>
            <w:noWrap/>
            <w:vAlign w:val="bottom"/>
          </w:tcPr>
          <w:p w14:paraId="25730D45" w14:textId="77777777" w:rsidR="00C85EFD" w:rsidRPr="00E378B5" w:rsidRDefault="00C85EFD" w:rsidP="00983CB7">
            <w:pPr>
              <w:jc w:val="center"/>
              <w:rPr>
                <w:b/>
                <w:bCs/>
                <w:lang w:val="en-US"/>
              </w:rPr>
            </w:pPr>
            <w:r w:rsidRPr="00E378B5">
              <w:t>&lt;0.001</w:t>
            </w:r>
          </w:p>
        </w:tc>
      </w:tr>
      <w:tr w:rsidR="00E378B5" w:rsidRPr="00E378B5" w14:paraId="537377F9" w14:textId="77777777" w:rsidTr="00983CB7">
        <w:trPr>
          <w:trHeight w:val="300"/>
        </w:trPr>
        <w:tc>
          <w:tcPr>
            <w:tcW w:w="4395" w:type="dxa"/>
            <w:tcBorders>
              <w:top w:val="nil"/>
              <w:left w:val="nil"/>
              <w:bottom w:val="nil"/>
              <w:right w:val="nil"/>
            </w:tcBorders>
            <w:shd w:val="clear" w:color="auto" w:fill="auto"/>
            <w:noWrap/>
            <w:vAlign w:val="bottom"/>
            <w:hideMark/>
          </w:tcPr>
          <w:p w14:paraId="6D31ABE4" w14:textId="77777777" w:rsidR="00C85EFD" w:rsidRPr="00E378B5" w:rsidRDefault="00C85EFD" w:rsidP="00983CB7">
            <w:pPr>
              <w:rPr>
                <w:lang w:val="en-US"/>
              </w:rPr>
            </w:pPr>
            <w:r w:rsidRPr="00E378B5">
              <w:rPr>
                <w:lang w:val="en-US"/>
              </w:rPr>
              <w:t xml:space="preserve">   Pacemaker </w:t>
            </w:r>
          </w:p>
        </w:tc>
        <w:tc>
          <w:tcPr>
            <w:tcW w:w="3450" w:type="dxa"/>
            <w:tcBorders>
              <w:top w:val="nil"/>
              <w:left w:val="nil"/>
              <w:bottom w:val="nil"/>
              <w:right w:val="nil"/>
            </w:tcBorders>
            <w:shd w:val="clear" w:color="auto" w:fill="auto"/>
            <w:noWrap/>
            <w:vAlign w:val="center"/>
            <w:hideMark/>
          </w:tcPr>
          <w:p w14:paraId="259C4C5B" w14:textId="77777777" w:rsidR="00C85EFD" w:rsidRPr="00E378B5" w:rsidRDefault="00C85EFD" w:rsidP="00983CB7">
            <w:pPr>
              <w:jc w:val="center"/>
              <w:rPr>
                <w:lang w:val="en-US"/>
              </w:rPr>
            </w:pPr>
            <w:r w:rsidRPr="00E378B5">
              <w:t>1 (0.4)</w:t>
            </w:r>
          </w:p>
        </w:tc>
        <w:tc>
          <w:tcPr>
            <w:tcW w:w="3260" w:type="dxa"/>
            <w:tcBorders>
              <w:top w:val="nil"/>
              <w:left w:val="nil"/>
              <w:bottom w:val="nil"/>
              <w:right w:val="nil"/>
            </w:tcBorders>
            <w:shd w:val="clear" w:color="auto" w:fill="auto"/>
            <w:noWrap/>
            <w:vAlign w:val="center"/>
            <w:hideMark/>
          </w:tcPr>
          <w:p w14:paraId="782A02B7" w14:textId="77777777" w:rsidR="00C85EFD" w:rsidRPr="00E378B5" w:rsidRDefault="00C85EFD" w:rsidP="00983CB7">
            <w:pPr>
              <w:jc w:val="center"/>
              <w:rPr>
                <w:lang w:val="en-US"/>
              </w:rPr>
            </w:pPr>
            <w:r w:rsidRPr="00E378B5">
              <w:t>0 (0)</w:t>
            </w:r>
          </w:p>
        </w:tc>
        <w:tc>
          <w:tcPr>
            <w:tcW w:w="1370" w:type="dxa"/>
            <w:tcBorders>
              <w:top w:val="nil"/>
              <w:left w:val="nil"/>
              <w:bottom w:val="nil"/>
              <w:right w:val="nil"/>
            </w:tcBorders>
            <w:shd w:val="clear" w:color="auto" w:fill="auto"/>
            <w:noWrap/>
            <w:vAlign w:val="bottom"/>
            <w:hideMark/>
          </w:tcPr>
          <w:p w14:paraId="7EB72781" w14:textId="77777777" w:rsidR="00C85EFD" w:rsidRPr="00E378B5" w:rsidRDefault="00C85EFD" w:rsidP="00983CB7">
            <w:pPr>
              <w:jc w:val="center"/>
              <w:rPr>
                <w:lang w:val="en-US"/>
              </w:rPr>
            </w:pPr>
            <w:r w:rsidRPr="00E378B5">
              <w:t>1.000</w:t>
            </w:r>
          </w:p>
        </w:tc>
      </w:tr>
      <w:tr w:rsidR="00E378B5" w:rsidRPr="00E378B5" w14:paraId="49637E16" w14:textId="77777777" w:rsidTr="00983CB7">
        <w:trPr>
          <w:trHeight w:val="300"/>
        </w:trPr>
        <w:tc>
          <w:tcPr>
            <w:tcW w:w="4395" w:type="dxa"/>
            <w:tcBorders>
              <w:top w:val="nil"/>
              <w:left w:val="nil"/>
              <w:bottom w:val="nil"/>
              <w:right w:val="nil"/>
            </w:tcBorders>
            <w:shd w:val="clear" w:color="auto" w:fill="auto"/>
            <w:noWrap/>
            <w:vAlign w:val="bottom"/>
            <w:hideMark/>
          </w:tcPr>
          <w:p w14:paraId="0FCE6BE5" w14:textId="77777777" w:rsidR="00C85EFD" w:rsidRPr="00E378B5" w:rsidRDefault="00C85EFD" w:rsidP="00983CB7">
            <w:pPr>
              <w:rPr>
                <w:lang w:val="en-US"/>
              </w:rPr>
            </w:pPr>
            <w:r w:rsidRPr="00E378B5">
              <w:rPr>
                <w:lang w:val="en-US"/>
              </w:rPr>
              <w:t xml:space="preserve">   Renal failure</w:t>
            </w:r>
            <w:r w:rsidRPr="00E378B5">
              <w:rPr>
                <w:vertAlign w:val="superscript"/>
                <w:lang w:val="en-US"/>
              </w:rPr>
              <w:t>†</w:t>
            </w:r>
          </w:p>
        </w:tc>
        <w:tc>
          <w:tcPr>
            <w:tcW w:w="3450" w:type="dxa"/>
            <w:tcBorders>
              <w:top w:val="nil"/>
              <w:left w:val="nil"/>
              <w:bottom w:val="nil"/>
              <w:right w:val="nil"/>
            </w:tcBorders>
            <w:shd w:val="clear" w:color="auto" w:fill="auto"/>
            <w:noWrap/>
            <w:vAlign w:val="center"/>
            <w:hideMark/>
          </w:tcPr>
          <w:p w14:paraId="7D0DDAE6" w14:textId="77777777" w:rsidR="00C85EFD" w:rsidRPr="00E378B5" w:rsidRDefault="00C85EFD" w:rsidP="00983CB7">
            <w:pPr>
              <w:jc w:val="center"/>
              <w:rPr>
                <w:lang w:val="en-US"/>
              </w:rPr>
            </w:pPr>
            <w:r w:rsidRPr="00E378B5">
              <w:t>2 (0.8)</w:t>
            </w:r>
          </w:p>
        </w:tc>
        <w:tc>
          <w:tcPr>
            <w:tcW w:w="3260" w:type="dxa"/>
            <w:tcBorders>
              <w:top w:val="nil"/>
              <w:left w:val="nil"/>
              <w:bottom w:val="nil"/>
              <w:right w:val="nil"/>
            </w:tcBorders>
            <w:shd w:val="clear" w:color="auto" w:fill="auto"/>
            <w:noWrap/>
            <w:vAlign w:val="center"/>
            <w:hideMark/>
          </w:tcPr>
          <w:p w14:paraId="179397ED" w14:textId="77777777" w:rsidR="00C85EFD" w:rsidRPr="00E378B5" w:rsidRDefault="00C85EFD" w:rsidP="00983CB7">
            <w:pPr>
              <w:jc w:val="center"/>
              <w:rPr>
                <w:lang w:val="en-US"/>
              </w:rPr>
            </w:pPr>
            <w:r w:rsidRPr="00E378B5">
              <w:t>1 (26.4)</w:t>
            </w:r>
          </w:p>
        </w:tc>
        <w:tc>
          <w:tcPr>
            <w:tcW w:w="1370" w:type="dxa"/>
            <w:tcBorders>
              <w:top w:val="nil"/>
              <w:left w:val="nil"/>
              <w:bottom w:val="nil"/>
              <w:right w:val="nil"/>
            </w:tcBorders>
            <w:shd w:val="clear" w:color="auto" w:fill="auto"/>
            <w:noWrap/>
            <w:vAlign w:val="bottom"/>
            <w:hideMark/>
          </w:tcPr>
          <w:p w14:paraId="14382802" w14:textId="77777777" w:rsidR="00C85EFD" w:rsidRPr="00E378B5" w:rsidRDefault="00C85EFD" w:rsidP="00983CB7">
            <w:pPr>
              <w:jc w:val="center"/>
              <w:rPr>
                <w:lang w:val="en-US"/>
              </w:rPr>
            </w:pPr>
            <w:r w:rsidRPr="00E378B5">
              <w:t>0.091</w:t>
            </w:r>
          </w:p>
        </w:tc>
      </w:tr>
      <w:tr w:rsidR="00E378B5" w:rsidRPr="00E378B5" w14:paraId="7FF4D4B8" w14:textId="77777777" w:rsidTr="00983CB7">
        <w:trPr>
          <w:trHeight w:val="68"/>
        </w:trPr>
        <w:tc>
          <w:tcPr>
            <w:tcW w:w="4395" w:type="dxa"/>
            <w:tcBorders>
              <w:top w:val="nil"/>
              <w:left w:val="nil"/>
              <w:bottom w:val="nil"/>
            </w:tcBorders>
            <w:shd w:val="clear" w:color="auto" w:fill="auto"/>
            <w:noWrap/>
            <w:vAlign w:val="bottom"/>
          </w:tcPr>
          <w:p w14:paraId="08E8F606" w14:textId="77777777" w:rsidR="00C85EFD" w:rsidRPr="00E378B5" w:rsidRDefault="00C85EFD" w:rsidP="00983CB7">
            <w:pPr>
              <w:rPr>
                <w:sz w:val="16"/>
                <w:szCs w:val="16"/>
                <w:lang w:val="en-US"/>
              </w:rPr>
            </w:pPr>
          </w:p>
        </w:tc>
        <w:tc>
          <w:tcPr>
            <w:tcW w:w="3450" w:type="dxa"/>
            <w:shd w:val="clear" w:color="auto" w:fill="auto"/>
            <w:noWrap/>
            <w:vAlign w:val="center"/>
          </w:tcPr>
          <w:p w14:paraId="6C330A76" w14:textId="77777777" w:rsidR="00C85EFD" w:rsidRPr="00E378B5" w:rsidRDefault="00C85EFD" w:rsidP="00983CB7">
            <w:pPr>
              <w:jc w:val="center"/>
              <w:rPr>
                <w:sz w:val="16"/>
                <w:szCs w:val="16"/>
              </w:rPr>
            </w:pPr>
          </w:p>
        </w:tc>
        <w:tc>
          <w:tcPr>
            <w:tcW w:w="3260" w:type="dxa"/>
            <w:shd w:val="clear" w:color="auto" w:fill="auto"/>
            <w:noWrap/>
            <w:vAlign w:val="center"/>
          </w:tcPr>
          <w:p w14:paraId="7D25393D" w14:textId="77777777" w:rsidR="00C85EFD" w:rsidRPr="00E378B5" w:rsidRDefault="00C85EFD" w:rsidP="00983CB7">
            <w:pPr>
              <w:jc w:val="center"/>
              <w:rPr>
                <w:sz w:val="16"/>
                <w:szCs w:val="16"/>
              </w:rPr>
            </w:pPr>
          </w:p>
        </w:tc>
        <w:tc>
          <w:tcPr>
            <w:tcW w:w="1370" w:type="dxa"/>
            <w:shd w:val="clear" w:color="auto" w:fill="auto"/>
            <w:noWrap/>
            <w:vAlign w:val="bottom"/>
          </w:tcPr>
          <w:p w14:paraId="1811DA6A" w14:textId="77777777" w:rsidR="00C85EFD" w:rsidRPr="00E378B5" w:rsidRDefault="00C85EFD" w:rsidP="00983CB7">
            <w:pPr>
              <w:jc w:val="center"/>
              <w:rPr>
                <w:sz w:val="16"/>
                <w:szCs w:val="16"/>
              </w:rPr>
            </w:pPr>
          </w:p>
        </w:tc>
      </w:tr>
      <w:tr w:rsidR="00E378B5" w:rsidRPr="00E378B5" w14:paraId="014D014B" w14:textId="77777777" w:rsidTr="00983CB7">
        <w:trPr>
          <w:trHeight w:val="300"/>
        </w:trPr>
        <w:tc>
          <w:tcPr>
            <w:tcW w:w="4395" w:type="dxa"/>
            <w:tcBorders>
              <w:top w:val="nil"/>
              <w:left w:val="nil"/>
              <w:bottom w:val="nil"/>
            </w:tcBorders>
            <w:shd w:val="clear" w:color="auto" w:fill="auto"/>
            <w:noWrap/>
            <w:vAlign w:val="bottom"/>
          </w:tcPr>
          <w:p w14:paraId="6E918A3B" w14:textId="77777777" w:rsidR="00C85EFD" w:rsidRPr="00E378B5" w:rsidRDefault="00C85EFD" w:rsidP="00983CB7">
            <w:pPr>
              <w:rPr>
                <w:b/>
                <w:bCs/>
                <w:lang w:val="en-US"/>
              </w:rPr>
            </w:pPr>
            <w:r w:rsidRPr="00E378B5">
              <w:rPr>
                <w:b/>
                <w:bCs/>
                <w:lang w:val="en-US"/>
              </w:rPr>
              <w:t xml:space="preserve">Outcomes  </w:t>
            </w:r>
          </w:p>
        </w:tc>
        <w:tc>
          <w:tcPr>
            <w:tcW w:w="3450" w:type="dxa"/>
            <w:shd w:val="clear" w:color="auto" w:fill="auto"/>
            <w:noWrap/>
            <w:vAlign w:val="center"/>
          </w:tcPr>
          <w:p w14:paraId="6070EF25" w14:textId="77777777" w:rsidR="00C85EFD" w:rsidRPr="00E378B5" w:rsidRDefault="00C85EFD" w:rsidP="00983CB7">
            <w:pPr>
              <w:jc w:val="center"/>
            </w:pPr>
          </w:p>
        </w:tc>
        <w:tc>
          <w:tcPr>
            <w:tcW w:w="3260" w:type="dxa"/>
            <w:shd w:val="clear" w:color="auto" w:fill="auto"/>
            <w:noWrap/>
            <w:vAlign w:val="center"/>
          </w:tcPr>
          <w:p w14:paraId="67934611" w14:textId="77777777" w:rsidR="00C85EFD" w:rsidRPr="00E378B5" w:rsidRDefault="00C85EFD" w:rsidP="00983CB7">
            <w:pPr>
              <w:jc w:val="center"/>
            </w:pPr>
          </w:p>
        </w:tc>
        <w:tc>
          <w:tcPr>
            <w:tcW w:w="1370" w:type="dxa"/>
            <w:shd w:val="clear" w:color="auto" w:fill="auto"/>
            <w:noWrap/>
            <w:vAlign w:val="bottom"/>
          </w:tcPr>
          <w:p w14:paraId="17F3DC09" w14:textId="77777777" w:rsidR="00C85EFD" w:rsidRPr="00E378B5" w:rsidRDefault="00C85EFD" w:rsidP="00983CB7">
            <w:pPr>
              <w:jc w:val="center"/>
            </w:pPr>
          </w:p>
        </w:tc>
      </w:tr>
      <w:tr w:rsidR="00E378B5" w:rsidRPr="00E378B5" w14:paraId="026C5320" w14:textId="77777777" w:rsidTr="00983CB7">
        <w:trPr>
          <w:trHeight w:val="300"/>
        </w:trPr>
        <w:tc>
          <w:tcPr>
            <w:tcW w:w="4395" w:type="dxa"/>
            <w:tcBorders>
              <w:top w:val="nil"/>
              <w:left w:val="nil"/>
              <w:bottom w:val="nil"/>
            </w:tcBorders>
            <w:shd w:val="clear" w:color="auto" w:fill="auto"/>
            <w:noWrap/>
            <w:vAlign w:val="bottom"/>
          </w:tcPr>
          <w:p w14:paraId="02373A52" w14:textId="77777777" w:rsidR="00C85EFD" w:rsidRPr="00E378B5" w:rsidRDefault="00C85EFD" w:rsidP="00983CB7">
            <w:pPr>
              <w:ind w:left="170"/>
              <w:rPr>
                <w:lang w:val="en-US"/>
              </w:rPr>
            </w:pPr>
            <w:r w:rsidRPr="00E378B5">
              <w:rPr>
                <w:lang w:val="en-US"/>
              </w:rPr>
              <w:t>MACE (n=105)</w:t>
            </w:r>
          </w:p>
        </w:tc>
        <w:tc>
          <w:tcPr>
            <w:tcW w:w="3450" w:type="dxa"/>
            <w:shd w:val="clear" w:color="auto" w:fill="auto"/>
            <w:noWrap/>
            <w:vAlign w:val="center"/>
          </w:tcPr>
          <w:p w14:paraId="1BC50561" w14:textId="77777777" w:rsidR="00C85EFD" w:rsidRPr="00E378B5" w:rsidRDefault="00C85EFD" w:rsidP="00983CB7">
            <w:pPr>
              <w:jc w:val="center"/>
              <w:rPr>
                <w:lang w:val="en-US"/>
              </w:rPr>
            </w:pPr>
            <w:r w:rsidRPr="00E378B5">
              <w:t>94 (37.6)</w:t>
            </w:r>
          </w:p>
        </w:tc>
        <w:tc>
          <w:tcPr>
            <w:tcW w:w="3260" w:type="dxa"/>
            <w:shd w:val="clear" w:color="auto" w:fill="auto"/>
            <w:noWrap/>
            <w:vAlign w:val="center"/>
          </w:tcPr>
          <w:p w14:paraId="706C11F1" w14:textId="77777777" w:rsidR="00C85EFD" w:rsidRPr="00E378B5" w:rsidRDefault="00C85EFD" w:rsidP="00983CB7">
            <w:pPr>
              <w:jc w:val="center"/>
              <w:rPr>
                <w:lang w:val="en-US"/>
              </w:rPr>
            </w:pPr>
            <w:r w:rsidRPr="00E378B5">
              <w:t>11 (29.7)</w:t>
            </w:r>
          </w:p>
        </w:tc>
        <w:tc>
          <w:tcPr>
            <w:tcW w:w="1370" w:type="dxa"/>
            <w:shd w:val="clear" w:color="auto" w:fill="auto"/>
            <w:noWrap/>
            <w:vAlign w:val="bottom"/>
          </w:tcPr>
          <w:p w14:paraId="7CF948D7" w14:textId="77777777" w:rsidR="00C85EFD" w:rsidRPr="00E378B5" w:rsidRDefault="00C85EFD" w:rsidP="00983CB7">
            <w:pPr>
              <w:jc w:val="center"/>
              <w:rPr>
                <w:lang w:val="en-US"/>
              </w:rPr>
            </w:pPr>
            <w:r w:rsidRPr="00E378B5">
              <w:t>0.001</w:t>
            </w:r>
          </w:p>
        </w:tc>
      </w:tr>
      <w:tr w:rsidR="00E378B5" w:rsidRPr="00E378B5" w14:paraId="35E0F669" w14:textId="77777777" w:rsidTr="00983CB7">
        <w:trPr>
          <w:trHeight w:val="300"/>
        </w:trPr>
        <w:tc>
          <w:tcPr>
            <w:tcW w:w="4395" w:type="dxa"/>
            <w:tcBorders>
              <w:top w:val="nil"/>
              <w:left w:val="nil"/>
              <w:bottom w:val="nil"/>
            </w:tcBorders>
            <w:shd w:val="clear" w:color="auto" w:fill="auto"/>
            <w:noWrap/>
            <w:vAlign w:val="bottom"/>
          </w:tcPr>
          <w:p w14:paraId="10BD9F36" w14:textId="77777777" w:rsidR="00C85EFD" w:rsidRPr="00E378B5" w:rsidRDefault="00C85EFD" w:rsidP="00983CB7">
            <w:pPr>
              <w:ind w:left="170"/>
              <w:rPr>
                <w:lang w:val="en-US"/>
              </w:rPr>
            </w:pPr>
            <w:r w:rsidRPr="00E378B5">
              <w:rPr>
                <w:lang w:val="en-US"/>
              </w:rPr>
              <w:t>Cardiovascular mortality (n=57)</w:t>
            </w:r>
          </w:p>
        </w:tc>
        <w:tc>
          <w:tcPr>
            <w:tcW w:w="3450" w:type="dxa"/>
            <w:shd w:val="clear" w:color="auto" w:fill="auto"/>
            <w:noWrap/>
            <w:vAlign w:val="center"/>
          </w:tcPr>
          <w:p w14:paraId="55919104" w14:textId="77777777" w:rsidR="00C85EFD" w:rsidRPr="00E378B5" w:rsidRDefault="00C85EFD" w:rsidP="00983CB7">
            <w:pPr>
              <w:jc w:val="center"/>
              <w:rPr>
                <w:lang w:val="en-US"/>
              </w:rPr>
            </w:pPr>
            <w:r w:rsidRPr="00E378B5">
              <w:t>51 (20.4)</w:t>
            </w:r>
          </w:p>
        </w:tc>
        <w:tc>
          <w:tcPr>
            <w:tcW w:w="3260" w:type="dxa"/>
            <w:shd w:val="clear" w:color="auto" w:fill="auto"/>
            <w:noWrap/>
            <w:vAlign w:val="center"/>
          </w:tcPr>
          <w:p w14:paraId="4C753259" w14:textId="77777777" w:rsidR="00C85EFD" w:rsidRPr="00E378B5" w:rsidRDefault="00C85EFD" w:rsidP="00983CB7">
            <w:pPr>
              <w:jc w:val="center"/>
              <w:rPr>
                <w:lang w:val="en-US"/>
              </w:rPr>
            </w:pPr>
            <w:r w:rsidRPr="00E378B5">
              <w:t>6 (16.2)</w:t>
            </w:r>
          </w:p>
        </w:tc>
        <w:tc>
          <w:tcPr>
            <w:tcW w:w="1370" w:type="dxa"/>
            <w:shd w:val="clear" w:color="auto" w:fill="auto"/>
            <w:noWrap/>
            <w:vAlign w:val="bottom"/>
          </w:tcPr>
          <w:p w14:paraId="47196FC0" w14:textId="77777777" w:rsidR="00C85EFD" w:rsidRPr="00E378B5" w:rsidRDefault="00C85EFD" w:rsidP="00983CB7">
            <w:pPr>
              <w:jc w:val="center"/>
              <w:rPr>
                <w:lang w:val="en-US"/>
              </w:rPr>
            </w:pPr>
            <w:r w:rsidRPr="00E378B5">
              <w:t>0.021</w:t>
            </w:r>
          </w:p>
        </w:tc>
      </w:tr>
      <w:tr w:rsidR="00E378B5" w:rsidRPr="00E378B5" w14:paraId="16C4C307" w14:textId="77777777" w:rsidTr="00983CB7">
        <w:trPr>
          <w:trHeight w:val="300"/>
        </w:trPr>
        <w:tc>
          <w:tcPr>
            <w:tcW w:w="4395" w:type="dxa"/>
            <w:tcBorders>
              <w:top w:val="nil"/>
              <w:left w:val="nil"/>
              <w:bottom w:val="nil"/>
            </w:tcBorders>
            <w:shd w:val="clear" w:color="auto" w:fill="auto"/>
            <w:noWrap/>
            <w:vAlign w:val="bottom"/>
          </w:tcPr>
          <w:p w14:paraId="1259F5EF" w14:textId="77777777" w:rsidR="00C85EFD" w:rsidRPr="00E378B5" w:rsidRDefault="00C85EFD" w:rsidP="00983CB7">
            <w:pPr>
              <w:ind w:left="170"/>
              <w:rPr>
                <w:lang w:val="en-US"/>
              </w:rPr>
            </w:pPr>
            <w:r w:rsidRPr="00E378B5">
              <w:rPr>
                <w:bCs/>
                <w:lang w:val="en-US"/>
              </w:rPr>
              <w:t xml:space="preserve">All-cause mortality </w:t>
            </w:r>
            <w:r w:rsidRPr="00E378B5">
              <w:rPr>
                <w:lang w:val="en-US"/>
              </w:rPr>
              <w:t>(n=74)</w:t>
            </w:r>
          </w:p>
        </w:tc>
        <w:tc>
          <w:tcPr>
            <w:tcW w:w="3450" w:type="dxa"/>
            <w:shd w:val="clear" w:color="auto" w:fill="auto"/>
            <w:noWrap/>
            <w:vAlign w:val="center"/>
          </w:tcPr>
          <w:p w14:paraId="203C98DC" w14:textId="77777777" w:rsidR="00C85EFD" w:rsidRPr="00E378B5" w:rsidRDefault="00C85EFD" w:rsidP="00983CB7">
            <w:pPr>
              <w:jc w:val="center"/>
              <w:rPr>
                <w:lang w:val="en-US"/>
              </w:rPr>
            </w:pPr>
            <w:r w:rsidRPr="00E378B5">
              <w:t>66 (26.4)</w:t>
            </w:r>
          </w:p>
        </w:tc>
        <w:tc>
          <w:tcPr>
            <w:tcW w:w="3260" w:type="dxa"/>
            <w:shd w:val="clear" w:color="auto" w:fill="auto"/>
            <w:noWrap/>
            <w:vAlign w:val="center"/>
          </w:tcPr>
          <w:p w14:paraId="4FC0EAE4" w14:textId="77777777" w:rsidR="00C85EFD" w:rsidRPr="00E378B5" w:rsidRDefault="00C85EFD" w:rsidP="00983CB7">
            <w:pPr>
              <w:jc w:val="center"/>
              <w:rPr>
                <w:lang w:val="en-US"/>
              </w:rPr>
            </w:pPr>
            <w:r w:rsidRPr="00E378B5">
              <w:t>8 (21.6)</w:t>
            </w:r>
          </w:p>
        </w:tc>
        <w:tc>
          <w:tcPr>
            <w:tcW w:w="1370" w:type="dxa"/>
            <w:shd w:val="clear" w:color="auto" w:fill="auto"/>
            <w:noWrap/>
            <w:vAlign w:val="bottom"/>
          </w:tcPr>
          <w:p w14:paraId="370004CB" w14:textId="77777777" w:rsidR="00C85EFD" w:rsidRPr="00E378B5" w:rsidRDefault="00C85EFD" w:rsidP="00983CB7">
            <w:pPr>
              <w:jc w:val="center"/>
              <w:rPr>
                <w:lang w:val="en-US"/>
              </w:rPr>
            </w:pPr>
            <w:r w:rsidRPr="00E378B5">
              <w:t>0.083</w:t>
            </w:r>
          </w:p>
        </w:tc>
      </w:tr>
      <w:tr w:rsidR="00E378B5" w:rsidRPr="00E378B5" w14:paraId="460EDB15" w14:textId="77777777" w:rsidTr="00983CB7">
        <w:trPr>
          <w:trHeight w:val="68"/>
        </w:trPr>
        <w:tc>
          <w:tcPr>
            <w:tcW w:w="4395" w:type="dxa"/>
            <w:tcBorders>
              <w:top w:val="nil"/>
              <w:left w:val="nil"/>
              <w:bottom w:val="single" w:sz="4" w:space="0" w:color="auto"/>
              <w:right w:val="nil"/>
            </w:tcBorders>
            <w:shd w:val="clear" w:color="000000" w:fill="FFFFFF"/>
            <w:noWrap/>
            <w:vAlign w:val="bottom"/>
          </w:tcPr>
          <w:p w14:paraId="157AB0DF" w14:textId="77777777" w:rsidR="00C85EFD" w:rsidRPr="00E378B5" w:rsidRDefault="00C85EFD" w:rsidP="00983CB7">
            <w:pPr>
              <w:rPr>
                <w:sz w:val="16"/>
                <w:szCs w:val="16"/>
                <w:lang w:val="en-US"/>
              </w:rPr>
            </w:pPr>
          </w:p>
        </w:tc>
        <w:tc>
          <w:tcPr>
            <w:tcW w:w="3450" w:type="dxa"/>
            <w:tcBorders>
              <w:left w:val="nil"/>
              <w:bottom w:val="single" w:sz="4" w:space="0" w:color="auto"/>
              <w:right w:val="nil"/>
            </w:tcBorders>
            <w:shd w:val="clear" w:color="auto" w:fill="auto"/>
            <w:noWrap/>
            <w:vAlign w:val="center"/>
          </w:tcPr>
          <w:p w14:paraId="1EE01FE0" w14:textId="77777777" w:rsidR="00C85EFD" w:rsidRPr="00E378B5" w:rsidRDefault="00C85EFD" w:rsidP="00983CB7">
            <w:pPr>
              <w:rPr>
                <w:sz w:val="16"/>
                <w:szCs w:val="16"/>
                <w:lang w:val="en-US"/>
              </w:rPr>
            </w:pPr>
          </w:p>
        </w:tc>
        <w:tc>
          <w:tcPr>
            <w:tcW w:w="3260" w:type="dxa"/>
            <w:tcBorders>
              <w:left w:val="nil"/>
              <w:bottom w:val="single" w:sz="4" w:space="0" w:color="auto"/>
              <w:right w:val="nil"/>
            </w:tcBorders>
            <w:shd w:val="clear" w:color="auto" w:fill="auto"/>
            <w:noWrap/>
            <w:vAlign w:val="center"/>
          </w:tcPr>
          <w:p w14:paraId="17338515" w14:textId="77777777" w:rsidR="00C85EFD" w:rsidRPr="00E378B5" w:rsidRDefault="00C85EFD" w:rsidP="00983CB7">
            <w:pPr>
              <w:rPr>
                <w:sz w:val="16"/>
                <w:szCs w:val="16"/>
                <w:lang w:val="en-US"/>
              </w:rPr>
            </w:pPr>
          </w:p>
        </w:tc>
        <w:tc>
          <w:tcPr>
            <w:tcW w:w="1370" w:type="dxa"/>
            <w:tcBorders>
              <w:left w:val="nil"/>
              <w:bottom w:val="single" w:sz="4" w:space="0" w:color="auto"/>
              <w:right w:val="nil"/>
            </w:tcBorders>
            <w:shd w:val="clear" w:color="auto" w:fill="auto"/>
            <w:noWrap/>
            <w:vAlign w:val="center"/>
          </w:tcPr>
          <w:p w14:paraId="2E852CA7" w14:textId="77777777" w:rsidR="00C85EFD" w:rsidRPr="00E378B5" w:rsidRDefault="00C85EFD" w:rsidP="00983CB7">
            <w:pPr>
              <w:rPr>
                <w:sz w:val="16"/>
                <w:szCs w:val="16"/>
                <w:lang w:val="en-US"/>
              </w:rPr>
            </w:pPr>
          </w:p>
        </w:tc>
      </w:tr>
    </w:tbl>
    <w:p w14:paraId="42F79B5B" w14:textId="77777777" w:rsidR="00C85EFD" w:rsidRPr="00E378B5" w:rsidRDefault="00C85EFD" w:rsidP="00C85EFD">
      <w:pPr>
        <w:ind w:right="866"/>
        <w:rPr>
          <w:bCs/>
          <w:sz w:val="22"/>
          <w:szCs w:val="22"/>
          <w:lang w:val="en-US"/>
        </w:rPr>
      </w:pPr>
    </w:p>
    <w:p w14:paraId="300FCD06" w14:textId="77777777" w:rsidR="00C85EFD" w:rsidRPr="00E378B5" w:rsidRDefault="00C85EFD" w:rsidP="00C85EFD">
      <w:pPr>
        <w:rPr>
          <w:i/>
          <w:lang w:val="en-US"/>
        </w:rPr>
      </w:pPr>
      <w:r w:rsidRPr="00E378B5">
        <w:rPr>
          <w:i/>
          <w:lang w:val="en-US"/>
        </w:rPr>
        <w:t>Values are n (%), mean ± SD, or median (interquartile range).</w:t>
      </w:r>
    </w:p>
    <w:p w14:paraId="69392649" w14:textId="77777777" w:rsidR="00C85EFD" w:rsidRPr="00E378B5" w:rsidRDefault="00C85EFD" w:rsidP="00C85EFD">
      <w:pPr>
        <w:spacing w:line="276" w:lineRule="auto"/>
        <w:rPr>
          <w:lang w:val="en-US"/>
        </w:rPr>
      </w:pPr>
      <w:r w:rsidRPr="00E378B5">
        <w:rPr>
          <w:lang w:val="en-US"/>
        </w:rPr>
        <w:lastRenderedPageBreak/>
        <w:br/>
        <w:t>* defined by BMI ≥30 kg/m2</w:t>
      </w:r>
    </w:p>
    <w:p w14:paraId="507EA6D2" w14:textId="77777777" w:rsidR="00C85EFD" w:rsidRPr="00E378B5" w:rsidRDefault="00C85EFD" w:rsidP="00C85EFD">
      <w:pPr>
        <w:spacing w:line="276" w:lineRule="auto"/>
        <w:rPr>
          <w:lang w:val="en-GB"/>
        </w:rPr>
      </w:pPr>
      <w:r w:rsidRPr="00E378B5">
        <w:rPr>
          <w:vertAlign w:val="superscript"/>
          <w:lang w:val="en-US"/>
        </w:rPr>
        <w:t>†</w:t>
      </w:r>
      <w:r w:rsidRPr="00E378B5">
        <w:rPr>
          <w:lang w:val="en-US"/>
        </w:rPr>
        <w:t xml:space="preserve"> defined by glomerular filtration rate between 60 and 90 ml/min/1.73 m</w:t>
      </w:r>
      <w:r w:rsidRPr="00E378B5">
        <w:rPr>
          <w:vertAlign w:val="superscript"/>
          <w:lang w:val="en-US"/>
        </w:rPr>
        <w:t>2</w:t>
      </w:r>
      <w:r w:rsidRPr="00E378B5">
        <w:rPr>
          <w:lang w:val="en-US"/>
        </w:rPr>
        <w:t>.</w:t>
      </w:r>
    </w:p>
    <w:p w14:paraId="25D29A23" w14:textId="77777777" w:rsidR="00C85EFD" w:rsidRPr="00E378B5" w:rsidRDefault="00C85EFD" w:rsidP="00C85EFD">
      <w:pPr>
        <w:ind w:right="866"/>
        <w:rPr>
          <w:lang w:val="en-US"/>
        </w:rPr>
      </w:pPr>
    </w:p>
    <w:p w14:paraId="1B6FEE02" w14:textId="77777777" w:rsidR="00C85EFD" w:rsidRPr="00E378B5" w:rsidRDefault="00C85EFD" w:rsidP="00C85EFD">
      <w:pPr>
        <w:spacing w:line="276" w:lineRule="auto"/>
        <w:ind w:right="866"/>
        <w:rPr>
          <w:i/>
          <w:iCs/>
          <w:lang w:val="en-US"/>
        </w:rPr>
      </w:pPr>
      <w:r w:rsidRPr="00E378B5">
        <w:rPr>
          <w:i/>
          <w:iCs/>
          <w:u w:val="single"/>
          <w:lang w:val="en-US"/>
        </w:rPr>
        <w:t>Abbreviations</w:t>
      </w:r>
      <w:r w:rsidRPr="00E378B5">
        <w:rPr>
          <w:i/>
          <w:iCs/>
          <w:lang w:val="en-US"/>
        </w:rPr>
        <w:t xml:space="preserve">: </w:t>
      </w:r>
      <w:r w:rsidRPr="00E378B5">
        <w:rPr>
          <w:i/>
          <w:iCs/>
          <w:lang w:val="en-GB"/>
        </w:rPr>
        <w:t>BMI: body mass index; CABG: coronary artery bypass graft; CAD: coronary artery disease; CCTA: coronary computed tomography angiography; CMR: cardiac magnetic resonance; CV: cardiovascular; CVD: cardiovascular disease; ECG: electrocardiogram; ICA: invasive coronary angiography;</w:t>
      </w:r>
      <w:r w:rsidRPr="00E378B5">
        <w:rPr>
          <w:lang w:val="en-US"/>
        </w:rPr>
        <w:t xml:space="preserve"> </w:t>
      </w:r>
      <w:r w:rsidRPr="00E378B5">
        <w:rPr>
          <w:i/>
          <w:iCs/>
          <w:lang w:val="en-GB"/>
        </w:rPr>
        <w:t xml:space="preserve">MACE: major adverse cardiac events; SD: standard deviation.         </w:t>
      </w:r>
    </w:p>
    <w:p w14:paraId="300A8C88" w14:textId="77777777" w:rsidR="00C85EFD" w:rsidRPr="00E378B5" w:rsidRDefault="00C85EFD" w:rsidP="00C85EFD">
      <w:pPr>
        <w:ind w:right="866"/>
        <w:rPr>
          <w:b/>
          <w:sz w:val="28"/>
          <w:szCs w:val="28"/>
          <w:lang w:val="en-US"/>
        </w:rPr>
      </w:pPr>
    </w:p>
    <w:p w14:paraId="452F4A70" w14:textId="0736D7D3" w:rsidR="00C20B25" w:rsidRPr="00E378B5" w:rsidRDefault="00C20B25" w:rsidP="00115D8A">
      <w:pPr>
        <w:spacing w:line="480" w:lineRule="auto"/>
        <w:ind w:right="866"/>
        <w:rPr>
          <w:b/>
          <w:u w:val="single"/>
          <w:lang w:val="en-US"/>
        </w:rPr>
        <w:sectPr w:rsidR="00C20B25" w:rsidRPr="00E378B5" w:rsidSect="00C85EFD">
          <w:pgSz w:w="16820" w:h="11900" w:orient="landscape"/>
          <w:pgMar w:top="1417" w:right="1417" w:bottom="1417" w:left="1417" w:header="708" w:footer="708" w:gutter="0"/>
          <w:cols w:space="708"/>
          <w:docGrid w:linePitch="360"/>
        </w:sectPr>
      </w:pPr>
    </w:p>
    <w:p w14:paraId="51861932" w14:textId="73D51E73" w:rsidR="00115D8A" w:rsidRPr="00E378B5" w:rsidRDefault="00115D8A" w:rsidP="00115D8A">
      <w:pPr>
        <w:spacing w:line="480" w:lineRule="auto"/>
        <w:ind w:right="866"/>
        <w:rPr>
          <w:b/>
          <w:u w:val="single"/>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11</w:t>
      </w:r>
    </w:p>
    <w:p w14:paraId="20816D3B" w14:textId="77777777" w:rsidR="00115D8A" w:rsidRPr="00E378B5" w:rsidRDefault="00115D8A" w:rsidP="00115D8A">
      <w:pPr>
        <w:spacing w:line="480" w:lineRule="auto"/>
        <w:rPr>
          <w:rFonts w:eastAsia="Calibri"/>
          <w:b/>
          <w:lang w:val="en-US" w:eastAsia="en-US"/>
        </w:rPr>
      </w:pPr>
      <w:r w:rsidRPr="00E378B5">
        <w:rPr>
          <w:rFonts w:eastAsia="Calibri"/>
          <w:b/>
          <w:lang w:val="en-US" w:eastAsia="en-US"/>
        </w:rPr>
        <w:t xml:space="preserve">Figure. </w:t>
      </w:r>
      <w:r w:rsidRPr="00E378B5">
        <w:rPr>
          <w:b/>
          <w:lang w:val="en-US"/>
        </w:rPr>
        <w:t xml:space="preserve">Determination of the optimal number of </w:t>
      </w:r>
      <w:proofErr w:type="spellStart"/>
      <w:r w:rsidRPr="00E378B5">
        <w:rPr>
          <w:b/>
          <w:lang w:val="en-US"/>
        </w:rPr>
        <w:t>phenogroups</w:t>
      </w:r>
      <w:proofErr w:type="spellEnd"/>
      <w:r w:rsidRPr="00E378B5">
        <w:rPr>
          <w:rFonts w:eastAsia="Calibri"/>
          <w:b/>
          <w:lang w:val="en-US" w:eastAsia="en-US"/>
        </w:rPr>
        <w:t>.</w:t>
      </w:r>
    </w:p>
    <w:p w14:paraId="204830A6" w14:textId="77777777" w:rsidR="00115D8A" w:rsidRPr="00E378B5" w:rsidRDefault="00115D8A" w:rsidP="00115D8A">
      <w:pPr>
        <w:spacing w:line="360" w:lineRule="auto"/>
        <w:jc w:val="both"/>
        <w:rPr>
          <w:lang w:val="en-US"/>
        </w:rPr>
      </w:pPr>
      <w:r w:rsidRPr="00E378B5">
        <w:rPr>
          <w:rFonts w:cstheme="minorHAnsi"/>
          <w:lang w:val="en-US"/>
        </w:rPr>
        <w:t xml:space="preserve">Hierarchical clustering for the identification of the optimal number of </w:t>
      </w:r>
      <w:proofErr w:type="spellStart"/>
      <w:r w:rsidRPr="00E378B5">
        <w:rPr>
          <w:rFonts w:cstheme="minorHAnsi"/>
          <w:lang w:val="en-US"/>
        </w:rPr>
        <w:t>phenogroups</w:t>
      </w:r>
      <w:proofErr w:type="spellEnd"/>
      <w:r w:rsidRPr="00E378B5">
        <w:rPr>
          <w:rFonts w:cstheme="minorHAnsi"/>
          <w:lang w:val="en-US"/>
        </w:rPr>
        <w:t xml:space="preserve">. </w:t>
      </w:r>
      <w:r w:rsidRPr="00E378B5">
        <w:rPr>
          <w:lang w:val="en-US"/>
        </w:rPr>
        <w:t xml:space="preserve">Three </w:t>
      </w:r>
      <w:proofErr w:type="spellStart"/>
      <w:r w:rsidRPr="00E378B5">
        <w:rPr>
          <w:lang w:val="en-US"/>
        </w:rPr>
        <w:t>phenogroups</w:t>
      </w:r>
      <w:proofErr w:type="spellEnd"/>
      <w:r w:rsidRPr="00E378B5">
        <w:rPr>
          <w:lang w:val="en-US"/>
        </w:rPr>
        <w:t xml:space="preserve"> yielded the highest gain in inertia (inside group variance) and was suggested by the HCPC function for k-means clustering (Panel A). </w:t>
      </w:r>
    </w:p>
    <w:p w14:paraId="0C7F1D56" w14:textId="77777777" w:rsidR="00115D8A" w:rsidRPr="00E378B5" w:rsidRDefault="00115D8A" w:rsidP="00115D8A">
      <w:pPr>
        <w:spacing w:line="360" w:lineRule="auto"/>
        <w:jc w:val="both"/>
        <w:rPr>
          <w:lang w:val="en-US"/>
        </w:rPr>
      </w:pPr>
      <w:r w:rsidRPr="00E378B5">
        <w:rPr>
          <w:lang w:val="en-US"/>
        </w:rPr>
        <w:t xml:space="preserve">The dendrogram representation of the three </w:t>
      </w:r>
      <w:proofErr w:type="spellStart"/>
      <w:r w:rsidRPr="00E378B5">
        <w:rPr>
          <w:bCs/>
          <w:lang w:val="en-US"/>
        </w:rPr>
        <w:t>phenogroups</w:t>
      </w:r>
      <w:proofErr w:type="spellEnd"/>
      <w:r w:rsidRPr="00E378B5">
        <w:rPr>
          <w:lang w:val="en-US"/>
        </w:rPr>
        <w:t xml:space="preserve"> is presented in Panel B.</w:t>
      </w:r>
    </w:p>
    <w:p w14:paraId="0395153B" w14:textId="377A5300" w:rsidR="00115D8A" w:rsidRPr="00E378B5" w:rsidRDefault="00C62857" w:rsidP="00115D8A">
      <w:pPr>
        <w:spacing w:line="480" w:lineRule="auto"/>
        <w:ind w:right="866"/>
        <w:rPr>
          <w:rFonts w:eastAsia="Calibri"/>
          <w:b/>
          <w:u w:val="single"/>
          <w:lang w:val="en-US" w:eastAsia="en-US"/>
        </w:rPr>
        <w:sectPr w:rsidR="00115D8A" w:rsidRPr="00E378B5" w:rsidSect="00257C1E">
          <w:pgSz w:w="11900" w:h="16820"/>
          <w:pgMar w:top="1417" w:right="1417" w:bottom="1417" w:left="1417" w:header="708" w:footer="708" w:gutter="0"/>
          <w:cols w:space="708"/>
          <w:docGrid w:linePitch="360"/>
        </w:sectPr>
      </w:pPr>
      <w:r w:rsidRPr="00E378B5">
        <w:rPr>
          <w:rFonts w:asciiTheme="minorHAnsi" w:eastAsiaTheme="minorEastAsia" w:hAnsiTheme="minorHAnsi" w:cstheme="minorBidi"/>
          <w:noProof/>
          <w:lang w:val="en-US"/>
        </w:rPr>
        <w:t xml:space="preserve"> </w:t>
      </w:r>
      <w:r w:rsidRPr="00E378B5">
        <w:rPr>
          <w:rFonts w:eastAsia="Calibri"/>
          <w:b/>
          <w:noProof/>
          <w:lang w:eastAsia="en-US"/>
        </w:rPr>
        <w:drawing>
          <wp:inline distT="0" distB="0" distL="0" distR="0" wp14:anchorId="1E0FBB38" wp14:editId="6397E3B6">
            <wp:extent cx="3886200" cy="712631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2844" cy="7138497"/>
                    </a:xfrm>
                    <a:prstGeom prst="rect">
                      <a:avLst/>
                    </a:prstGeom>
                  </pic:spPr>
                </pic:pic>
              </a:graphicData>
            </a:graphic>
          </wp:inline>
        </w:drawing>
      </w:r>
    </w:p>
    <w:p w14:paraId="095C39A0" w14:textId="1759DB3A" w:rsidR="00115D8A" w:rsidRPr="00E378B5" w:rsidRDefault="00115D8A" w:rsidP="00115D8A">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12</w:t>
      </w:r>
    </w:p>
    <w:p w14:paraId="321B63A7" w14:textId="1321DA16" w:rsidR="00115D8A" w:rsidRPr="00E378B5" w:rsidRDefault="00115D8A" w:rsidP="00115D8A">
      <w:pPr>
        <w:widowControl w:val="0"/>
        <w:tabs>
          <w:tab w:val="left" w:pos="567"/>
          <w:tab w:val="left" w:pos="709"/>
        </w:tabs>
        <w:autoSpaceDE w:val="0"/>
        <w:autoSpaceDN w:val="0"/>
        <w:adjustRightInd w:val="0"/>
        <w:spacing w:line="480" w:lineRule="auto"/>
        <w:jc w:val="both"/>
        <w:rPr>
          <w:rFonts w:eastAsia="Calibri"/>
          <w:b/>
          <w:lang w:val="en-US" w:eastAsia="en-US"/>
        </w:rPr>
      </w:pPr>
      <w:r w:rsidRPr="00E378B5">
        <w:rPr>
          <w:rFonts w:eastAsia="Calibri"/>
          <w:b/>
          <w:lang w:val="en-US" w:eastAsia="en-US"/>
        </w:rPr>
        <w:t xml:space="preserve">Figure. </w:t>
      </w:r>
      <w:proofErr w:type="spellStart"/>
      <w:r w:rsidRPr="00E378B5">
        <w:rPr>
          <w:rFonts w:eastAsia="Calibri"/>
          <w:b/>
          <w:lang w:val="en-US" w:eastAsia="en-US"/>
        </w:rPr>
        <w:t>Phenogroups</w:t>
      </w:r>
      <w:proofErr w:type="spellEnd"/>
      <w:r w:rsidRPr="00E378B5">
        <w:rPr>
          <w:rFonts w:eastAsia="Calibri"/>
          <w:b/>
          <w:lang w:val="en-US" w:eastAsia="en-US"/>
        </w:rPr>
        <w:t xml:space="preserve"> characteristics</w:t>
      </w:r>
      <w:r w:rsidR="00415689" w:rsidRPr="00E378B5">
        <w:rPr>
          <w:rFonts w:eastAsia="Calibri"/>
          <w:b/>
          <w:lang w:val="en-US" w:eastAsia="en-US"/>
        </w:rPr>
        <w:t>.</w:t>
      </w:r>
    </w:p>
    <w:p w14:paraId="5FCABDCE" w14:textId="3D7E14EB" w:rsidR="00115D8A" w:rsidRPr="00E378B5" w:rsidRDefault="00115D8A" w:rsidP="00115D8A">
      <w:pPr>
        <w:widowControl w:val="0"/>
        <w:tabs>
          <w:tab w:val="left" w:pos="567"/>
          <w:tab w:val="left" w:pos="709"/>
        </w:tabs>
        <w:autoSpaceDE w:val="0"/>
        <w:autoSpaceDN w:val="0"/>
        <w:adjustRightInd w:val="0"/>
        <w:spacing w:line="480" w:lineRule="auto"/>
        <w:jc w:val="both"/>
        <w:rPr>
          <w:rFonts w:eastAsia="Calibri"/>
          <w:bCs/>
          <w:lang w:val="en-US" w:eastAsia="en-US"/>
        </w:rPr>
      </w:pPr>
      <w:r w:rsidRPr="00E378B5">
        <w:rPr>
          <w:rFonts w:eastAsia="Calibri"/>
          <w:bCs/>
          <w:lang w:val="en-US" w:eastAsia="en-US"/>
        </w:rPr>
        <w:t xml:space="preserve">Three mutually exclusive </w:t>
      </w:r>
      <w:proofErr w:type="spellStart"/>
      <w:r w:rsidRPr="00E378B5">
        <w:rPr>
          <w:rFonts w:eastAsia="Calibri"/>
          <w:bCs/>
          <w:lang w:val="en-US" w:eastAsia="en-US"/>
        </w:rPr>
        <w:t>phenogroups</w:t>
      </w:r>
      <w:proofErr w:type="spellEnd"/>
      <w:r w:rsidRPr="00E378B5">
        <w:rPr>
          <w:rFonts w:eastAsia="Calibri"/>
          <w:bCs/>
          <w:lang w:val="en-US" w:eastAsia="en-US"/>
        </w:rPr>
        <w:t xml:space="preserve"> as determined by hierarchical clustering using the multiple correspondence analysis based on phenotypical information as input. The most distinct clinical and CMR characteristics are listed per </w:t>
      </w:r>
      <w:proofErr w:type="spellStart"/>
      <w:r w:rsidRPr="00E378B5">
        <w:rPr>
          <w:rFonts w:eastAsia="Calibri"/>
          <w:bCs/>
          <w:lang w:val="en-US" w:eastAsia="en-US"/>
        </w:rPr>
        <w:t>phenogroup</w:t>
      </w:r>
      <w:proofErr w:type="spellEnd"/>
      <w:r w:rsidRPr="00E378B5">
        <w:rPr>
          <w:rFonts w:eastAsia="Calibri"/>
          <w:bCs/>
          <w:lang w:val="en-US" w:eastAsia="en-US"/>
        </w:rPr>
        <w:t xml:space="preserve">. </w:t>
      </w:r>
    </w:p>
    <w:p w14:paraId="28F556B6" w14:textId="77777777" w:rsidR="00B65713" w:rsidRPr="00E378B5" w:rsidRDefault="00B65713" w:rsidP="00115D8A">
      <w:pPr>
        <w:widowControl w:val="0"/>
        <w:tabs>
          <w:tab w:val="left" w:pos="567"/>
          <w:tab w:val="left" w:pos="709"/>
        </w:tabs>
        <w:autoSpaceDE w:val="0"/>
        <w:autoSpaceDN w:val="0"/>
        <w:adjustRightInd w:val="0"/>
        <w:spacing w:line="480" w:lineRule="auto"/>
        <w:jc w:val="both"/>
        <w:rPr>
          <w:rFonts w:eastAsia="Calibri"/>
          <w:bCs/>
          <w:lang w:val="en-US" w:eastAsia="en-US"/>
        </w:rPr>
      </w:pPr>
    </w:p>
    <w:p w14:paraId="7FE07441" w14:textId="14636366" w:rsidR="00115D8A" w:rsidRPr="00E378B5" w:rsidRDefault="004B5305" w:rsidP="00115D8A">
      <w:pPr>
        <w:spacing w:line="360" w:lineRule="auto"/>
        <w:ind w:right="866"/>
        <w:rPr>
          <w:b/>
          <w:lang w:val="en-US"/>
        </w:rPr>
      </w:pPr>
      <w:r w:rsidRPr="00E378B5">
        <w:rPr>
          <w:b/>
          <w:noProof/>
          <w:lang w:val="en-US"/>
        </w:rPr>
        <w:drawing>
          <wp:inline distT="0" distB="0" distL="0" distR="0" wp14:anchorId="43E8EE96" wp14:editId="0B075261">
            <wp:extent cx="5756910" cy="53568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910" cy="5356860"/>
                    </a:xfrm>
                    <a:prstGeom prst="rect">
                      <a:avLst/>
                    </a:prstGeom>
                  </pic:spPr>
                </pic:pic>
              </a:graphicData>
            </a:graphic>
          </wp:inline>
        </w:drawing>
      </w:r>
    </w:p>
    <w:p w14:paraId="60D8DB72" w14:textId="77777777" w:rsidR="00115D8A" w:rsidRPr="00E378B5" w:rsidRDefault="00115D8A" w:rsidP="00115D8A">
      <w:pPr>
        <w:spacing w:line="360" w:lineRule="auto"/>
        <w:ind w:right="866"/>
        <w:rPr>
          <w:b/>
          <w:lang w:val="en-US"/>
        </w:rPr>
      </w:pPr>
    </w:p>
    <w:p w14:paraId="181EF050" w14:textId="5AF35B35" w:rsidR="00277346" w:rsidRPr="00E378B5" w:rsidRDefault="00277346" w:rsidP="000D0123">
      <w:pPr>
        <w:spacing w:line="360" w:lineRule="auto"/>
        <w:ind w:right="866"/>
        <w:rPr>
          <w:lang w:val="en-US"/>
        </w:rPr>
      </w:pPr>
    </w:p>
    <w:p w14:paraId="658E504A" w14:textId="77777777" w:rsidR="0070112F" w:rsidRPr="00E378B5" w:rsidRDefault="0070112F" w:rsidP="0070112F">
      <w:pPr>
        <w:spacing w:line="360" w:lineRule="auto"/>
        <w:ind w:right="866"/>
        <w:rPr>
          <w:rFonts w:eastAsia="Calibri"/>
          <w:b/>
          <w:u w:val="single"/>
          <w:lang w:val="en-US" w:eastAsia="en-US"/>
        </w:rPr>
        <w:sectPr w:rsidR="0070112F" w:rsidRPr="00E378B5" w:rsidSect="00CE4DE9">
          <w:pgSz w:w="11900" w:h="16840"/>
          <w:pgMar w:top="1417" w:right="1417" w:bottom="1417" w:left="1417" w:header="708" w:footer="708" w:gutter="0"/>
          <w:cols w:space="708"/>
          <w:docGrid w:linePitch="360"/>
        </w:sectPr>
      </w:pPr>
    </w:p>
    <w:p w14:paraId="2C11A841" w14:textId="1B1A2953" w:rsidR="0070112F" w:rsidRPr="00E378B5" w:rsidRDefault="0070112F" w:rsidP="0070112F">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13</w:t>
      </w:r>
    </w:p>
    <w:p w14:paraId="6DAB4B9D" w14:textId="77777777" w:rsidR="00D71239" w:rsidRPr="00E378B5" w:rsidRDefault="00D71239" w:rsidP="00D71239">
      <w:pPr>
        <w:spacing w:line="480" w:lineRule="auto"/>
        <w:rPr>
          <w:rFonts w:eastAsia="Calibri"/>
          <w:b/>
          <w:lang w:val="en-US" w:eastAsia="en-US"/>
        </w:rPr>
      </w:pPr>
      <w:r w:rsidRPr="00E378B5">
        <w:rPr>
          <w:rFonts w:eastAsia="Calibri"/>
          <w:b/>
          <w:lang w:val="en-US" w:eastAsia="en-US"/>
        </w:rPr>
        <w:t>Figure. Box plots: Distribution of Cardiovascular Magnetic Resonance Parameters.</w:t>
      </w:r>
    </w:p>
    <w:p w14:paraId="5F80C064" w14:textId="77777777" w:rsidR="00D71239" w:rsidRPr="00E378B5" w:rsidRDefault="00D71239" w:rsidP="00D71239">
      <w:pPr>
        <w:spacing w:line="360" w:lineRule="auto"/>
        <w:ind w:right="866"/>
        <w:rPr>
          <w:bCs/>
          <w:lang w:val="en-US"/>
        </w:rPr>
      </w:pPr>
      <w:r w:rsidRPr="00E378B5">
        <w:rPr>
          <w:bCs/>
          <w:lang w:val="en-US"/>
        </w:rPr>
        <w:t xml:space="preserve">Distribution of cardiovascular magnetic resonance (CMR) parameters: left ventricular end-diastolic volume indexed, </w:t>
      </w:r>
      <w:proofErr w:type="spellStart"/>
      <w:r w:rsidRPr="00E378B5">
        <w:rPr>
          <w:bCs/>
          <w:lang w:val="en-US"/>
        </w:rPr>
        <w:t>LVEDVi</w:t>
      </w:r>
      <w:proofErr w:type="spellEnd"/>
      <w:r w:rsidRPr="00E378B5">
        <w:rPr>
          <w:bCs/>
          <w:lang w:val="en-US"/>
        </w:rPr>
        <w:t xml:space="preserve"> (A) and left ventricular ejection fraction, LVEF (B). </w:t>
      </w:r>
    </w:p>
    <w:p w14:paraId="6961ADFE" w14:textId="5C784DC1" w:rsidR="00D71239" w:rsidRPr="00E378B5" w:rsidRDefault="00D71239" w:rsidP="00D71239">
      <w:pPr>
        <w:spacing w:line="360" w:lineRule="auto"/>
        <w:ind w:right="866"/>
        <w:rPr>
          <w:bCs/>
          <w:lang w:val="en-US"/>
        </w:rPr>
      </w:pPr>
      <w:r w:rsidRPr="00E378B5">
        <w:rPr>
          <w:bCs/>
          <w:lang w:val="en-US"/>
        </w:rPr>
        <w:t xml:space="preserve">These distributions suggested the difference between </w:t>
      </w:r>
      <w:proofErr w:type="spellStart"/>
      <w:r w:rsidRPr="00E378B5">
        <w:rPr>
          <w:bCs/>
          <w:lang w:val="en-US"/>
        </w:rPr>
        <w:t>phenogroup</w:t>
      </w:r>
      <w:proofErr w:type="spellEnd"/>
      <w:r w:rsidRPr="00E378B5">
        <w:rPr>
          <w:bCs/>
          <w:lang w:val="en-US"/>
        </w:rPr>
        <w:t xml:space="preserve"> 3 and </w:t>
      </w:r>
      <w:proofErr w:type="spellStart"/>
      <w:r w:rsidRPr="00E378B5">
        <w:rPr>
          <w:bCs/>
          <w:lang w:val="en-US"/>
        </w:rPr>
        <w:t>phenogroups</w:t>
      </w:r>
      <w:proofErr w:type="spellEnd"/>
      <w:r w:rsidRPr="00E378B5">
        <w:rPr>
          <w:bCs/>
          <w:lang w:val="en-US"/>
        </w:rPr>
        <w:t xml:space="preserve"> 1 and 2 regarding the value of </w:t>
      </w:r>
      <w:proofErr w:type="spellStart"/>
      <w:r w:rsidRPr="00E378B5">
        <w:rPr>
          <w:bCs/>
          <w:lang w:val="en-US"/>
        </w:rPr>
        <w:t>LVEDVi</w:t>
      </w:r>
      <w:proofErr w:type="spellEnd"/>
      <w:r w:rsidRPr="00E378B5">
        <w:rPr>
          <w:bCs/>
          <w:lang w:val="en-US"/>
        </w:rPr>
        <w:t xml:space="preserve"> and LVEF</w:t>
      </w:r>
      <w:r w:rsidR="00D9117E" w:rsidRPr="00E378B5">
        <w:rPr>
          <w:bCs/>
          <w:lang w:val="en-US"/>
        </w:rPr>
        <w:t xml:space="preserve"> (</w:t>
      </w:r>
      <w:r w:rsidR="00D36DB6" w:rsidRPr="00E378B5">
        <w:rPr>
          <w:bCs/>
          <w:lang w:val="en-US"/>
        </w:rPr>
        <w:t xml:space="preserve">for </w:t>
      </w:r>
      <w:r w:rsidR="00D9117E" w:rsidRPr="00E378B5">
        <w:rPr>
          <w:bCs/>
          <w:lang w:val="en-US"/>
        </w:rPr>
        <w:t>both p&lt;0.001)</w:t>
      </w:r>
      <w:r w:rsidRPr="00E378B5">
        <w:rPr>
          <w:bCs/>
          <w:lang w:val="en-US"/>
        </w:rPr>
        <w:t xml:space="preserve">. Box plots show median (horizontal line) and interquartile range (extremities of the box). </w:t>
      </w:r>
    </w:p>
    <w:p w14:paraId="23112DDB" w14:textId="65190093" w:rsidR="0070112F" w:rsidRPr="00E378B5" w:rsidRDefault="0070112F" w:rsidP="000D0123">
      <w:pPr>
        <w:spacing w:line="360" w:lineRule="auto"/>
        <w:ind w:right="866"/>
        <w:rPr>
          <w:lang w:val="en-US"/>
        </w:rPr>
      </w:pPr>
    </w:p>
    <w:p w14:paraId="1AF80741" w14:textId="7E62C60B" w:rsidR="0070112F" w:rsidRPr="00E378B5" w:rsidRDefault="0070112F" w:rsidP="000D0123">
      <w:pPr>
        <w:spacing w:line="360" w:lineRule="auto"/>
        <w:ind w:right="866"/>
        <w:rPr>
          <w:lang w:val="en-US"/>
        </w:rPr>
      </w:pPr>
      <w:r w:rsidRPr="00E378B5">
        <w:rPr>
          <w:noProof/>
          <w:lang w:val="en-US"/>
        </w:rPr>
        <w:drawing>
          <wp:inline distT="0" distB="0" distL="0" distR="0" wp14:anchorId="2D27B249" wp14:editId="19E6689A">
            <wp:extent cx="5848911" cy="3794760"/>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0528" cy="3795809"/>
                    </a:xfrm>
                    <a:prstGeom prst="rect">
                      <a:avLst/>
                    </a:prstGeom>
                  </pic:spPr>
                </pic:pic>
              </a:graphicData>
            </a:graphic>
          </wp:inline>
        </w:drawing>
      </w:r>
    </w:p>
    <w:p w14:paraId="2E5493AD" w14:textId="7DB21B1A" w:rsidR="00B7325C" w:rsidRPr="00E378B5" w:rsidRDefault="00B7325C" w:rsidP="000D0123">
      <w:pPr>
        <w:spacing w:line="360" w:lineRule="auto"/>
        <w:ind w:right="866"/>
        <w:rPr>
          <w:lang w:val="en-US"/>
        </w:rPr>
      </w:pPr>
    </w:p>
    <w:p w14:paraId="7637500E" w14:textId="77777777" w:rsidR="00B7325C" w:rsidRPr="00E378B5" w:rsidRDefault="00B7325C" w:rsidP="00B7325C">
      <w:pPr>
        <w:spacing w:line="360" w:lineRule="auto"/>
        <w:ind w:right="866"/>
        <w:rPr>
          <w:rFonts w:eastAsia="Calibri"/>
          <w:b/>
          <w:u w:val="single"/>
          <w:lang w:val="en-US" w:eastAsia="en-US"/>
        </w:rPr>
        <w:sectPr w:rsidR="00B7325C" w:rsidRPr="00E378B5" w:rsidSect="00CE4DE9">
          <w:pgSz w:w="11900" w:h="16840"/>
          <w:pgMar w:top="1417" w:right="1417" w:bottom="1417" w:left="1417" w:header="708" w:footer="708" w:gutter="0"/>
          <w:cols w:space="708"/>
          <w:docGrid w:linePitch="360"/>
        </w:sectPr>
      </w:pPr>
    </w:p>
    <w:p w14:paraId="516EF6C2" w14:textId="0AAB9327" w:rsidR="00A055FE" w:rsidRPr="00E378B5" w:rsidRDefault="00A055FE" w:rsidP="00A055FE">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14</w:t>
      </w:r>
    </w:p>
    <w:p w14:paraId="28FD649E" w14:textId="77777777" w:rsidR="00A055FE" w:rsidRPr="00E378B5" w:rsidRDefault="00A055FE" w:rsidP="00A055FE">
      <w:pPr>
        <w:ind w:right="866"/>
        <w:rPr>
          <w:b/>
          <w:lang w:val="en-US"/>
        </w:rPr>
      </w:pPr>
      <w:r w:rsidRPr="00E378B5">
        <w:rPr>
          <w:b/>
          <w:lang w:val="en-US"/>
        </w:rPr>
        <w:t xml:space="preserve">Table. Association between the proportion of non-calcified plaques and the presence of LGE with ischemic pattern within each </w:t>
      </w:r>
      <w:proofErr w:type="spellStart"/>
      <w:r w:rsidRPr="00E378B5">
        <w:rPr>
          <w:b/>
          <w:lang w:val="en-US"/>
        </w:rPr>
        <w:t>phenogroup</w:t>
      </w:r>
      <w:proofErr w:type="spellEnd"/>
      <w:r w:rsidRPr="00E378B5">
        <w:rPr>
          <w:b/>
          <w:lang w:val="en-US"/>
        </w:rPr>
        <w:t>.</w:t>
      </w:r>
    </w:p>
    <w:p w14:paraId="1C09C9B5" w14:textId="77777777" w:rsidR="00A055FE" w:rsidRPr="00E378B5" w:rsidRDefault="00A055FE" w:rsidP="00A055FE">
      <w:pPr>
        <w:ind w:right="866"/>
        <w:rPr>
          <w:b/>
          <w:lang w:val="en-US"/>
        </w:rPr>
      </w:pPr>
    </w:p>
    <w:tbl>
      <w:tblPr>
        <w:tblStyle w:val="TableGrid"/>
        <w:tblW w:w="13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1815"/>
        <w:gridCol w:w="1040"/>
        <w:gridCol w:w="284"/>
        <w:gridCol w:w="1798"/>
        <w:gridCol w:w="1037"/>
        <w:gridCol w:w="283"/>
        <w:gridCol w:w="1843"/>
        <w:gridCol w:w="1110"/>
        <w:gridCol w:w="260"/>
      </w:tblGrid>
      <w:tr w:rsidR="00E378B5" w:rsidRPr="00E378B5" w14:paraId="3D44CDAC" w14:textId="77777777" w:rsidTr="00983CB7">
        <w:tc>
          <w:tcPr>
            <w:tcW w:w="4516" w:type="dxa"/>
            <w:tcBorders>
              <w:top w:val="single" w:sz="4" w:space="0" w:color="auto"/>
              <w:bottom w:val="single" w:sz="4" w:space="0" w:color="auto"/>
            </w:tcBorders>
          </w:tcPr>
          <w:p w14:paraId="3E8BE318" w14:textId="77777777" w:rsidR="00A055FE" w:rsidRPr="00E378B5" w:rsidRDefault="00A055FE" w:rsidP="00983CB7">
            <w:pPr>
              <w:rPr>
                <w:bCs/>
                <w:lang w:val="en-US"/>
              </w:rPr>
            </w:pPr>
          </w:p>
        </w:tc>
        <w:tc>
          <w:tcPr>
            <w:tcW w:w="1815" w:type="dxa"/>
            <w:tcBorders>
              <w:top w:val="single" w:sz="4" w:space="0" w:color="auto"/>
              <w:bottom w:val="single" w:sz="4" w:space="0" w:color="auto"/>
            </w:tcBorders>
          </w:tcPr>
          <w:p w14:paraId="1793EE5B" w14:textId="77777777" w:rsidR="00A055FE" w:rsidRPr="00E378B5" w:rsidRDefault="00A055FE" w:rsidP="00983CB7">
            <w:pPr>
              <w:spacing w:before="80"/>
              <w:jc w:val="center"/>
              <w:rPr>
                <w:b/>
                <w:lang w:val="en-US"/>
              </w:rPr>
            </w:pPr>
            <w:proofErr w:type="spellStart"/>
            <w:r w:rsidRPr="00E378B5">
              <w:rPr>
                <w:b/>
                <w:lang w:val="en-US"/>
              </w:rPr>
              <w:t>Phenogroup</w:t>
            </w:r>
            <w:proofErr w:type="spellEnd"/>
            <w:r w:rsidRPr="00E378B5">
              <w:rPr>
                <w:b/>
                <w:lang w:val="en-US"/>
              </w:rPr>
              <w:t xml:space="preserve"> 1</w:t>
            </w:r>
          </w:p>
          <w:p w14:paraId="212BDC59" w14:textId="77777777" w:rsidR="00A055FE" w:rsidRPr="00E378B5" w:rsidRDefault="00A055FE" w:rsidP="00983CB7">
            <w:pPr>
              <w:spacing w:after="80"/>
              <w:jc w:val="center"/>
              <w:rPr>
                <w:b/>
                <w:lang w:val="en-US"/>
              </w:rPr>
            </w:pPr>
            <w:r w:rsidRPr="00E378B5">
              <w:rPr>
                <w:b/>
                <w:lang w:val="en-US"/>
              </w:rPr>
              <w:t>(N=854)</w:t>
            </w:r>
          </w:p>
        </w:tc>
        <w:tc>
          <w:tcPr>
            <w:tcW w:w="1040" w:type="dxa"/>
            <w:tcBorders>
              <w:top w:val="single" w:sz="4" w:space="0" w:color="auto"/>
              <w:bottom w:val="single" w:sz="4" w:space="0" w:color="auto"/>
            </w:tcBorders>
            <w:vAlign w:val="center"/>
          </w:tcPr>
          <w:p w14:paraId="2AB0FA28" w14:textId="77777777" w:rsidR="00A055FE" w:rsidRPr="00E378B5" w:rsidRDefault="00A055FE" w:rsidP="00983CB7">
            <w:pPr>
              <w:spacing w:before="80"/>
              <w:jc w:val="center"/>
              <w:rPr>
                <w:b/>
                <w:lang w:val="en-US"/>
              </w:rPr>
            </w:pPr>
            <w:r w:rsidRPr="00E378B5">
              <w:rPr>
                <w:b/>
                <w:lang w:val="en-US"/>
              </w:rPr>
              <w:t>p-value</w:t>
            </w:r>
          </w:p>
        </w:tc>
        <w:tc>
          <w:tcPr>
            <w:tcW w:w="284" w:type="dxa"/>
            <w:tcBorders>
              <w:top w:val="single" w:sz="4" w:space="0" w:color="auto"/>
              <w:bottom w:val="single" w:sz="4" w:space="0" w:color="auto"/>
            </w:tcBorders>
          </w:tcPr>
          <w:p w14:paraId="6279905E" w14:textId="77777777" w:rsidR="00A055FE" w:rsidRPr="00E378B5" w:rsidRDefault="00A055FE" w:rsidP="00983CB7">
            <w:pPr>
              <w:spacing w:before="80"/>
              <w:jc w:val="center"/>
              <w:rPr>
                <w:b/>
                <w:lang w:val="en-US"/>
              </w:rPr>
            </w:pPr>
          </w:p>
        </w:tc>
        <w:tc>
          <w:tcPr>
            <w:tcW w:w="1798" w:type="dxa"/>
            <w:tcBorders>
              <w:top w:val="single" w:sz="4" w:space="0" w:color="auto"/>
              <w:bottom w:val="single" w:sz="4" w:space="0" w:color="auto"/>
            </w:tcBorders>
          </w:tcPr>
          <w:p w14:paraId="6CA45D0F" w14:textId="77777777" w:rsidR="00A055FE" w:rsidRPr="00E378B5" w:rsidRDefault="00A055FE" w:rsidP="00983CB7">
            <w:pPr>
              <w:spacing w:before="80"/>
              <w:jc w:val="center"/>
              <w:rPr>
                <w:b/>
                <w:lang w:val="en-US"/>
              </w:rPr>
            </w:pPr>
            <w:proofErr w:type="spellStart"/>
            <w:r w:rsidRPr="00E378B5">
              <w:rPr>
                <w:b/>
                <w:lang w:val="en-US"/>
              </w:rPr>
              <w:t>Phenogroup</w:t>
            </w:r>
            <w:proofErr w:type="spellEnd"/>
            <w:r w:rsidRPr="00E378B5">
              <w:rPr>
                <w:b/>
                <w:lang w:val="en-US"/>
              </w:rPr>
              <w:t xml:space="preserve"> 2</w:t>
            </w:r>
          </w:p>
          <w:p w14:paraId="7892EC67" w14:textId="77777777" w:rsidR="00A055FE" w:rsidRPr="00E378B5" w:rsidRDefault="00A055FE" w:rsidP="00983CB7">
            <w:pPr>
              <w:spacing w:after="80"/>
              <w:jc w:val="center"/>
              <w:rPr>
                <w:b/>
                <w:lang w:val="en-US"/>
              </w:rPr>
            </w:pPr>
            <w:r w:rsidRPr="00E378B5">
              <w:rPr>
                <w:b/>
                <w:lang w:val="en-US"/>
              </w:rPr>
              <w:t>(N=681)</w:t>
            </w:r>
          </w:p>
        </w:tc>
        <w:tc>
          <w:tcPr>
            <w:tcW w:w="1037" w:type="dxa"/>
            <w:tcBorders>
              <w:top w:val="single" w:sz="4" w:space="0" w:color="auto"/>
              <w:bottom w:val="single" w:sz="4" w:space="0" w:color="auto"/>
            </w:tcBorders>
            <w:vAlign w:val="center"/>
          </w:tcPr>
          <w:p w14:paraId="3784113F" w14:textId="77777777" w:rsidR="00A055FE" w:rsidRPr="00E378B5" w:rsidRDefault="00A055FE" w:rsidP="00983CB7">
            <w:pPr>
              <w:spacing w:before="80"/>
              <w:jc w:val="center"/>
              <w:rPr>
                <w:b/>
                <w:lang w:val="en-US"/>
              </w:rPr>
            </w:pPr>
            <w:r w:rsidRPr="00E378B5">
              <w:rPr>
                <w:b/>
                <w:lang w:val="en-US"/>
              </w:rPr>
              <w:t>p-value</w:t>
            </w:r>
          </w:p>
        </w:tc>
        <w:tc>
          <w:tcPr>
            <w:tcW w:w="283" w:type="dxa"/>
            <w:tcBorders>
              <w:top w:val="single" w:sz="4" w:space="0" w:color="auto"/>
              <w:bottom w:val="single" w:sz="4" w:space="0" w:color="auto"/>
            </w:tcBorders>
          </w:tcPr>
          <w:p w14:paraId="60967208" w14:textId="77777777" w:rsidR="00A055FE" w:rsidRPr="00E378B5" w:rsidRDefault="00A055FE" w:rsidP="00983CB7">
            <w:pPr>
              <w:spacing w:before="80"/>
              <w:jc w:val="center"/>
              <w:rPr>
                <w:b/>
                <w:lang w:val="en-US"/>
              </w:rPr>
            </w:pPr>
          </w:p>
          <w:p w14:paraId="06A17613" w14:textId="77777777" w:rsidR="00A055FE" w:rsidRPr="00E378B5" w:rsidRDefault="00A055FE" w:rsidP="00983CB7">
            <w:pPr>
              <w:spacing w:after="80"/>
              <w:rPr>
                <w:b/>
                <w:lang w:val="en-US"/>
              </w:rPr>
            </w:pPr>
          </w:p>
        </w:tc>
        <w:tc>
          <w:tcPr>
            <w:tcW w:w="1843" w:type="dxa"/>
            <w:tcBorders>
              <w:top w:val="single" w:sz="4" w:space="0" w:color="auto"/>
              <w:bottom w:val="single" w:sz="4" w:space="0" w:color="auto"/>
            </w:tcBorders>
          </w:tcPr>
          <w:p w14:paraId="7B3B7038" w14:textId="77777777" w:rsidR="00A055FE" w:rsidRPr="00E378B5" w:rsidRDefault="00A055FE" w:rsidP="00983CB7">
            <w:pPr>
              <w:spacing w:before="80"/>
              <w:jc w:val="center"/>
              <w:rPr>
                <w:b/>
                <w:lang w:val="en-US"/>
              </w:rPr>
            </w:pPr>
            <w:proofErr w:type="spellStart"/>
            <w:r w:rsidRPr="00E378B5">
              <w:rPr>
                <w:b/>
                <w:lang w:val="en-US"/>
              </w:rPr>
              <w:t>Phenogroup</w:t>
            </w:r>
            <w:proofErr w:type="spellEnd"/>
            <w:r w:rsidRPr="00E378B5">
              <w:rPr>
                <w:b/>
                <w:lang w:val="en-US"/>
              </w:rPr>
              <w:t xml:space="preserve"> 3</w:t>
            </w:r>
          </w:p>
          <w:p w14:paraId="324D12D3" w14:textId="77777777" w:rsidR="00A055FE" w:rsidRPr="00E378B5" w:rsidRDefault="00A055FE" w:rsidP="00983CB7">
            <w:pPr>
              <w:spacing w:after="80"/>
              <w:jc w:val="center"/>
              <w:rPr>
                <w:b/>
                <w:lang w:val="en-US"/>
              </w:rPr>
            </w:pPr>
            <w:r w:rsidRPr="00E378B5">
              <w:rPr>
                <w:b/>
                <w:lang w:val="en-US"/>
              </w:rPr>
              <w:t>(N=480)</w:t>
            </w:r>
          </w:p>
        </w:tc>
        <w:tc>
          <w:tcPr>
            <w:tcW w:w="1110" w:type="dxa"/>
            <w:tcBorders>
              <w:top w:val="single" w:sz="4" w:space="0" w:color="auto"/>
              <w:bottom w:val="single" w:sz="4" w:space="0" w:color="auto"/>
            </w:tcBorders>
            <w:vAlign w:val="center"/>
          </w:tcPr>
          <w:p w14:paraId="51D7F381" w14:textId="77777777" w:rsidR="00A055FE" w:rsidRPr="00E378B5" w:rsidRDefault="00A055FE" w:rsidP="00983CB7">
            <w:pPr>
              <w:jc w:val="center"/>
              <w:rPr>
                <w:b/>
                <w:lang w:val="en-US"/>
              </w:rPr>
            </w:pPr>
            <w:r w:rsidRPr="00E378B5">
              <w:rPr>
                <w:b/>
                <w:lang w:val="en-US"/>
              </w:rPr>
              <w:t>p-value</w:t>
            </w:r>
          </w:p>
        </w:tc>
        <w:tc>
          <w:tcPr>
            <w:tcW w:w="260" w:type="dxa"/>
            <w:tcBorders>
              <w:top w:val="single" w:sz="4" w:space="0" w:color="auto"/>
              <w:bottom w:val="single" w:sz="4" w:space="0" w:color="auto"/>
            </w:tcBorders>
          </w:tcPr>
          <w:p w14:paraId="64A5874F" w14:textId="77777777" w:rsidR="00A055FE" w:rsidRPr="00E378B5" w:rsidRDefault="00A055FE" w:rsidP="00983CB7">
            <w:pPr>
              <w:jc w:val="center"/>
              <w:rPr>
                <w:b/>
                <w:lang w:val="en-US"/>
              </w:rPr>
            </w:pPr>
          </w:p>
        </w:tc>
      </w:tr>
      <w:tr w:rsidR="00E378B5" w:rsidRPr="00E378B5" w14:paraId="48881953" w14:textId="77777777" w:rsidTr="00983CB7">
        <w:tc>
          <w:tcPr>
            <w:tcW w:w="4516" w:type="dxa"/>
            <w:tcBorders>
              <w:top w:val="single" w:sz="4" w:space="0" w:color="auto"/>
            </w:tcBorders>
          </w:tcPr>
          <w:p w14:paraId="13930F83" w14:textId="77777777" w:rsidR="00A055FE" w:rsidRPr="00E378B5" w:rsidRDefault="00A055FE" w:rsidP="00983CB7">
            <w:pPr>
              <w:rPr>
                <w:bCs/>
                <w:lang w:val="en-US"/>
              </w:rPr>
            </w:pPr>
          </w:p>
        </w:tc>
        <w:tc>
          <w:tcPr>
            <w:tcW w:w="1815" w:type="dxa"/>
            <w:tcBorders>
              <w:top w:val="single" w:sz="4" w:space="0" w:color="auto"/>
            </w:tcBorders>
          </w:tcPr>
          <w:p w14:paraId="0BC6C7C5" w14:textId="77777777" w:rsidR="00A055FE" w:rsidRPr="00E378B5" w:rsidRDefault="00A055FE" w:rsidP="00983CB7">
            <w:pPr>
              <w:jc w:val="center"/>
              <w:rPr>
                <w:bCs/>
                <w:lang w:val="en-US"/>
              </w:rPr>
            </w:pPr>
          </w:p>
        </w:tc>
        <w:tc>
          <w:tcPr>
            <w:tcW w:w="1040" w:type="dxa"/>
            <w:tcBorders>
              <w:top w:val="single" w:sz="4" w:space="0" w:color="auto"/>
            </w:tcBorders>
          </w:tcPr>
          <w:p w14:paraId="63EA865D" w14:textId="77777777" w:rsidR="00A055FE" w:rsidRPr="00E378B5" w:rsidRDefault="00A055FE" w:rsidP="00983CB7">
            <w:pPr>
              <w:jc w:val="center"/>
              <w:rPr>
                <w:bCs/>
                <w:lang w:val="en-US"/>
              </w:rPr>
            </w:pPr>
          </w:p>
        </w:tc>
        <w:tc>
          <w:tcPr>
            <w:tcW w:w="284" w:type="dxa"/>
            <w:tcBorders>
              <w:top w:val="single" w:sz="4" w:space="0" w:color="auto"/>
            </w:tcBorders>
          </w:tcPr>
          <w:p w14:paraId="373187A9" w14:textId="77777777" w:rsidR="00A055FE" w:rsidRPr="00E378B5" w:rsidRDefault="00A055FE" w:rsidP="00983CB7">
            <w:pPr>
              <w:jc w:val="center"/>
              <w:rPr>
                <w:bCs/>
                <w:lang w:val="en-US"/>
              </w:rPr>
            </w:pPr>
          </w:p>
        </w:tc>
        <w:tc>
          <w:tcPr>
            <w:tcW w:w="1798" w:type="dxa"/>
            <w:tcBorders>
              <w:top w:val="single" w:sz="4" w:space="0" w:color="auto"/>
            </w:tcBorders>
          </w:tcPr>
          <w:p w14:paraId="022E2B20" w14:textId="77777777" w:rsidR="00A055FE" w:rsidRPr="00E378B5" w:rsidRDefault="00A055FE" w:rsidP="00983CB7">
            <w:pPr>
              <w:jc w:val="center"/>
              <w:rPr>
                <w:bCs/>
                <w:lang w:val="en-US"/>
              </w:rPr>
            </w:pPr>
          </w:p>
        </w:tc>
        <w:tc>
          <w:tcPr>
            <w:tcW w:w="1037" w:type="dxa"/>
            <w:tcBorders>
              <w:top w:val="single" w:sz="4" w:space="0" w:color="auto"/>
            </w:tcBorders>
          </w:tcPr>
          <w:p w14:paraId="40391E1A" w14:textId="77777777" w:rsidR="00A055FE" w:rsidRPr="00E378B5" w:rsidRDefault="00A055FE" w:rsidP="00983CB7">
            <w:pPr>
              <w:jc w:val="center"/>
              <w:rPr>
                <w:bCs/>
                <w:lang w:val="en-US"/>
              </w:rPr>
            </w:pPr>
          </w:p>
        </w:tc>
        <w:tc>
          <w:tcPr>
            <w:tcW w:w="283" w:type="dxa"/>
            <w:tcBorders>
              <w:top w:val="single" w:sz="4" w:space="0" w:color="auto"/>
            </w:tcBorders>
          </w:tcPr>
          <w:p w14:paraId="6A449D1E" w14:textId="77777777" w:rsidR="00A055FE" w:rsidRPr="00E378B5" w:rsidRDefault="00A055FE" w:rsidP="00983CB7">
            <w:pPr>
              <w:jc w:val="center"/>
              <w:rPr>
                <w:bCs/>
                <w:lang w:val="en-US"/>
              </w:rPr>
            </w:pPr>
          </w:p>
        </w:tc>
        <w:tc>
          <w:tcPr>
            <w:tcW w:w="1843" w:type="dxa"/>
            <w:tcBorders>
              <w:top w:val="single" w:sz="4" w:space="0" w:color="auto"/>
            </w:tcBorders>
          </w:tcPr>
          <w:p w14:paraId="654C784A" w14:textId="77777777" w:rsidR="00A055FE" w:rsidRPr="00E378B5" w:rsidRDefault="00A055FE" w:rsidP="00983CB7">
            <w:pPr>
              <w:jc w:val="center"/>
              <w:rPr>
                <w:bCs/>
                <w:lang w:val="en-US"/>
              </w:rPr>
            </w:pPr>
          </w:p>
        </w:tc>
        <w:tc>
          <w:tcPr>
            <w:tcW w:w="1110" w:type="dxa"/>
            <w:tcBorders>
              <w:top w:val="single" w:sz="4" w:space="0" w:color="auto"/>
            </w:tcBorders>
          </w:tcPr>
          <w:p w14:paraId="41AF9A68" w14:textId="77777777" w:rsidR="00A055FE" w:rsidRPr="00E378B5" w:rsidRDefault="00A055FE" w:rsidP="00983CB7">
            <w:pPr>
              <w:jc w:val="center"/>
              <w:rPr>
                <w:bCs/>
                <w:lang w:val="en-US"/>
              </w:rPr>
            </w:pPr>
          </w:p>
        </w:tc>
        <w:tc>
          <w:tcPr>
            <w:tcW w:w="260" w:type="dxa"/>
            <w:tcBorders>
              <w:top w:val="single" w:sz="4" w:space="0" w:color="auto"/>
            </w:tcBorders>
          </w:tcPr>
          <w:p w14:paraId="08C3545D" w14:textId="77777777" w:rsidR="00A055FE" w:rsidRPr="00E378B5" w:rsidRDefault="00A055FE" w:rsidP="00983CB7">
            <w:pPr>
              <w:jc w:val="center"/>
              <w:rPr>
                <w:bCs/>
                <w:lang w:val="en-US"/>
              </w:rPr>
            </w:pPr>
          </w:p>
        </w:tc>
      </w:tr>
      <w:tr w:rsidR="00E378B5" w:rsidRPr="00E378B5" w14:paraId="1938B41A"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nil"/>
              <w:right w:val="nil"/>
            </w:tcBorders>
          </w:tcPr>
          <w:p w14:paraId="28405F11" w14:textId="77777777" w:rsidR="00A055FE" w:rsidRPr="00E378B5" w:rsidRDefault="00A055FE" w:rsidP="00983CB7">
            <w:pPr>
              <w:rPr>
                <w:bCs/>
                <w:lang w:val="en-US"/>
              </w:rPr>
            </w:pPr>
            <w:r w:rsidRPr="00E378B5">
              <w:rPr>
                <w:b/>
                <w:lang w:val="en-US"/>
              </w:rPr>
              <w:t xml:space="preserve"> Unadjusted OR (95% CI)</w:t>
            </w:r>
            <w:r w:rsidRPr="00E378B5">
              <w:rPr>
                <w:b/>
                <w:vertAlign w:val="superscript"/>
                <w:lang w:val="en-US"/>
              </w:rPr>
              <w:t>*</w:t>
            </w:r>
          </w:p>
        </w:tc>
        <w:tc>
          <w:tcPr>
            <w:tcW w:w="1815" w:type="dxa"/>
            <w:tcBorders>
              <w:top w:val="nil"/>
              <w:left w:val="nil"/>
              <w:bottom w:val="nil"/>
              <w:right w:val="nil"/>
            </w:tcBorders>
          </w:tcPr>
          <w:p w14:paraId="488BE7D1" w14:textId="77777777" w:rsidR="00A055FE" w:rsidRPr="00E378B5" w:rsidRDefault="00A055FE" w:rsidP="00983CB7">
            <w:pPr>
              <w:jc w:val="center"/>
              <w:rPr>
                <w:bCs/>
                <w:lang w:val="en-US"/>
              </w:rPr>
            </w:pPr>
          </w:p>
        </w:tc>
        <w:tc>
          <w:tcPr>
            <w:tcW w:w="1040" w:type="dxa"/>
            <w:tcBorders>
              <w:top w:val="nil"/>
              <w:left w:val="nil"/>
              <w:bottom w:val="nil"/>
              <w:right w:val="nil"/>
            </w:tcBorders>
          </w:tcPr>
          <w:p w14:paraId="3A491232" w14:textId="77777777" w:rsidR="00A055FE" w:rsidRPr="00E378B5" w:rsidRDefault="00A055FE" w:rsidP="00983CB7">
            <w:pPr>
              <w:jc w:val="center"/>
              <w:rPr>
                <w:bCs/>
                <w:lang w:val="en-US"/>
              </w:rPr>
            </w:pPr>
          </w:p>
        </w:tc>
        <w:tc>
          <w:tcPr>
            <w:tcW w:w="284" w:type="dxa"/>
            <w:tcBorders>
              <w:top w:val="nil"/>
              <w:left w:val="nil"/>
              <w:bottom w:val="nil"/>
              <w:right w:val="nil"/>
            </w:tcBorders>
          </w:tcPr>
          <w:p w14:paraId="204BD6C4" w14:textId="77777777" w:rsidR="00A055FE" w:rsidRPr="00E378B5" w:rsidRDefault="00A055FE" w:rsidP="00983CB7">
            <w:pPr>
              <w:jc w:val="center"/>
              <w:rPr>
                <w:bCs/>
                <w:lang w:val="en-US"/>
              </w:rPr>
            </w:pPr>
          </w:p>
        </w:tc>
        <w:tc>
          <w:tcPr>
            <w:tcW w:w="1798" w:type="dxa"/>
            <w:tcBorders>
              <w:top w:val="nil"/>
              <w:left w:val="nil"/>
              <w:bottom w:val="nil"/>
              <w:right w:val="nil"/>
            </w:tcBorders>
          </w:tcPr>
          <w:p w14:paraId="187AE570" w14:textId="77777777" w:rsidR="00A055FE" w:rsidRPr="00E378B5" w:rsidRDefault="00A055FE" w:rsidP="00983CB7">
            <w:pPr>
              <w:jc w:val="center"/>
              <w:rPr>
                <w:bCs/>
                <w:lang w:val="en-US"/>
              </w:rPr>
            </w:pPr>
          </w:p>
        </w:tc>
        <w:tc>
          <w:tcPr>
            <w:tcW w:w="1037" w:type="dxa"/>
            <w:tcBorders>
              <w:top w:val="nil"/>
              <w:left w:val="nil"/>
              <w:bottom w:val="nil"/>
              <w:right w:val="nil"/>
            </w:tcBorders>
          </w:tcPr>
          <w:p w14:paraId="3DC0B10F" w14:textId="77777777" w:rsidR="00A055FE" w:rsidRPr="00E378B5" w:rsidRDefault="00A055FE" w:rsidP="00983CB7">
            <w:pPr>
              <w:jc w:val="center"/>
              <w:rPr>
                <w:bCs/>
                <w:lang w:val="en-US"/>
              </w:rPr>
            </w:pPr>
          </w:p>
        </w:tc>
        <w:tc>
          <w:tcPr>
            <w:tcW w:w="283" w:type="dxa"/>
            <w:tcBorders>
              <w:top w:val="nil"/>
              <w:left w:val="nil"/>
              <w:bottom w:val="nil"/>
              <w:right w:val="nil"/>
            </w:tcBorders>
          </w:tcPr>
          <w:p w14:paraId="24556F35" w14:textId="77777777" w:rsidR="00A055FE" w:rsidRPr="00E378B5" w:rsidRDefault="00A055FE" w:rsidP="00983CB7">
            <w:pPr>
              <w:jc w:val="center"/>
              <w:rPr>
                <w:bCs/>
                <w:lang w:val="en-US"/>
              </w:rPr>
            </w:pPr>
          </w:p>
        </w:tc>
        <w:tc>
          <w:tcPr>
            <w:tcW w:w="1843" w:type="dxa"/>
            <w:tcBorders>
              <w:top w:val="nil"/>
              <w:left w:val="nil"/>
              <w:bottom w:val="nil"/>
              <w:right w:val="nil"/>
            </w:tcBorders>
          </w:tcPr>
          <w:p w14:paraId="7C980729" w14:textId="77777777" w:rsidR="00A055FE" w:rsidRPr="00E378B5" w:rsidRDefault="00A055FE" w:rsidP="00983CB7">
            <w:pPr>
              <w:jc w:val="center"/>
              <w:rPr>
                <w:bCs/>
                <w:lang w:val="en-US"/>
              </w:rPr>
            </w:pPr>
          </w:p>
        </w:tc>
        <w:tc>
          <w:tcPr>
            <w:tcW w:w="1110" w:type="dxa"/>
            <w:tcBorders>
              <w:top w:val="nil"/>
              <w:left w:val="nil"/>
              <w:bottom w:val="nil"/>
              <w:right w:val="nil"/>
            </w:tcBorders>
          </w:tcPr>
          <w:p w14:paraId="6F57B7F6" w14:textId="77777777" w:rsidR="00A055FE" w:rsidRPr="00E378B5" w:rsidRDefault="00A055FE" w:rsidP="00983CB7">
            <w:pPr>
              <w:jc w:val="center"/>
              <w:rPr>
                <w:b/>
                <w:lang w:val="en-US"/>
              </w:rPr>
            </w:pPr>
          </w:p>
        </w:tc>
        <w:tc>
          <w:tcPr>
            <w:tcW w:w="260" w:type="dxa"/>
            <w:tcBorders>
              <w:top w:val="nil"/>
              <w:left w:val="nil"/>
              <w:bottom w:val="nil"/>
              <w:right w:val="nil"/>
            </w:tcBorders>
          </w:tcPr>
          <w:p w14:paraId="1339532D" w14:textId="77777777" w:rsidR="00A055FE" w:rsidRPr="00E378B5" w:rsidRDefault="00A055FE" w:rsidP="00983CB7">
            <w:pPr>
              <w:jc w:val="center"/>
              <w:rPr>
                <w:b/>
                <w:lang w:val="en-US"/>
              </w:rPr>
            </w:pPr>
          </w:p>
        </w:tc>
      </w:tr>
      <w:tr w:rsidR="00E378B5" w:rsidRPr="00E378B5" w14:paraId="2E340255"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nil"/>
              <w:right w:val="nil"/>
            </w:tcBorders>
          </w:tcPr>
          <w:p w14:paraId="2F61F940" w14:textId="77777777" w:rsidR="00A055FE" w:rsidRPr="00E378B5" w:rsidRDefault="00A055FE" w:rsidP="00983CB7">
            <w:pPr>
              <w:rPr>
                <w:bCs/>
                <w:lang w:val="en-US"/>
              </w:rPr>
            </w:pPr>
            <w:r w:rsidRPr="00E378B5">
              <w:rPr>
                <w:bCs/>
                <w:lang w:val="en-US"/>
              </w:rPr>
              <w:t xml:space="preserve">   P</w:t>
            </w:r>
            <w:r w:rsidRPr="00E378B5">
              <w:rPr>
                <w:lang w:val="en-US"/>
              </w:rPr>
              <w:t>roportion of non-calcified plaques &gt; 50%</w:t>
            </w:r>
          </w:p>
        </w:tc>
        <w:tc>
          <w:tcPr>
            <w:tcW w:w="1815" w:type="dxa"/>
            <w:tcBorders>
              <w:top w:val="nil"/>
              <w:left w:val="nil"/>
              <w:bottom w:val="nil"/>
              <w:right w:val="nil"/>
            </w:tcBorders>
          </w:tcPr>
          <w:p w14:paraId="5CA3E1BE" w14:textId="77777777" w:rsidR="00A055FE" w:rsidRPr="00E378B5" w:rsidRDefault="00A055FE" w:rsidP="00983CB7">
            <w:pPr>
              <w:jc w:val="center"/>
              <w:rPr>
                <w:bCs/>
                <w:lang w:val="en-US"/>
              </w:rPr>
            </w:pPr>
            <w:r w:rsidRPr="00E378B5">
              <w:rPr>
                <w:bCs/>
                <w:lang w:val="en-US"/>
              </w:rPr>
              <w:t>1.09 (0.80-2.22)</w:t>
            </w:r>
          </w:p>
        </w:tc>
        <w:tc>
          <w:tcPr>
            <w:tcW w:w="1040" w:type="dxa"/>
            <w:tcBorders>
              <w:top w:val="nil"/>
              <w:left w:val="nil"/>
              <w:bottom w:val="nil"/>
              <w:right w:val="nil"/>
            </w:tcBorders>
          </w:tcPr>
          <w:p w14:paraId="16181988" w14:textId="77777777" w:rsidR="00A055FE" w:rsidRPr="00E378B5" w:rsidRDefault="00A055FE" w:rsidP="00983CB7">
            <w:pPr>
              <w:jc w:val="center"/>
              <w:rPr>
                <w:bCs/>
                <w:lang w:val="en-US"/>
              </w:rPr>
            </w:pPr>
            <w:r w:rsidRPr="00E378B5">
              <w:rPr>
                <w:bCs/>
                <w:lang w:val="en-US"/>
              </w:rPr>
              <w:t>0.67</w:t>
            </w:r>
          </w:p>
        </w:tc>
        <w:tc>
          <w:tcPr>
            <w:tcW w:w="284" w:type="dxa"/>
            <w:tcBorders>
              <w:top w:val="nil"/>
              <w:left w:val="nil"/>
              <w:bottom w:val="nil"/>
              <w:right w:val="nil"/>
            </w:tcBorders>
          </w:tcPr>
          <w:p w14:paraId="35983246" w14:textId="77777777" w:rsidR="00A055FE" w:rsidRPr="00E378B5" w:rsidRDefault="00A055FE" w:rsidP="00983CB7">
            <w:pPr>
              <w:jc w:val="center"/>
              <w:rPr>
                <w:bCs/>
                <w:lang w:val="en-US"/>
              </w:rPr>
            </w:pPr>
          </w:p>
        </w:tc>
        <w:tc>
          <w:tcPr>
            <w:tcW w:w="1798" w:type="dxa"/>
            <w:tcBorders>
              <w:top w:val="nil"/>
              <w:left w:val="nil"/>
              <w:bottom w:val="nil"/>
              <w:right w:val="nil"/>
            </w:tcBorders>
          </w:tcPr>
          <w:p w14:paraId="2ACD864A" w14:textId="77777777" w:rsidR="00A055FE" w:rsidRPr="00E378B5" w:rsidRDefault="00A055FE" w:rsidP="00983CB7">
            <w:pPr>
              <w:jc w:val="center"/>
              <w:rPr>
                <w:bCs/>
                <w:lang w:val="en-US"/>
              </w:rPr>
            </w:pPr>
            <w:r w:rsidRPr="00E378B5">
              <w:rPr>
                <w:bCs/>
                <w:lang w:val="en-US"/>
              </w:rPr>
              <w:t>1.16 (0.89-2.89)</w:t>
            </w:r>
          </w:p>
        </w:tc>
        <w:tc>
          <w:tcPr>
            <w:tcW w:w="1037" w:type="dxa"/>
            <w:tcBorders>
              <w:top w:val="nil"/>
              <w:left w:val="nil"/>
              <w:bottom w:val="nil"/>
              <w:right w:val="nil"/>
            </w:tcBorders>
          </w:tcPr>
          <w:p w14:paraId="29A59D13" w14:textId="77777777" w:rsidR="00A055FE" w:rsidRPr="00E378B5" w:rsidRDefault="00A055FE" w:rsidP="00983CB7">
            <w:pPr>
              <w:jc w:val="center"/>
              <w:rPr>
                <w:bCs/>
                <w:lang w:val="en-US"/>
              </w:rPr>
            </w:pPr>
            <w:r w:rsidRPr="00E378B5">
              <w:rPr>
                <w:bCs/>
                <w:lang w:val="en-US"/>
              </w:rPr>
              <w:t>0.31</w:t>
            </w:r>
          </w:p>
        </w:tc>
        <w:tc>
          <w:tcPr>
            <w:tcW w:w="283" w:type="dxa"/>
            <w:tcBorders>
              <w:top w:val="nil"/>
              <w:left w:val="nil"/>
              <w:bottom w:val="nil"/>
              <w:right w:val="nil"/>
            </w:tcBorders>
          </w:tcPr>
          <w:p w14:paraId="5187B3B9" w14:textId="77777777" w:rsidR="00A055FE" w:rsidRPr="00E378B5" w:rsidRDefault="00A055FE" w:rsidP="00983CB7">
            <w:pPr>
              <w:jc w:val="center"/>
              <w:rPr>
                <w:bCs/>
                <w:lang w:val="en-US"/>
              </w:rPr>
            </w:pPr>
          </w:p>
        </w:tc>
        <w:tc>
          <w:tcPr>
            <w:tcW w:w="1843" w:type="dxa"/>
            <w:tcBorders>
              <w:top w:val="nil"/>
              <w:left w:val="nil"/>
              <w:bottom w:val="nil"/>
              <w:right w:val="nil"/>
            </w:tcBorders>
          </w:tcPr>
          <w:p w14:paraId="5E06A788" w14:textId="77777777" w:rsidR="00A055FE" w:rsidRPr="00E378B5" w:rsidRDefault="00A055FE" w:rsidP="00983CB7">
            <w:pPr>
              <w:jc w:val="center"/>
              <w:rPr>
                <w:bCs/>
                <w:lang w:val="en-US"/>
              </w:rPr>
            </w:pPr>
            <w:r w:rsidRPr="00E378B5">
              <w:rPr>
                <w:bCs/>
                <w:lang w:val="en-US"/>
              </w:rPr>
              <w:t>1.98 (1.09-3.29)</w:t>
            </w:r>
          </w:p>
        </w:tc>
        <w:tc>
          <w:tcPr>
            <w:tcW w:w="1110" w:type="dxa"/>
            <w:tcBorders>
              <w:top w:val="nil"/>
              <w:left w:val="nil"/>
              <w:bottom w:val="nil"/>
              <w:right w:val="nil"/>
            </w:tcBorders>
          </w:tcPr>
          <w:p w14:paraId="4055F8C1" w14:textId="77777777" w:rsidR="00A055FE" w:rsidRPr="00E378B5" w:rsidRDefault="00A055FE" w:rsidP="00983CB7">
            <w:pPr>
              <w:jc w:val="center"/>
              <w:rPr>
                <w:b/>
                <w:lang w:val="en-US"/>
              </w:rPr>
            </w:pPr>
            <w:r w:rsidRPr="00E378B5">
              <w:rPr>
                <w:b/>
                <w:lang w:val="en-US"/>
              </w:rPr>
              <w:t>0.041</w:t>
            </w:r>
          </w:p>
        </w:tc>
        <w:tc>
          <w:tcPr>
            <w:tcW w:w="260" w:type="dxa"/>
            <w:tcBorders>
              <w:top w:val="nil"/>
              <w:left w:val="nil"/>
              <w:bottom w:val="nil"/>
              <w:right w:val="nil"/>
            </w:tcBorders>
          </w:tcPr>
          <w:p w14:paraId="3D34D09E" w14:textId="77777777" w:rsidR="00A055FE" w:rsidRPr="00E378B5" w:rsidRDefault="00A055FE" w:rsidP="00983CB7">
            <w:pPr>
              <w:jc w:val="center"/>
              <w:rPr>
                <w:b/>
                <w:lang w:val="en-US"/>
              </w:rPr>
            </w:pPr>
          </w:p>
        </w:tc>
      </w:tr>
      <w:tr w:rsidR="00A055FE" w:rsidRPr="00E378B5" w14:paraId="0A3886A7"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single" w:sz="4" w:space="0" w:color="auto"/>
              <w:right w:val="nil"/>
            </w:tcBorders>
          </w:tcPr>
          <w:p w14:paraId="1C4A54EB" w14:textId="77777777" w:rsidR="00A055FE" w:rsidRPr="00E378B5" w:rsidRDefault="00A055FE" w:rsidP="00983CB7">
            <w:pPr>
              <w:rPr>
                <w:bCs/>
                <w:sz w:val="10"/>
                <w:szCs w:val="10"/>
                <w:lang w:val="en-US"/>
              </w:rPr>
            </w:pPr>
          </w:p>
        </w:tc>
        <w:tc>
          <w:tcPr>
            <w:tcW w:w="1815" w:type="dxa"/>
            <w:tcBorders>
              <w:top w:val="nil"/>
              <w:left w:val="nil"/>
              <w:bottom w:val="single" w:sz="4" w:space="0" w:color="auto"/>
              <w:right w:val="nil"/>
            </w:tcBorders>
          </w:tcPr>
          <w:p w14:paraId="6AA86D45" w14:textId="77777777" w:rsidR="00A055FE" w:rsidRPr="00E378B5" w:rsidRDefault="00A055FE" w:rsidP="00983CB7">
            <w:pPr>
              <w:jc w:val="center"/>
              <w:rPr>
                <w:bCs/>
                <w:sz w:val="10"/>
                <w:szCs w:val="10"/>
                <w:lang w:val="en-US"/>
              </w:rPr>
            </w:pPr>
          </w:p>
        </w:tc>
        <w:tc>
          <w:tcPr>
            <w:tcW w:w="1040" w:type="dxa"/>
            <w:tcBorders>
              <w:top w:val="nil"/>
              <w:left w:val="nil"/>
              <w:bottom w:val="single" w:sz="4" w:space="0" w:color="auto"/>
              <w:right w:val="nil"/>
            </w:tcBorders>
          </w:tcPr>
          <w:p w14:paraId="5A74EF38" w14:textId="77777777" w:rsidR="00A055FE" w:rsidRPr="00E378B5" w:rsidRDefault="00A055FE" w:rsidP="00983CB7">
            <w:pPr>
              <w:jc w:val="center"/>
              <w:rPr>
                <w:bCs/>
                <w:sz w:val="10"/>
                <w:szCs w:val="10"/>
                <w:lang w:val="en-US"/>
              </w:rPr>
            </w:pPr>
          </w:p>
        </w:tc>
        <w:tc>
          <w:tcPr>
            <w:tcW w:w="284" w:type="dxa"/>
            <w:tcBorders>
              <w:top w:val="nil"/>
              <w:left w:val="nil"/>
              <w:bottom w:val="single" w:sz="4" w:space="0" w:color="auto"/>
              <w:right w:val="nil"/>
            </w:tcBorders>
          </w:tcPr>
          <w:p w14:paraId="530A1A8C" w14:textId="77777777" w:rsidR="00A055FE" w:rsidRPr="00E378B5" w:rsidRDefault="00A055FE" w:rsidP="00983CB7">
            <w:pPr>
              <w:jc w:val="center"/>
              <w:rPr>
                <w:bCs/>
                <w:sz w:val="10"/>
                <w:szCs w:val="10"/>
                <w:lang w:val="en-US"/>
              </w:rPr>
            </w:pPr>
          </w:p>
        </w:tc>
        <w:tc>
          <w:tcPr>
            <w:tcW w:w="1798" w:type="dxa"/>
            <w:tcBorders>
              <w:top w:val="nil"/>
              <w:left w:val="nil"/>
              <w:bottom w:val="single" w:sz="4" w:space="0" w:color="auto"/>
              <w:right w:val="nil"/>
            </w:tcBorders>
          </w:tcPr>
          <w:p w14:paraId="45A95995" w14:textId="77777777" w:rsidR="00A055FE" w:rsidRPr="00E378B5" w:rsidRDefault="00A055FE" w:rsidP="00983CB7">
            <w:pPr>
              <w:jc w:val="center"/>
              <w:rPr>
                <w:bCs/>
                <w:sz w:val="10"/>
                <w:szCs w:val="10"/>
                <w:lang w:val="en-US"/>
              </w:rPr>
            </w:pPr>
          </w:p>
        </w:tc>
        <w:tc>
          <w:tcPr>
            <w:tcW w:w="1037" w:type="dxa"/>
            <w:tcBorders>
              <w:top w:val="nil"/>
              <w:left w:val="nil"/>
              <w:bottom w:val="single" w:sz="4" w:space="0" w:color="auto"/>
              <w:right w:val="nil"/>
            </w:tcBorders>
          </w:tcPr>
          <w:p w14:paraId="0CDE721D" w14:textId="77777777" w:rsidR="00A055FE" w:rsidRPr="00E378B5" w:rsidRDefault="00A055FE" w:rsidP="00983CB7">
            <w:pPr>
              <w:jc w:val="center"/>
              <w:rPr>
                <w:bCs/>
                <w:sz w:val="10"/>
                <w:szCs w:val="10"/>
                <w:lang w:val="en-US"/>
              </w:rPr>
            </w:pPr>
          </w:p>
        </w:tc>
        <w:tc>
          <w:tcPr>
            <w:tcW w:w="283" w:type="dxa"/>
            <w:tcBorders>
              <w:top w:val="nil"/>
              <w:left w:val="nil"/>
              <w:bottom w:val="single" w:sz="4" w:space="0" w:color="auto"/>
              <w:right w:val="nil"/>
            </w:tcBorders>
          </w:tcPr>
          <w:p w14:paraId="4CCC72DD" w14:textId="77777777" w:rsidR="00A055FE" w:rsidRPr="00E378B5" w:rsidRDefault="00A055FE" w:rsidP="00983CB7">
            <w:pPr>
              <w:jc w:val="center"/>
              <w:rPr>
                <w:bCs/>
                <w:sz w:val="10"/>
                <w:szCs w:val="10"/>
                <w:lang w:val="en-US"/>
              </w:rPr>
            </w:pPr>
          </w:p>
        </w:tc>
        <w:tc>
          <w:tcPr>
            <w:tcW w:w="1843" w:type="dxa"/>
            <w:tcBorders>
              <w:top w:val="nil"/>
              <w:left w:val="nil"/>
              <w:bottom w:val="single" w:sz="4" w:space="0" w:color="auto"/>
              <w:right w:val="nil"/>
            </w:tcBorders>
          </w:tcPr>
          <w:p w14:paraId="5A5F6831" w14:textId="77777777" w:rsidR="00A055FE" w:rsidRPr="00E378B5" w:rsidRDefault="00A055FE" w:rsidP="00983CB7">
            <w:pPr>
              <w:jc w:val="center"/>
              <w:rPr>
                <w:bCs/>
                <w:sz w:val="10"/>
                <w:szCs w:val="10"/>
                <w:lang w:val="en-US"/>
              </w:rPr>
            </w:pPr>
          </w:p>
        </w:tc>
        <w:tc>
          <w:tcPr>
            <w:tcW w:w="1110" w:type="dxa"/>
            <w:tcBorders>
              <w:top w:val="nil"/>
              <w:left w:val="nil"/>
              <w:bottom w:val="single" w:sz="4" w:space="0" w:color="auto"/>
              <w:right w:val="nil"/>
            </w:tcBorders>
          </w:tcPr>
          <w:p w14:paraId="192D0CD3" w14:textId="77777777" w:rsidR="00A055FE" w:rsidRPr="00E378B5" w:rsidRDefault="00A055FE" w:rsidP="00983CB7">
            <w:pPr>
              <w:jc w:val="center"/>
              <w:rPr>
                <w:bCs/>
                <w:sz w:val="10"/>
                <w:szCs w:val="10"/>
                <w:lang w:val="en-US"/>
              </w:rPr>
            </w:pPr>
          </w:p>
        </w:tc>
        <w:tc>
          <w:tcPr>
            <w:tcW w:w="260" w:type="dxa"/>
            <w:tcBorders>
              <w:top w:val="nil"/>
              <w:left w:val="nil"/>
              <w:bottom w:val="single" w:sz="4" w:space="0" w:color="auto"/>
              <w:right w:val="nil"/>
            </w:tcBorders>
          </w:tcPr>
          <w:p w14:paraId="7051B924" w14:textId="77777777" w:rsidR="00A055FE" w:rsidRPr="00E378B5" w:rsidRDefault="00A055FE" w:rsidP="00983CB7">
            <w:pPr>
              <w:jc w:val="center"/>
              <w:rPr>
                <w:bCs/>
                <w:sz w:val="10"/>
                <w:szCs w:val="10"/>
                <w:lang w:val="en-US"/>
              </w:rPr>
            </w:pPr>
          </w:p>
        </w:tc>
      </w:tr>
    </w:tbl>
    <w:p w14:paraId="35926FCA" w14:textId="77777777" w:rsidR="00A055FE" w:rsidRPr="00E378B5" w:rsidRDefault="00A055FE" w:rsidP="00A055FE">
      <w:pPr>
        <w:spacing w:line="276" w:lineRule="auto"/>
        <w:rPr>
          <w:i/>
          <w:iCs/>
          <w:u w:val="single"/>
          <w:lang w:val="en-US"/>
        </w:rPr>
      </w:pPr>
    </w:p>
    <w:p w14:paraId="4DD757EC" w14:textId="5002292C" w:rsidR="00A055FE" w:rsidRPr="00E378B5" w:rsidRDefault="00A055FE" w:rsidP="00A055FE">
      <w:pPr>
        <w:spacing w:line="276" w:lineRule="auto"/>
        <w:rPr>
          <w:lang w:val="en-US"/>
        </w:rPr>
      </w:pPr>
      <w:r w:rsidRPr="00E378B5">
        <w:rPr>
          <w:vertAlign w:val="superscript"/>
          <w:lang w:val="en-US"/>
        </w:rPr>
        <w:t>*</w:t>
      </w:r>
      <w:r w:rsidRPr="00E378B5">
        <w:rPr>
          <w:lang w:val="en-US"/>
        </w:rPr>
        <w:t xml:space="preserve">Unadjusted OR </w:t>
      </w:r>
      <w:r w:rsidR="00B961E6" w:rsidRPr="00E378B5">
        <w:rPr>
          <w:lang w:val="en-US"/>
        </w:rPr>
        <w:t xml:space="preserve">measures </w:t>
      </w:r>
      <w:r w:rsidRPr="00E378B5">
        <w:rPr>
          <w:lang w:val="en-US"/>
        </w:rPr>
        <w:t>the association between the proportion of noncalcified plaques &gt;50% by CCTA and the presence of LGE with ischemic pattern by CMR at baseline.</w:t>
      </w:r>
    </w:p>
    <w:p w14:paraId="5954D3C5" w14:textId="77777777" w:rsidR="00A055FE" w:rsidRPr="00E378B5" w:rsidRDefault="00A055FE" w:rsidP="00A055FE">
      <w:pPr>
        <w:spacing w:line="276" w:lineRule="auto"/>
        <w:rPr>
          <w:lang w:val="en-US"/>
        </w:rPr>
      </w:pPr>
    </w:p>
    <w:p w14:paraId="264D2102" w14:textId="3C43B8F3" w:rsidR="00A055FE" w:rsidRPr="00E378B5" w:rsidRDefault="00A055FE" w:rsidP="00A055FE">
      <w:pPr>
        <w:spacing w:line="276" w:lineRule="auto"/>
        <w:rPr>
          <w:i/>
          <w:iCs/>
          <w:lang w:val="en-US"/>
        </w:rPr>
      </w:pPr>
      <w:r w:rsidRPr="00E378B5">
        <w:rPr>
          <w:i/>
          <w:iCs/>
          <w:u w:val="single"/>
          <w:lang w:val="en-US"/>
        </w:rPr>
        <w:t>Abbreviations</w:t>
      </w:r>
      <w:r w:rsidRPr="00E378B5">
        <w:rPr>
          <w:i/>
          <w:iCs/>
          <w:lang w:val="en-US"/>
        </w:rPr>
        <w:t xml:space="preserve">: CI: confidence interval; </w:t>
      </w:r>
      <w:r w:rsidR="00035F53" w:rsidRPr="00E378B5">
        <w:rPr>
          <w:i/>
          <w:iCs/>
          <w:lang w:val="en-US"/>
        </w:rPr>
        <w:t xml:space="preserve">LGE: late gadolinium enhancement; </w:t>
      </w:r>
      <w:r w:rsidRPr="00E378B5">
        <w:rPr>
          <w:i/>
          <w:iCs/>
          <w:lang w:val="en-US"/>
        </w:rPr>
        <w:t xml:space="preserve">OR: odd ratio. </w:t>
      </w:r>
    </w:p>
    <w:p w14:paraId="77F8078A" w14:textId="77777777" w:rsidR="00A055FE" w:rsidRPr="00E378B5" w:rsidRDefault="00A055FE" w:rsidP="00A055FE">
      <w:pPr>
        <w:ind w:right="866"/>
        <w:rPr>
          <w:b/>
          <w:sz w:val="28"/>
          <w:szCs w:val="28"/>
          <w:lang w:val="en-US"/>
        </w:rPr>
      </w:pPr>
    </w:p>
    <w:p w14:paraId="7D3AD39C" w14:textId="77777777" w:rsidR="00A055FE" w:rsidRPr="00E378B5" w:rsidRDefault="00A055FE" w:rsidP="00B7325C">
      <w:pPr>
        <w:spacing w:line="360" w:lineRule="auto"/>
        <w:ind w:right="866"/>
        <w:rPr>
          <w:rFonts w:eastAsia="Calibri"/>
          <w:b/>
          <w:u w:val="single"/>
          <w:lang w:val="en-US" w:eastAsia="en-US"/>
        </w:rPr>
        <w:sectPr w:rsidR="00A055FE" w:rsidRPr="00E378B5" w:rsidSect="00B7325C">
          <w:pgSz w:w="16820" w:h="11900" w:orient="landscape"/>
          <w:pgMar w:top="1417" w:right="1417" w:bottom="1417" w:left="1417" w:header="708" w:footer="708" w:gutter="0"/>
          <w:cols w:space="708"/>
          <w:docGrid w:linePitch="360"/>
        </w:sectPr>
      </w:pPr>
    </w:p>
    <w:p w14:paraId="448EC754" w14:textId="33FFEAD5" w:rsidR="00B7325C" w:rsidRPr="00E378B5" w:rsidRDefault="00B7325C" w:rsidP="00B7325C">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15</w:t>
      </w:r>
    </w:p>
    <w:p w14:paraId="0BB73F7E" w14:textId="1C802503" w:rsidR="00FE0E4C" w:rsidRPr="00E378B5" w:rsidRDefault="00FE0E4C" w:rsidP="00FE0E4C">
      <w:pPr>
        <w:ind w:right="866"/>
        <w:rPr>
          <w:b/>
          <w:lang w:val="en-US"/>
        </w:rPr>
      </w:pPr>
      <w:r w:rsidRPr="00E378B5">
        <w:rPr>
          <w:b/>
          <w:lang w:val="en-US"/>
        </w:rPr>
        <w:t xml:space="preserve">Table. Sensitivity analysis: Association of </w:t>
      </w:r>
      <w:proofErr w:type="spellStart"/>
      <w:r w:rsidRPr="00E378B5">
        <w:rPr>
          <w:b/>
          <w:lang w:val="en-US"/>
        </w:rPr>
        <w:t>phenogroups</w:t>
      </w:r>
      <w:proofErr w:type="spellEnd"/>
      <w:r w:rsidRPr="00E378B5">
        <w:rPr>
          <w:b/>
          <w:lang w:val="en-US"/>
        </w:rPr>
        <w:t xml:space="preserve"> with adverse outcomes on Cox proportional hazard analysis.</w:t>
      </w:r>
    </w:p>
    <w:p w14:paraId="100B8E22" w14:textId="77777777" w:rsidR="00FE0E4C" w:rsidRPr="00E378B5" w:rsidRDefault="00FE0E4C" w:rsidP="00FE0E4C">
      <w:pPr>
        <w:ind w:right="866"/>
        <w:rPr>
          <w:b/>
          <w:sz w:val="28"/>
          <w:szCs w:val="28"/>
          <w:lang w:val="en-US"/>
        </w:rPr>
      </w:pPr>
    </w:p>
    <w:tbl>
      <w:tblPr>
        <w:tblStyle w:val="TableGrid"/>
        <w:tblW w:w="14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284"/>
        <w:gridCol w:w="2267"/>
        <w:gridCol w:w="1276"/>
        <w:gridCol w:w="695"/>
        <w:gridCol w:w="2082"/>
        <w:gridCol w:w="1164"/>
        <w:gridCol w:w="236"/>
      </w:tblGrid>
      <w:tr w:rsidR="00E378B5" w:rsidRPr="00E378B5" w14:paraId="57790C26" w14:textId="77777777" w:rsidTr="00983CB7">
        <w:tc>
          <w:tcPr>
            <w:tcW w:w="4503" w:type="dxa"/>
            <w:tcBorders>
              <w:top w:val="single" w:sz="4" w:space="0" w:color="auto"/>
              <w:bottom w:val="single" w:sz="4" w:space="0" w:color="auto"/>
            </w:tcBorders>
          </w:tcPr>
          <w:p w14:paraId="26585B29" w14:textId="77777777" w:rsidR="00FE0E4C" w:rsidRPr="00E378B5" w:rsidRDefault="00FE0E4C" w:rsidP="00983CB7">
            <w:pPr>
              <w:rPr>
                <w:bCs/>
                <w:lang w:val="en-US"/>
              </w:rPr>
            </w:pPr>
          </w:p>
        </w:tc>
        <w:tc>
          <w:tcPr>
            <w:tcW w:w="1701" w:type="dxa"/>
            <w:tcBorders>
              <w:top w:val="single" w:sz="4" w:space="0" w:color="auto"/>
              <w:bottom w:val="single" w:sz="4" w:space="0" w:color="auto"/>
            </w:tcBorders>
          </w:tcPr>
          <w:p w14:paraId="26ADFF33" w14:textId="77777777" w:rsidR="00FE0E4C" w:rsidRPr="00E378B5" w:rsidRDefault="00FE0E4C" w:rsidP="00983CB7">
            <w:pPr>
              <w:spacing w:before="80"/>
              <w:jc w:val="center"/>
              <w:rPr>
                <w:b/>
                <w:lang w:val="en-US"/>
              </w:rPr>
            </w:pPr>
            <w:proofErr w:type="spellStart"/>
            <w:r w:rsidRPr="00E378B5">
              <w:rPr>
                <w:b/>
                <w:lang w:val="en-US"/>
              </w:rPr>
              <w:t>Phenogroup</w:t>
            </w:r>
            <w:proofErr w:type="spellEnd"/>
            <w:r w:rsidRPr="00E378B5">
              <w:rPr>
                <w:b/>
                <w:lang w:val="en-US"/>
              </w:rPr>
              <w:t xml:space="preserve"> 1</w:t>
            </w:r>
          </w:p>
          <w:p w14:paraId="7C24100E" w14:textId="77777777" w:rsidR="00FE0E4C" w:rsidRPr="00E378B5" w:rsidRDefault="00FE0E4C" w:rsidP="00983CB7">
            <w:pPr>
              <w:spacing w:after="80"/>
              <w:jc w:val="center"/>
              <w:rPr>
                <w:b/>
                <w:lang w:val="en-US"/>
              </w:rPr>
            </w:pPr>
            <w:r w:rsidRPr="00E378B5">
              <w:rPr>
                <w:b/>
                <w:lang w:val="en-US"/>
              </w:rPr>
              <w:t>(N=854)</w:t>
            </w:r>
          </w:p>
        </w:tc>
        <w:tc>
          <w:tcPr>
            <w:tcW w:w="284" w:type="dxa"/>
            <w:tcBorders>
              <w:top w:val="single" w:sz="4" w:space="0" w:color="auto"/>
              <w:bottom w:val="single" w:sz="4" w:space="0" w:color="auto"/>
            </w:tcBorders>
          </w:tcPr>
          <w:p w14:paraId="0E88E2B3" w14:textId="77777777" w:rsidR="00FE0E4C" w:rsidRPr="00E378B5" w:rsidRDefault="00FE0E4C" w:rsidP="00983CB7">
            <w:pPr>
              <w:spacing w:before="80"/>
              <w:jc w:val="center"/>
              <w:rPr>
                <w:b/>
                <w:lang w:val="en-US"/>
              </w:rPr>
            </w:pPr>
          </w:p>
        </w:tc>
        <w:tc>
          <w:tcPr>
            <w:tcW w:w="2267" w:type="dxa"/>
            <w:tcBorders>
              <w:top w:val="single" w:sz="4" w:space="0" w:color="auto"/>
              <w:bottom w:val="single" w:sz="4" w:space="0" w:color="auto"/>
            </w:tcBorders>
          </w:tcPr>
          <w:p w14:paraId="346D9903" w14:textId="77777777" w:rsidR="00FE0E4C" w:rsidRPr="00E378B5" w:rsidRDefault="00FE0E4C" w:rsidP="00983CB7">
            <w:pPr>
              <w:spacing w:before="80"/>
              <w:jc w:val="center"/>
              <w:rPr>
                <w:b/>
                <w:lang w:val="en-US"/>
              </w:rPr>
            </w:pPr>
            <w:proofErr w:type="spellStart"/>
            <w:r w:rsidRPr="00E378B5">
              <w:rPr>
                <w:b/>
                <w:lang w:val="en-US"/>
              </w:rPr>
              <w:t>Phenogroup</w:t>
            </w:r>
            <w:proofErr w:type="spellEnd"/>
            <w:r w:rsidRPr="00E378B5">
              <w:rPr>
                <w:b/>
                <w:lang w:val="en-US"/>
              </w:rPr>
              <w:t xml:space="preserve"> 2</w:t>
            </w:r>
          </w:p>
          <w:p w14:paraId="6B93D377" w14:textId="77777777" w:rsidR="00FE0E4C" w:rsidRPr="00E378B5" w:rsidRDefault="00FE0E4C" w:rsidP="00983CB7">
            <w:pPr>
              <w:spacing w:after="80"/>
              <w:jc w:val="center"/>
              <w:rPr>
                <w:b/>
                <w:lang w:val="en-US"/>
              </w:rPr>
            </w:pPr>
            <w:r w:rsidRPr="00E378B5">
              <w:rPr>
                <w:b/>
                <w:lang w:val="en-US"/>
              </w:rPr>
              <w:t>(N=681)</w:t>
            </w:r>
          </w:p>
        </w:tc>
        <w:tc>
          <w:tcPr>
            <w:tcW w:w="1276" w:type="dxa"/>
            <w:tcBorders>
              <w:top w:val="single" w:sz="4" w:space="0" w:color="auto"/>
              <w:bottom w:val="single" w:sz="4" w:space="0" w:color="auto"/>
            </w:tcBorders>
            <w:vAlign w:val="center"/>
          </w:tcPr>
          <w:p w14:paraId="21247218" w14:textId="77777777" w:rsidR="00FE0E4C" w:rsidRPr="00E378B5" w:rsidRDefault="00FE0E4C" w:rsidP="00983CB7">
            <w:pPr>
              <w:spacing w:before="80"/>
              <w:jc w:val="center"/>
              <w:rPr>
                <w:b/>
                <w:lang w:val="en-US"/>
              </w:rPr>
            </w:pPr>
            <w:r w:rsidRPr="00E378B5">
              <w:rPr>
                <w:b/>
                <w:lang w:val="en-US"/>
              </w:rPr>
              <w:t>p-value</w:t>
            </w:r>
            <w:r w:rsidRPr="00E378B5">
              <w:rPr>
                <w:b/>
                <w:vertAlign w:val="superscript"/>
                <w:lang w:val="en-US"/>
              </w:rPr>
              <w:t>*</w:t>
            </w:r>
          </w:p>
        </w:tc>
        <w:tc>
          <w:tcPr>
            <w:tcW w:w="695" w:type="dxa"/>
            <w:tcBorders>
              <w:top w:val="single" w:sz="4" w:space="0" w:color="auto"/>
              <w:bottom w:val="single" w:sz="4" w:space="0" w:color="auto"/>
            </w:tcBorders>
          </w:tcPr>
          <w:p w14:paraId="0E39D1EC" w14:textId="77777777" w:rsidR="00FE0E4C" w:rsidRPr="00E378B5" w:rsidRDefault="00FE0E4C" w:rsidP="00983CB7">
            <w:pPr>
              <w:spacing w:before="80"/>
              <w:jc w:val="center"/>
              <w:rPr>
                <w:b/>
                <w:lang w:val="en-US"/>
              </w:rPr>
            </w:pPr>
          </w:p>
          <w:p w14:paraId="5B36FDFC" w14:textId="77777777" w:rsidR="00FE0E4C" w:rsidRPr="00E378B5" w:rsidRDefault="00FE0E4C" w:rsidP="00983CB7">
            <w:pPr>
              <w:spacing w:after="80"/>
              <w:rPr>
                <w:b/>
                <w:lang w:val="en-US"/>
              </w:rPr>
            </w:pPr>
          </w:p>
        </w:tc>
        <w:tc>
          <w:tcPr>
            <w:tcW w:w="2082" w:type="dxa"/>
            <w:tcBorders>
              <w:top w:val="single" w:sz="4" w:space="0" w:color="auto"/>
              <w:bottom w:val="single" w:sz="4" w:space="0" w:color="auto"/>
            </w:tcBorders>
          </w:tcPr>
          <w:p w14:paraId="67BA8FAD" w14:textId="77777777" w:rsidR="00FE0E4C" w:rsidRPr="00E378B5" w:rsidRDefault="00FE0E4C" w:rsidP="00983CB7">
            <w:pPr>
              <w:spacing w:before="80"/>
              <w:jc w:val="center"/>
              <w:rPr>
                <w:b/>
                <w:lang w:val="en-US"/>
              </w:rPr>
            </w:pPr>
            <w:proofErr w:type="spellStart"/>
            <w:r w:rsidRPr="00E378B5">
              <w:rPr>
                <w:b/>
                <w:lang w:val="en-US"/>
              </w:rPr>
              <w:t>Phenogroup</w:t>
            </w:r>
            <w:proofErr w:type="spellEnd"/>
            <w:r w:rsidRPr="00E378B5">
              <w:rPr>
                <w:b/>
                <w:lang w:val="en-US"/>
              </w:rPr>
              <w:t xml:space="preserve"> 3</w:t>
            </w:r>
          </w:p>
          <w:p w14:paraId="7B26C599" w14:textId="77777777" w:rsidR="00FE0E4C" w:rsidRPr="00E378B5" w:rsidRDefault="00FE0E4C" w:rsidP="00983CB7">
            <w:pPr>
              <w:spacing w:after="80"/>
              <w:jc w:val="center"/>
              <w:rPr>
                <w:b/>
                <w:lang w:val="en-US"/>
              </w:rPr>
            </w:pPr>
            <w:r w:rsidRPr="00E378B5">
              <w:rPr>
                <w:b/>
                <w:lang w:val="en-US"/>
              </w:rPr>
              <w:t>(N=480)</w:t>
            </w:r>
          </w:p>
        </w:tc>
        <w:tc>
          <w:tcPr>
            <w:tcW w:w="1164" w:type="dxa"/>
            <w:tcBorders>
              <w:top w:val="single" w:sz="4" w:space="0" w:color="auto"/>
              <w:bottom w:val="single" w:sz="4" w:space="0" w:color="auto"/>
            </w:tcBorders>
            <w:vAlign w:val="center"/>
          </w:tcPr>
          <w:p w14:paraId="1977720D" w14:textId="77777777" w:rsidR="00FE0E4C" w:rsidRPr="00E378B5" w:rsidRDefault="00FE0E4C" w:rsidP="00983CB7">
            <w:pPr>
              <w:jc w:val="center"/>
              <w:rPr>
                <w:b/>
                <w:lang w:val="en-US"/>
              </w:rPr>
            </w:pPr>
            <w:r w:rsidRPr="00E378B5">
              <w:rPr>
                <w:b/>
                <w:lang w:val="en-US"/>
              </w:rPr>
              <w:t>p-value</w:t>
            </w:r>
            <w:r w:rsidRPr="00E378B5">
              <w:rPr>
                <w:vertAlign w:val="superscript"/>
                <w:lang w:val="en-US"/>
              </w:rPr>
              <w:t>†</w:t>
            </w:r>
          </w:p>
        </w:tc>
        <w:tc>
          <w:tcPr>
            <w:tcW w:w="236" w:type="dxa"/>
            <w:tcBorders>
              <w:top w:val="single" w:sz="4" w:space="0" w:color="auto"/>
              <w:bottom w:val="single" w:sz="4" w:space="0" w:color="auto"/>
            </w:tcBorders>
          </w:tcPr>
          <w:p w14:paraId="165F0CC1" w14:textId="77777777" w:rsidR="00FE0E4C" w:rsidRPr="00E378B5" w:rsidRDefault="00FE0E4C" w:rsidP="00983CB7">
            <w:pPr>
              <w:jc w:val="center"/>
              <w:rPr>
                <w:b/>
                <w:lang w:val="en-US"/>
              </w:rPr>
            </w:pPr>
          </w:p>
        </w:tc>
      </w:tr>
      <w:tr w:rsidR="00E378B5" w:rsidRPr="00E378B5" w14:paraId="3E0EA721" w14:textId="77777777" w:rsidTr="00983CB7">
        <w:tc>
          <w:tcPr>
            <w:tcW w:w="4503" w:type="dxa"/>
            <w:tcBorders>
              <w:top w:val="single" w:sz="4" w:space="0" w:color="auto"/>
            </w:tcBorders>
          </w:tcPr>
          <w:p w14:paraId="59D3E4F2" w14:textId="77777777" w:rsidR="00FE0E4C" w:rsidRPr="00E378B5" w:rsidRDefault="00FE0E4C" w:rsidP="00983CB7">
            <w:pPr>
              <w:rPr>
                <w:bCs/>
                <w:lang w:val="en-US"/>
              </w:rPr>
            </w:pPr>
          </w:p>
        </w:tc>
        <w:tc>
          <w:tcPr>
            <w:tcW w:w="1701" w:type="dxa"/>
            <w:tcBorders>
              <w:top w:val="single" w:sz="4" w:space="0" w:color="auto"/>
            </w:tcBorders>
          </w:tcPr>
          <w:p w14:paraId="3102FB45" w14:textId="77777777" w:rsidR="00FE0E4C" w:rsidRPr="00E378B5" w:rsidRDefault="00FE0E4C" w:rsidP="00983CB7">
            <w:pPr>
              <w:jc w:val="center"/>
              <w:rPr>
                <w:bCs/>
                <w:lang w:val="en-US"/>
              </w:rPr>
            </w:pPr>
          </w:p>
        </w:tc>
        <w:tc>
          <w:tcPr>
            <w:tcW w:w="284" w:type="dxa"/>
            <w:tcBorders>
              <w:top w:val="single" w:sz="4" w:space="0" w:color="auto"/>
            </w:tcBorders>
          </w:tcPr>
          <w:p w14:paraId="5A6E5A5C" w14:textId="77777777" w:rsidR="00FE0E4C" w:rsidRPr="00E378B5" w:rsidRDefault="00FE0E4C" w:rsidP="00983CB7">
            <w:pPr>
              <w:jc w:val="center"/>
              <w:rPr>
                <w:bCs/>
                <w:lang w:val="en-US"/>
              </w:rPr>
            </w:pPr>
          </w:p>
        </w:tc>
        <w:tc>
          <w:tcPr>
            <w:tcW w:w="2267" w:type="dxa"/>
            <w:tcBorders>
              <w:top w:val="single" w:sz="4" w:space="0" w:color="auto"/>
            </w:tcBorders>
          </w:tcPr>
          <w:p w14:paraId="568D6286" w14:textId="77777777" w:rsidR="00FE0E4C" w:rsidRPr="00E378B5" w:rsidRDefault="00FE0E4C" w:rsidP="00983CB7">
            <w:pPr>
              <w:jc w:val="center"/>
              <w:rPr>
                <w:bCs/>
                <w:lang w:val="en-US"/>
              </w:rPr>
            </w:pPr>
          </w:p>
        </w:tc>
        <w:tc>
          <w:tcPr>
            <w:tcW w:w="1276" w:type="dxa"/>
            <w:tcBorders>
              <w:top w:val="single" w:sz="4" w:space="0" w:color="auto"/>
            </w:tcBorders>
          </w:tcPr>
          <w:p w14:paraId="09098620" w14:textId="77777777" w:rsidR="00FE0E4C" w:rsidRPr="00E378B5" w:rsidRDefault="00FE0E4C" w:rsidP="00983CB7">
            <w:pPr>
              <w:jc w:val="center"/>
              <w:rPr>
                <w:bCs/>
                <w:lang w:val="en-US"/>
              </w:rPr>
            </w:pPr>
          </w:p>
        </w:tc>
        <w:tc>
          <w:tcPr>
            <w:tcW w:w="695" w:type="dxa"/>
            <w:tcBorders>
              <w:top w:val="single" w:sz="4" w:space="0" w:color="auto"/>
            </w:tcBorders>
          </w:tcPr>
          <w:p w14:paraId="4D6B2C20" w14:textId="77777777" w:rsidR="00FE0E4C" w:rsidRPr="00E378B5" w:rsidRDefault="00FE0E4C" w:rsidP="00983CB7">
            <w:pPr>
              <w:jc w:val="center"/>
              <w:rPr>
                <w:bCs/>
                <w:lang w:val="en-US"/>
              </w:rPr>
            </w:pPr>
          </w:p>
        </w:tc>
        <w:tc>
          <w:tcPr>
            <w:tcW w:w="2082" w:type="dxa"/>
            <w:tcBorders>
              <w:top w:val="single" w:sz="4" w:space="0" w:color="auto"/>
            </w:tcBorders>
          </w:tcPr>
          <w:p w14:paraId="2388B1CD" w14:textId="77777777" w:rsidR="00FE0E4C" w:rsidRPr="00E378B5" w:rsidRDefault="00FE0E4C" w:rsidP="00983CB7">
            <w:pPr>
              <w:jc w:val="center"/>
              <w:rPr>
                <w:bCs/>
                <w:lang w:val="en-US"/>
              </w:rPr>
            </w:pPr>
          </w:p>
        </w:tc>
        <w:tc>
          <w:tcPr>
            <w:tcW w:w="1164" w:type="dxa"/>
            <w:tcBorders>
              <w:top w:val="single" w:sz="4" w:space="0" w:color="auto"/>
            </w:tcBorders>
          </w:tcPr>
          <w:p w14:paraId="4E19C7B5" w14:textId="77777777" w:rsidR="00FE0E4C" w:rsidRPr="00E378B5" w:rsidRDefault="00FE0E4C" w:rsidP="00983CB7">
            <w:pPr>
              <w:jc w:val="center"/>
              <w:rPr>
                <w:bCs/>
                <w:lang w:val="en-US"/>
              </w:rPr>
            </w:pPr>
          </w:p>
        </w:tc>
        <w:tc>
          <w:tcPr>
            <w:tcW w:w="236" w:type="dxa"/>
            <w:tcBorders>
              <w:top w:val="single" w:sz="4" w:space="0" w:color="auto"/>
            </w:tcBorders>
          </w:tcPr>
          <w:p w14:paraId="4E0F5A79" w14:textId="77777777" w:rsidR="00FE0E4C" w:rsidRPr="00E378B5" w:rsidRDefault="00FE0E4C" w:rsidP="00983CB7">
            <w:pPr>
              <w:jc w:val="center"/>
              <w:rPr>
                <w:bCs/>
                <w:lang w:val="en-US"/>
              </w:rPr>
            </w:pPr>
          </w:p>
        </w:tc>
      </w:tr>
      <w:tr w:rsidR="00E378B5" w:rsidRPr="00E378B5" w14:paraId="2D67EE40"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5E3350B5" w14:textId="77777777" w:rsidR="00FE0E4C" w:rsidRPr="00E378B5" w:rsidRDefault="00FE0E4C" w:rsidP="00983CB7">
            <w:pPr>
              <w:rPr>
                <w:bCs/>
                <w:lang w:val="en-US"/>
              </w:rPr>
            </w:pPr>
            <w:r w:rsidRPr="00E378B5">
              <w:rPr>
                <w:b/>
                <w:lang w:val="en-US"/>
              </w:rPr>
              <w:t xml:space="preserve"> Adjusted HR (95% CI)</w:t>
            </w:r>
            <w:r w:rsidRPr="00E378B5">
              <w:rPr>
                <w:vertAlign w:val="superscript"/>
                <w:lang w:val="en-US"/>
              </w:rPr>
              <w:t>‡</w:t>
            </w:r>
            <w:r w:rsidRPr="00E378B5">
              <w:rPr>
                <w:vertAlign w:val="superscript"/>
                <w:lang w:val="en-GB"/>
              </w:rPr>
              <w:t xml:space="preserve"> </w:t>
            </w:r>
            <w:r w:rsidRPr="00E378B5">
              <w:rPr>
                <w:b/>
                <w:lang w:val="en-US"/>
              </w:rPr>
              <w:t xml:space="preserve"> </w:t>
            </w:r>
          </w:p>
        </w:tc>
        <w:tc>
          <w:tcPr>
            <w:tcW w:w="1701" w:type="dxa"/>
            <w:tcBorders>
              <w:top w:val="nil"/>
              <w:left w:val="nil"/>
              <w:bottom w:val="nil"/>
              <w:right w:val="nil"/>
            </w:tcBorders>
          </w:tcPr>
          <w:p w14:paraId="71AC15E1" w14:textId="77777777" w:rsidR="00FE0E4C" w:rsidRPr="00E378B5" w:rsidRDefault="00FE0E4C" w:rsidP="00983CB7">
            <w:pPr>
              <w:jc w:val="center"/>
              <w:rPr>
                <w:bCs/>
                <w:lang w:val="en-US"/>
              </w:rPr>
            </w:pPr>
          </w:p>
        </w:tc>
        <w:tc>
          <w:tcPr>
            <w:tcW w:w="284" w:type="dxa"/>
            <w:tcBorders>
              <w:top w:val="nil"/>
              <w:left w:val="nil"/>
              <w:bottom w:val="nil"/>
              <w:right w:val="nil"/>
            </w:tcBorders>
          </w:tcPr>
          <w:p w14:paraId="71D048AE" w14:textId="77777777" w:rsidR="00FE0E4C" w:rsidRPr="00E378B5" w:rsidRDefault="00FE0E4C" w:rsidP="00983CB7">
            <w:pPr>
              <w:jc w:val="center"/>
              <w:rPr>
                <w:bCs/>
                <w:lang w:val="en-US"/>
              </w:rPr>
            </w:pPr>
          </w:p>
        </w:tc>
        <w:tc>
          <w:tcPr>
            <w:tcW w:w="2267" w:type="dxa"/>
            <w:tcBorders>
              <w:top w:val="nil"/>
              <w:left w:val="nil"/>
              <w:bottom w:val="nil"/>
              <w:right w:val="nil"/>
            </w:tcBorders>
          </w:tcPr>
          <w:p w14:paraId="5E81236F" w14:textId="77777777" w:rsidR="00FE0E4C" w:rsidRPr="00E378B5" w:rsidRDefault="00FE0E4C" w:rsidP="00983CB7">
            <w:pPr>
              <w:jc w:val="center"/>
              <w:rPr>
                <w:bCs/>
                <w:lang w:val="en-US"/>
              </w:rPr>
            </w:pPr>
          </w:p>
        </w:tc>
        <w:tc>
          <w:tcPr>
            <w:tcW w:w="1276" w:type="dxa"/>
            <w:tcBorders>
              <w:top w:val="nil"/>
              <w:left w:val="nil"/>
              <w:bottom w:val="nil"/>
              <w:right w:val="nil"/>
            </w:tcBorders>
          </w:tcPr>
          <w:p w14:paraId="1B394CA4" w14:textId="77777777" w:rsidR="00FE0E4C" w:rsidRPr="00E378B5" w:rsidRDefault="00FE0E4C" w:rsidP="00983CB7">
            <w:pPr>
              <w:jc w:val="center"/>
              <w:rPr>
                <w:bCs/>
                <w:lang w:val="en-US"/>
              </w:rPr>
            </w:pPr>
          </w:p>
        </w:tc>
        <w:tc>
          <w:tcPr>
            <w:tcW w:w="695" w:type="dxa"/>
            <w:tcBorders>
              <w:top w:val="nil"/>
              <w:left w:val="nil"/>
              <w:bottom w:val="nil"/>
              <w:right w:val="nil"/>
            </w:tcBorders>
          </w:tcPr>
          <w:p w14:paraId="003DF7F7" w14:textId="77777777" w:rsidR="00FE0E4C" w:rsidRPr="00E378B5" w:rsidRDefault="00FE0E4C" w:rsidP="00983CB7">
            <w:pPr>
              <w:jc w:val="center"/>
              <w:rPr>
                <w:bCs/>
                <w:lang w:val="en-US"/>
              </w:rPr>
            </w:pPr>
          </w:p>
        </w:tc>
        <w:tc>
          <w:tcPr>
            <w:tcW w:w="2082" w:type="dxa"/>
            <w:tcBorders>
              <w:top w:val="nil"/>
              <w:left w:val="nil"/>
              <w:bottom w:val="nil"/>
              <w:right w:val="nil"/>
            </w:tcBorders>
          </w:tcPr>
          <w:p w14:paraId="645E5DAD" w14:textId="77777777" w:rsidR="00FE0E4C" w:rsidRPr="00E378B5" w:rsidRDefault="00FE0E4C" w:rsidP="00983CB7">
            <w:pPr>
              <w:jc w:val="center"/>
              <w:rPr>
                <w:bCs/>
                <w:lang w:val="en-US"/>
              </w:rPr>
            </w:pPr>
          </w:p>
        </w:tc>
        <w:tc>
          <w:tcPr>
            <w:tcW w:w="1164" w:type="dxa"/>
            <w:tcBorders>
              <w:top w:val="nil"/>
              <w:left w:val="nil"/>
              <w:bottom w:val="nil"/>
              <w:right w:val="nil"/>
            </w:tcBorders>
          </w:tcPr>
          <w:p w14:paraId="133C905E" w14:textId="77777777" w:rsidR="00FE0E4C" w:rsidRPr="00E378B5" w:rsidRDefault="00FE0E4C" w:rsidP="00983CB7">
            <w:pPr>
              <w:jc w:val="center"/>
              <w:rPr>
                <w:b/>
                <w:lang w:val="en-US"/>
              </w:rPr>
            </w:pPr>
          </w:p>
        </w:tc>
        <w:tc>
          <w:tcPr>
            <w:tcW w:w="236" w:type="dxa"/>
            <w:tcBorders>
              <w:top w:val="nil"/>
              <w:left w:val="nil"/>
              <w:bottom w:val="nil"/>
              <w:right w:val="nil"/>
            </w:tcBorders>
          </w:tcPr>
          <w:p w14:paraId="157B11D6" w14:textId="77777777" w:rsidR="00FE0E4C" w:rsidRPr="00E378B5" w:rsidRDefault="00FE0E4C" w:rsidP="00983CB7">
            <w:pPr>
              <w:jc w:val="center"/>
              <w:rPr>
                <w:b/>
                <w:lang w:val="en-US"/>
              </w:rPr>
            </w:pPr>
          </w:p>
        </w:tc>
      </w:tr>
      <w:tr w:rsidR="00E378B5" w:rsidRPr="00E378B5" w14:paraId="62CF5E7A"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072BC6E0" w14:textId="77777777" w:rsidR="00FE0E4C" w:rsidRPr="00E378B5" w:rsidRDefault="00FE0E4C" w:rsidP="00983CB7">
            <w:pPr>
              <w:rPr>
                <w:bCs/>
                <w:lang w:val="en-US"/>
              </w:rPr>
            </w:pPr>
            <w:r w:rsidRPr="00E378B5">
              <w:rPr>
                <w:bCs/>
                <w:lang w:val="en-US"/>
              </w:rPr>
              <w:t xml:space="preserve">      MACE</w:t>
            </w:r>
          </w:p>
        </w:tc>
        <w:tc>
          <w:tcPr>
            <w:tcW w:w="1701" w:type="dxa"/>
            <w:tcBorders>
              <w:top w:val="nil"/>
              <w:left w:val="nil"/>
              <w:bottom w:val="nil"/>
              <w:right w:val="nil"/>
            </w:tcBorders>
          </w:tcPr>
          <w:p w14:paraId="357926A3" w14:textId="77777777" w:rsidR="00FE0E4C" w:rsidRPr="00E378B5" w:rsidRDefault="00FE0E4C" w:rsidP="00983CB7">
            <w:pPr>
              <w:jc w:val="center"/>
              <w:rPr>
                <w:bCs/>
                <w:lang w:val="en-US"/>
              </w:rPr>
            </w:pPr>
            <w:r w:rsidRPr="00E378B5">
              <w:rPr>
                <w:bCs/>
                <w:lang w:val="en-US"/>
              </w:rPr>
              <w:t>1.0</w:t>
            </w:r>
          </w:p>
        </w:tc>
        <w:tc>
          <w:tcPr>
            <w:tcW w:w="284" w:type="dxa"/>
            <w:tcBorders>
              <w:top w:val="nil"/>
              <w:left w:val="nil"/>
              <w:bottom w:val="nil"/>
              <w:right w:val="nil"/>
            </w:tcBorders>
          </w:tcPr>
          <w:p w14:paraId="03CC1BF4" w14:textId="77777777" w:rsidR="00FE0E4C" w:rsidRPr="00E378B5" w:rsidRDefault="00FE0E4C" w:rsidP="00983CB7">
            <w:pPr>
              <w:jc w:val="center"/>
              <w:rPr>
                <w:bCs/>
                <w:lang w:val="en-US"/>
              </w:rPr>
            </w:pPr>
          </w:p>
        </w:tc>
        <w:tc>
          <w:tcPr>
            <w:tcW w:w="2267" w:type="dxa"/>
            <w:tcBorders>
              <w:top w:val="nil"/>
              <w:left w:val="nil"/>
              <w:bottom w:val="nil"/>
              <w:right w:val="nil"/>
            </w:tcBorders>
          </w:tcPr>
          <w:p w14:paraId="4858FFDC" w14:textId="1A7BD14A" w:rsidR="00FE0E4C" w:rsidRPr="00E378B5" w:rsidRDefault="00FE0E4C" w:rsidP="00983CB7">
            <w:pPr>
              <w:jc w:val="center"/>
              <w:rPr>
                <w:bCs/>
                <w:lang w:val="en-US"/>
              </w:rPr>
            </w:pPr>
            <w:r w:rsidRPr="00E378B5">
              <w:rPr>
                <w:bCs/>
                <w:lang w:val="en-US"/>
              </w:rPr>
              <w:t>2.01 (1.30-3.00)</w:t>
            </w:r>
          </w:p>
        </w:tc>
        <w:tc>
          <w:tcPr>
            <w:tcW w:w="1276" w:type="dxa"/>
            <w:tcBorders>
              <w:top w:val="nil"/>
              <w:left w:val="nil"/>
              <w:bottom w:val="nil"/>
              <w:right w:val="nil"/>
            </w:tcBorders>
          </w:tcPr>
          <w:p w14:paraId="195C78CF" w14:textId="77777777" w:rsidR="00FE0E4C" w:rsidRPr="00E378B5" w:rsidRDefault="00FE0E4C" w:rsidP="00983CB7">
            <w:pPr>
              <w:jc w:val="center"/>
              <w:rPr>
                <w:bCs/>
                <w:lang w:val="en-US"/>
              </w:rPr>
            </w:pPr>
            <w:r w:rsidRPr="00E378B5">
              <w:rPr>
                <w:b/>
                <w:lang w:val="en-US"/>
              </w:rPr>
              <w:t>&lt;0.001</w:t>
            </w:r>
          </w:p>
        </w:tc>
        <w:tc>
          <w:tcPr>
            <w:tcW w:w="695" w:type="dxa"/>
            <w:tcBorders>
              <w:top w:val="nil"/>
              <w:left w:val="nil"/>
              <w:bottom w:val="nil"/>
              <w:right w:val="nil"/>
            </w:tcBorders>
          </w:tcPr>
          <w:p w14:paraId="0B936788" w14:textId="77777777" w:rsidR="00FE0E4C" w:rsidRPr="00E378B5" w:rsidRDefault="00FE0E4C" w:rsidP="00983CB7">
            <w:pPr>
              <w:jc w:val="center"/>
              <w:rPr>
                <w:bCs/>
                <w:lang w:val="en-US"/>
              </w:rPr>
            </w:pPr>
          </w:p>
        </w:tc>
        <w:tc>
          <w:tcPr>
            <w:tcW w:w="2082" w:type="dxa"/>
            <w:tcBorders>
              <w:top w:val="nil"/>
              <w:left w:val="nil"/>
              <w:bottom w:val="nil"/>
              <w:right w:val="nil"/>
            </w:tcBorders>
          </w:tcPr>
          <w:p w14:paraId="30F78714" w14:textId="2A7B38D2" w:rsidR="00FE0E4C" w:rsidRPr="00E378B5" w:rsidRDefault="00FE0E4C" w:rsidP="00983CB7">
            <w:pPr>
              <w:jc w:val="center"/>
              <w:rPr>
                <w:bCs/>
                <w:lang w:val="en-US"/>
              </w:rPr>
            </w:pPr>
            <w:r w:rsidRPr="00E378B5">
              <w:rPr>
                <w:bCs/>
                <w:lang w:val="en-US"/>
              </w:rPr>
              <w:t>2.17 (1.38-3.35)</w:t>
            </w:r>
          </w:p>
        </w:tc>
        <w:tc>
          <w:tcPr>
            <w:tcW w:w="1164" w:type="dxa"/>
            <w:tcBorders>
              <w:top w:val="nil"/>
              <w:left w:val="nil"/>
              <w:bottom w:val="nil"/>
              <w:right w:val="nil"/>
            </w:tcBorders>
          </w:tcPr>
          <w:p w14:paraId="2305C65C" w14:textId="77777777" w:rsidR="00FE0E4C" w:rsidRPr="00E378B5" w:rsidRDefault="00FE0E4C" w:rsidP="00983CB7">
            <w:pPr>
              <w:jc w:val="center"/>
              <w:rPr>
                <w:b/>
                <w:lang w:val="en-US"/>
              </w:rPr>
            </w:pPr>
            <w:r w:rsidRPr="00E378B5">
              <w:rPr>
                <w:b/>
                <w:lang w:val="en-US"/>
              </w:rPr>
              <w:t>&lt;0.001</w:t>
            </w:r>
          </w:p>
        </w:tc>
        <w:tc>
          <w:tcPr>
            <w:tcW w:w="236" w:type="dxa"/>
            <w:tcBorders>
              <w:top w:val="nil"/>
              <w:left w:val="nil"/>
              <w:bottom w:val="nil"/>
              <w:right w:val="nil"/>
            </w:tcBorders>
          </w:tcPr>
          <w:p w14:paraId="2F9784D3" w14:textId="77777777" w:rsidR="00FE0E4C" w:rsidRPr="00E378B5" w:rsidRDefault="00FE0E4C" w:rsidP="00983CB7">
            <w:pPr>
              <w:jc w:val="center"/>
              <w:rPr>
                <w:b/>
                <w:lang w:val="en-US"/>
              </w:rPr>
            </w:pPr>
          </w:p>
        </w:tc>
      </w:tr>
      <w:tr w:rsidR="00E378B5" w:rsidRPr="00E378B5" w14:paraId="2200605F"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486867A1" w14:textId="77777777" w:rsidR="00FE0E4C" w:rsidRPr="00E378B5" w:rsidRDefault="00FE0E4C" w:rsidP="00983CB7">
            <w:pPr>
              <w:rPr>
                <w:bCs/>
                <w:lang w:val="en-US"/>
              </w:rPr>
            </w:pPr>
            <w:r w:rsidRPr="00E378B5">
              <w:rPr>
                <w:bCs/>
                <w:lang w:val="en-US"/>
              </w:rPr>
              <w:t xml:space="preserve">      CV mortality </w:t>
            </w:r>
          </w:p>
        </w:tc>
        <w:tc>
          <w:tcPr>
            <w:tcW w:w="1701" w:type="dxa"/>
            <w:tcBorders>
              <w:top w:val="nil"/>
              <w:left w:val="nil"/>
              <w:bottom w:val="nil"/>
              <w:right w:val="nil"/>
            </w:tcBorders>
          </w:tcPr>
          <w:p w14:paraId="685C683F" w14:textId="77777777" w:rsidR="00FE0E4C" w:rsidRPr="00E378B5" w:rsidRDefault="00FE0E4C" w:rsidP="00983CB7">
            <w:pPr>
              <w:jc w:val="center"/>
              <w:rPr>
                <w:bCs/>
                <w:lang w:val="en-US"/>
              </w:rPr>
            </w:pPr>
            <w:r w:rsidRPr="00E378B5">
              <w:rPr>
                <w:bCs/>
                <w:lang w:val="en-US"/>
              </w:rPr>
              <w:t>1.0</w:t>
            </w:r>
          </w:p>
        </w:tc>
        <w:tc>
          <w:tcPr>
            <w:tcW w:w="284" w:type="dxa"/>
            <w:tcBorders>
              <w:top w:val="nil"/>
              <w:left w:val="nil"/>
              <w:bottom w:val="nil"/>
              <w:right w:val="nil"/>
            </w:tcBorders>
          </w:tcPr>
          <w:p w14:paraId="3C183425" w14:textId="77777777" w:rsidR="00FE0E4C" w:rsidRPr="00E378B5" w:rsidRDefault="00FE0E4C" w:rsidP="00983CB7">
            <w:pPr>
              <w:jc w:val="center"/>
              <w:rPr>
                <w:bCs/>
                <w:lang w:val="en-US"/>
              </w:rPr>
            </w:pPr>
          </w:p>
        </w:tc>
        <w:tc>
          <w:tcPr>
            <w:tcW w:w="2267" w:type="dxa"/>
            <w:tcBorders>
              <w:top w:val="nil"/>
              <w:left w:val="nil"/>
              <w:bottom w:val="nil"/>
              <w:right w:val="nil"/>
            </w:tcBorders>
          </w:tcPr>
          <w:p w14:paraId="07954191" w14:textId="6EFF8FB1" w:rsidR="00FE0E4C" w:rsidRPr="00E378B5" w:rsidRDefault="00FE0E4C" w:rsidP="00983CB7">
            <w:pPr>
              <w:jc w:val="center"/>
              <w:rPr>
                <w:bCs/>
                <w:lang w:val="en-US"/>
              </w:rPr>
            </w:pPr>
            <w:r w:rsidRPr="00E378B5">
              <w:rPr>
                <w:bCs/>
                <w:lang w:val="en-US"/>
              </w:rPr>
              <w:t>2.28 (1.32-3.97)</w:t>
            </w:r>
          </w:p>
        </w:tc>
        <w:tc>
          <w:tcPr>
            <w:tcW w:w="1276" w:type="dxa"/>
            <w:tcBorders>
              <w:top w:val="nil"/>
              <w:left w:val="nil"/>
              <w:bottom w:val="nil"/>
              <w:right w:val="nil"/>
            </w:tcBorders>
          </w:tcPr>
          <w:p w14:paraId="04010E27" w14:textId="77777777" w:rsidR="00FE0E4C" w:rsidRPr="00E378B5" w:rsidRDefault="00FE0E4C" w:rsidP="00983CB7">
            <w:pPr>
              <w:jc w:val="center"/>
              <w:rPr>
                <w:bCs/>
                <w:lang w:val="en-US"/>
              </w:rPr>
            </w:pPr>
            <w:r w:rsidRPr="00E378B5">
              <w:rPr>
                <w:b/>
                <w:lang w:val="en-US"/>
              </w:rPr>
              <w:t>&lt;0.001</w:t>
            </w:r>
          </w:p>
        </w:tc>
        <w:tc>
          <w:tcPr>
            <w:tcW w:w="695" w:type="dxa"/>
            <w:tcBorders>
              <w:top w:val="nil"/>
              <w:left w:val="nil"/>
              <w:bottom w:val="nil"/>
              <w:right w:val="nil"/>
            </w:tcBorders>
          </w:tcPr>
          <w:p w14:paraId="3788A3AB" w14:textId="77777777" w:rsidR="00FE0E4C" w:rsidRPr="00E378B5" w:rsidRDefault="00FE0E4C" w:rsidP="00983CB7">
            <w:pPr>
              <w:jc w:val="center"/>
              <w:rPr>
                <w:bCs/>
                <w:lang w:val="en-US"/>
              </w:rPr>
            </w:pPr>
          </w:p>
        </w:tc>
        <w:tc>
          <w:tcPr>
            <w:tcW w:w="2082" w:type="dxa"/>
            <w:tcBorders>
              <w:top w:val="nil"/>
              <w:left w:val="nil"/>
              <w:bottom w:val="nil"/>
              <w:right w:val="nil"/>
            </w:tcBorders>
          </w:tcPr>
          <w:p w14:paraId="0FFBA520" w14:textId="1EE2279D" w:rsidR="00FE0E4C" w:rsidRPr="00E378B5" w:rsidRDefault="00FE0E4C" w:rsidP="00983CB7">
            <w:pPr>
              <w:jc w:val="center"/>
              <w:rPr>
                <w:bCs/>
                <w:lang w:val="en-US"/>
              </w:rPr>
            </w:pPr>
            <w:r w:rsidRPr="00E378B5">
              <w:rPr>
                <w:bCs/>
                <w:lang w:val="en-US"/>
              </w:rPr>
              <w:t>2.34 (1.28-4.39)</w:t>
            </w:r>
          </w:p>
        </w:tc>
        <w:tc>
          <w:tcPr>
            <w:tcW w:w="1164" w:type="dxa"/>
            <w:tcBorders>
              <w:top w:val="nil"/>
              <w:left w:val="nil"/>
              <w:bottom w:val="nil"/>
              <w:right w:val="nil"/>
            </w:tcBorders>
          </w:tcPr>
          <w:p w14:paraId="43FA7379" w14:textId="77777777" w:rsidR="00FE0E4C" w:rsidRPr="00E378B5" w:rsidRDefault="00FE0E4C" w:rsidP="00983CB7">
            <w:pPr>
              <w:jc w:val="center"/>
              <w:rPr>
                <w:b/>
                <w:lang w:val="en-US"/>
              </w:rPr>
            </w:pPr>
            <w:r w:rsidRPr="00E378B5">
              <w:rPr>
                <w:b/>
                <w:lang w:val="en-US"/>
              </w:rPr>
              <w:t>&lt;0.001</w:t>
            </w:r>
          </w:p>
        </w:tc>
        <w:tc>
          <w:tcPr>
            <w:tcW w:w="236" w:type="dxa"/>
            <w:tcBorders>
              <w:top w:val="nil"/>
              <w:left w:val="nil"/>
              <w:bottom w:val="nil"/>
              <w:right w:val="nil"/>
            </w:tcBorders>
          </w:tcPr>
          <w:p w14:paraId="7A2CC14B" w14:textId="77777777" w:rsidR="00FE0E4C" w:rsidRPr="00E378B5" w:rsidRDefault="00FE0E4C" w:rsidP="00983CB7">
            <w:pPr>
              <w:jc w:val="center"/>
              <w:rPr>
                <w:b/>
                <w:lang w:val="en-US"/>
              </w:rPr>
            </w:pPr>
          </w:p>
        </w:tc>
      </w:tr>
      <w:tr w:rsidR="00E378B5" w:rsidRPr="00E378B5" w14:paraId="5CC20754"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nil"/>
              <w:right w:val="nil"/>
            </w:tcBorders>
          </w:tcPr>
          <w:p w14:paraId="037DD563" w14:textId="77777777" w:rsidR="00FE0E4C" w:rsidRPr="00E378B5" w:rsidRDefault="00FE0E4C" w:rsidP="00983CB7">
            <w:pPr>
              <w:rPr>
                <w:bCs/>
                <w:lang w:val="en-US"/>
              </w:rPr>
            </w:pPr>
            <w:r w:rsidRPr="00E378B5">
              <w:rPr>
                <w:bCs/>
                <w:lang w:val="en-US"/>
              </w:rPr>
              <w:t xml:space="preserve">      All-cause mortality </w:t>
            </w:r>
          </w:p>
        </w:tc>
        <w:tc>
          <w:tcPr>
            <w:tcW w:w="1701" w:type="dxa"/>
            <w:tcBorders>
              <w:top w:val="nil"/>
              <w:left w:val="nil"/>
              <w:bottom w:val="nil"/>
              <w:right w:val="nil"/>
            </w:tcBorders>
          </w:tcPr>
          <w:p w14:paraId="0D6FE546" w14:textId="77777777" w:rsidR="00FE0E4C" w:rsidRPr="00E378B5" w:rsidRDefault="00FE0E4C" w:rsidP="00983CB7">
            <w:pPr>
              <w:jc w:val="center"/>
              <w:rPr>
                <w:bCs/>
                <w:lang w:val="en-US"/>
              </w:rPr>
            </w:pPr>
            <w:r w:rsidRPr="00E378B5">
              <w:rPr>
                <w:bCs/>
                <w:lang w:val="en-US"/>
              </w:rPr>
              <w:t>1.0</w:t>
            </w:r>
          </w:p>
        </w:tc>
        <w:tc>
          <w:tcPr>
            <w:tcW w:w="284" w:type="dxa"/>
            <w:tcBorders>
              <w:top w:val="nil"/>
              <w:left w:val="nil"/>
              <w:bottom w:val="nil"/>
              <w:right w:val="nil"/>
            </w:tcBorders>
          </w:tcPr>
          <w:p w14:paraId="18BB6BA6" w14:textId="77777777" w:rsidR="00FE0E4C" w:rsidRPr="00E378B5" w:rsidRDefault="00FE0E4C" w:rsidP="00983CB7">
            <w:pPr>
              <w:jc w:val="center"/>
              <w:rPr>
                <w:bCs/>
                <w:lang w:val="en-US"/>
              </w:rPr>
            </w:pPr>
          </w:p>
        </w:tc>
        <w:tc>
          <w:tcPr>
            <w:tcW w:w="2267" w:type="dxa"/>
            <w:tcBorders>
              <w:top w:val="nil"/>
              <w:left w:val="nil"/>
              <w:bottom w:val="nil"/>
              <w:right w:val="nil"/>
            </w:tcBorders>
          </w:tcPr>
          <w:p w14:paraId="691D8223" w14:textId="326D2C2D" w:rsidR="00FE0E4C" w:rsidRPr="00E378B5" w:rsidRDefault="00FE0E4C" w:rsidP="00983CB7">
            <w:pPr>
              <w:jc w:val="center"/>
              <w:rPr>
                <w:bCs/>
                <w:lang w:val="en-US"/>
              </w:rPr>
            </w:pPr>
            <w:r w:rsidRPr="00E378B5">
              <w:rPr>
                <w:bCs/>
                <w:lang w:val="en-US"/>
              </w:rPr>
              <w:t>2.12 (1.30-3.47)</w:t>
            </w:r>
          </w:p>
        </w:tc>
        <w:tc>
          <w:tcPr>
            <w:tcW w:w="1276" w:type="dxa"/>
            <w:tcBorders>
              <w:top w:val="nil"/>
              <w:left w:val="nil"/>
              <w:bottom w:val="nil"/>
              <w:right w:val="nil"/>
            </w:tcBorders>
          </w:tcPr>
          <w:p w14:paraId="2C1679D1" w14:textId="6E698C3F" w:rsidR="00FE0E4C" w:rsidRPr="00E378B5" w:rsidRDefault="00921592" w:rsidP="00983CB7">
            <w:pPr>
              <w:jc w:val="center"/>
              <w:rPr>
                <w:bCs/>
                <w:lang w:val="en-US"/>
              </w:rPr>
            </w:pPr>
            <w:r w:rsidRPr="00E378B5">
              <w:rPr>
                <w:b/>
                <w:lang w:val="en-US"/>
              </w:rPr>
              <w:t>&lt;0.001</w:t>
            </w:r>
          </w:p>
        </w:tc>
        <w:tc>
          <w:tcPr>
            <w:tcW w:w="695" w:type="dxa"/>
            <w:tcBorders>
              <w:top w:val="nil"/>
              <w:left w:val="nil"/>
              <w:bottom w:val="nil"/>
              <w:right w:val="nil"/>
            </w:tcBorders>
          </w:tcPr>
          <w:p w14:paraId="754C1F7D" w14:textId="77777777" w:rsidR="00FE0E4C" w:rsidRPr="00E378B5" w:rsidRDefault="00FE0E4C" w:rsidP="00983CB7">
            <w:pPr>
              <w:jc w:val="center"/>
              <w:rPr>
                <w:bCs/>
                <w:lang w:val="en-US"/>
              </w:rPr>
            </w:pPr>
          </w:p>
        </w:tc>
        <w:tc>
          <w:tcPr>
            <w:tcW w:w="2082" w:type="dxa"/>
            <w:tcBorders>
              <w:top w:val="nil"/>
              <w:left w:val="nil"/>
              <w:bottom w:val="nil"/>
              <w:right w:val="nil"/>
            </w:tcBorders>
          </w:tcPr>
          <w:p w14:paraId="0460F314" w14:textId="41127F5B" w:rsidR="00FE0E4C" w:rsidRPr="00E378B5" w:rsidRDefault="00FE0E4C" w:rsidP="00983CB7">
            <w:pPr>
              <w:jc w:val="center"/>
              <w:rPr>
                <w:bCs/>
                <w:lang w:val="en-US"/>
              </w:rPr>
            </w:pPr>
            <w:r w:rsidRPr="00E378B5">
              <w:rPr>
                <w:bCs/>
                <w:lang w:val="en-US"/>
              </w:rPr>
              <w:t>2.21 (1.28-3.85)</w:t>
            </w:r>
          </w:p>
        </w:tc>
        <w:tc>
          <w:tcPr>
            <w:tcW w:w="1164" w:type="dxa"/>
            <w:tcBorders>
              <w:top w:val="nil"/>
              <w:left w:val="nil"/>
              <w:bottom w:val="nil"/>
              <w:right w:val="nil"/>
            </w:tcBorders>
          </w:tcPr>
          <w:p w14:paraId="1659F2B3" w14:textId="55751CEA" w:rsidR="00FE0E4C" w:rsidRPr="00E378B5" w:rsidRDefault="00FE0E4C" w:rsidP="00983CB7">
            <w:pPr>
              <w:jc w:val="center"/>
              <w:rPr>
                <w:b/>
                <w:lang w:val="en-US"/>
              </w:rPr>
            </w:pPr>
            <w:r w:rsidRPr="00E378B5">
              <w:rPr>
                <w:b/>
                <w:lang w:val="en-US"/>
              </w:rPr>
              <w:t>0.00</w:t>
            </w:r>
            <w:r w:rsidR="00921592" w:rsidRPr="00E378B5">
              <w:rPr>
                <w:b/>
                <w:lang w:val="en-US"/>
              </w:rPr>
              <w:t>3</w:t>
            </w:r>
          </w:p>
        </w:tc>
        <w:tc>
          <w:tcPr>
            <w:tcW w:w="236" w:type="dxa"/>
            <w:tcBorders>
              <w:top w:val="nil"/>
              <w:left w:val="nil"/>
              <w:bottom w:val="nil"/>
              <w:right w:val="nil"/>
            </w:tcBorders>
          </w:tcPr>
          <w:p w14:paraId="13C08BDB" w14:textId="77777777" w:rsidR="00FE0E4C" w:rsidRPr="00E378B5" w:rsidRDefault="00FE0E4C" w:rsidP="00983CB7">
            <w:pPr>
              <w:jc w:val="center"/>
              <w:rPr>
                <w:b/>
                <w:lang w:val="en-US"/>
              </w:rPr>
            </w:pPr>
          </w:p>
        </w:tc>
      </w:tr>
      <w:tr w:rsidR="00FE0E4C" w:rsidRPr="00E378B5" w14:paraId="3078788A"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tcBorders>
              <w:top w:val="nil"/>
              <w:left w:val="nil"/>
              <w:bottom w:val="single" w:sz="4" w:space="0" w:color="auto"/>
              <w:right w:val="nil"/>
            </w:tcBorders>
          </w:tcPr>
          <w:p w14:paraId="1AA01941" w14:textId="77777777" w:rsidR="00FE0E4C" w:rsidRPr="00E378B5" w:rsidRDefault="00FE0E4C" w:rsidP="00983CB7">
            <w:pPr>
              <w:rPr>
                <w:bCs/>
                <w:sz w:val="10"/>
                <w:szCs w:val="10"/>
                <w:lang w:val="en-US"/>
              </w:rPr>
            </w:pPr>
          </w:p>
        </w:tc>
        <w:tc>
          <w:tcPr>
            <w:tcW w:w="1701" w:type="dxa"/>
            <w:tcBorders>
              <w:top w:val="nil"/>
              <w:left w:val="nil"/>
              <w:bottom w:val="single" w:sz="4" w:space="0" w:color="auto"/>
              <w:right w:val="nil"/>
            </w:tcBorders>
          </w:tcPr>
          <w:p w14:paraId="0AF59022" w14:textId="77777777" w:rsidR="00FE0E4C" w:rsidRPr="00E378B5" w:rsidRDefault="00FE0E4C" w:rsidP="00983CB7">
            <w:pPr>
              <w:jc w:val="center"/>
              <w:rPr>
                <w:bCs/>
                <w:sz w:val="10"/>
                <w:szCs w:val="10"/>
                <w:lang w:val="en-US"/>
              </w:rPr>
            </w:pPr>
          </w:p>
        </w:tc>
        <w:tc>
          <w:tcPr>
            <w:tcW w:w="284" w:type="dxa"/>
            <w:tcBorders>
              <w:top w:val="nil"/>
              <w:left w:val="nil"/>
              <w:bottom w:val="single" w:sz="4" w:space="0" w:color="auto"/>
              <w:right w:val="nil"/>
            </w:tcBorders>
          </w:tcPr>
          <w:p w14:paraId="09A720B4" w14:textId="77777777" w:rsidR="00FE0E4C" w:rsidRPr="00E378B5" w:rsidRDefault="00FE0E4C" w:rsidP="00983CB7">
            <w:pPr>
              <w:jc w:val="center"/>
              <w:rPr>
                <w:bCs/>
                <w:sz w:val="10"/>
                <w:szCs w:val="10"/>
                <w:lang w:val="en-US"/>
              </w:rPr>
            </w:pPr>
          </w:p>
        </w:tc>
        <w:tc>
          <w:tcPr>
            <w:tcW w:w="2267" w:type="dxa"/>
            <w:tcBorders>
              <w:top w:val="nil"/>
              <w:left w:val="nil"/>
              <w:bottom w:val="single" w:sz="4" w:space="0" w:color="auto"/>
              <w:right w:val="nil"/>
            </w:tcBorders>
          </w:tcPr>
          <w:p w14:paraId="6B9E3D47" w14:textId="77777777" w:rsidR="00FE0E4C" w:rsidRPr="00E378B5" w:rsidRDefault="00FE0E4C" w:rsidP="00983CB7">
            <w:pPr>
              <w:jc w:val="center"/>
              <w:rPr>
                <w:bCs/>
                <w:sz w:val="10"/>
                <w:szCs w:val="10"/>
                <w:lang w:val="en-US"/>
              </w:rPr>
            </w:pPr>
          </w:p>
        </w:tc>
        <w:tc>
          <w:tcPr>
            <w:tcW w:w="1276" w:type="dxa"/>
            <w:tcBorders>
              <w:top w:val="nil"/>
              <w:left w:val="nil"/>
              <w:bottom w:val="single" w:sz="4" w:space="0" w:color="auto"/>
              <w:right w:val="nil"/>
            </w:tcBorders>
          </w:tcPr>
          <w:p w14:paraId="30A1CD39" w14:textId="77777777" w:rsidR="00FE0E4C" w:rsidRPr="00E378B5" w:rsidRDefault="00FE0E4C" w:rsidP="00983CB7">
            <w:pPr>
              <w:jc w:val="center"/>
              <w:rPr>
                <w:bCs/>
                <w:sz w:val="10"/>
                <w:szCs w:val="10"/>
                <w:lang w:val="en-US"/>
              </w:rPr>
            </w:pPr>
          </w:p>
        </w:tc>
        <w:tc>
          <w:tcPr>
            <w:tcW w:w="695" w:type="dxa"/>
            <w:tcBorders>
              <w:top w:val="nil"/>
              <w:left w:val="nil"/>
              <w:bottom w:val="single" w:sz="4" w:space="0" w:color="auto"/>
              <w:right w:val="nil"/>
            </w:tcBorders>
          </w:tcPr>
          <w:p w14:paraId="4A4AC412" w14:textId="77777777" w:rsidR="00FE0E4C" w:rsidRPr="00E378B5" w:rsidRDefault="00FE0E4C" w:rsidP="00983CB7">
            <w:pPr>
              <w:jc w:val="center"/>
              <w:rPr>
                <w:bCs/>
                <w:sz w:val="10"/>
                <w:szCs w:val="10"/>
                <w:lang w:val="en-US"/>
              </w:rPr>
            </w:pPr>
          </w:p>
        </w:tc>
        <w:tc>
          <w:tcPr>
            <w:tcW w:w="2082" w:type="dxa"/>
            <w:tcBorders>
              <w:top w:val="nil"/>
              <w:left w:val="nil"/>
              <w:bottom w:val="single" w:sz="4" w:space="0" w:color="auto"/>
              <w:right w:val="nil"/>
            </w:tcBorders>
          </w:tcPr>
          <w:p w14:paraId="3150C181" w14:textId="77777777" w:rsidR="00FE0E4C" w:rsidRPr="00E378B5" w:rsidRDefault="00FE0E4C" w:rsidP="00983CB7">
            <w:pPr>
              <w:jc w:val="center"/>
              <w:rPr>
                <w:bCs/>
                <w:sz w:val="10"/>
                <w:szCs w:val="10"/>
                <w:lang w:val="en-US"/>
              </w:rPr>
            </w:pPr>
          </w:p>
        </w:tc>
        <w:tc>
          <w:tcPr>
            <w:tcW w:w="1164" w:type="dxa"/>
            <w:tcBorders>
              <w:top w:val="nil"/>
              <w:left w:val="nil"/>
              <w:bottom w:val="single" w:sz="4" w:space="0" w:color="auto"/>
              <w:right w:val="nil"/>
            </w:tcBorders>
          </w:tcPr>
          <w:p w14:paraId="021C38F9" w14:textId="77777777" w:rsidR="00FE0E4C" w:rsidRPr="00E378B5" w:rsidRDefault="00FE0E4C" w:rsidP="00983CB7">
            <w:pPr>
              <w:jc w:val="center"/>
              <w:rPr>
                <w:bCs/>
                <w:sz w:val="10"/>
                <w:szCs w:val="10"/>
                <w:lang w:val="en-US"/>
              </w:rPr>
            </w:pPr>
          </w:p>
        </w:tc>
        <w:tc>
          <w:tcPr>
            <w:tcW w:w="236" w:type="dxa"/>
            <w:tcBorders>
              <w:top w:val="nil"/>
              <w:left w:val="nil"/>
              <w:bottom w:val="single" w:sz="4" w:space="0" w:color="auto"/>
              <w:right w:val="nil"/>
            </w:tcBorders>
          </w:tcPr>
          <w:p w14:paraId="0FC26A66" w14:textId="77777777" w:rsidR="00FE0E4C" w:rsidRPr="00E378B5" w:rsidRDefault="00FE0E4C" w:rsidP="00983CB7">
            <w:pPr>
              <w:jc w:val="center"/>
              <w:rPr>
                <w:bCs/>
                <w:sz w:val="10"/>
                <w:szCs w:val="10"/>
                <w:lang w:val="en-US"/>
              </w:rPr>
            </w:pPr>
          </w:p>
        </w:tc>
      </w:tr>
    </w:tbl>
    <w:p w14:paraId="18B51A6E" w14:textId="77777777" w:rsidR="00FE0E4C" w:rsidRPr="00E378B5" w:rsidRDefault="00FE0E4C" w:rsidP="00FE0E4C">
      <w:pPr>
        <w:ind w:right="868"/>
        <w:rPr>
          <w:bCs/>
          <w:lang w:val="en-US"/>
        </w:rPr>
      </w:pPr>
    </w:p>
    <w:p w14:paraId="76C3AEB2" w14:textId="77777777" w:rsidR="00FE0E4C" w:rsidRPr="00E378B5" w:rsidRDefault="00FE0E4C" w:rsidP="00FE0E4C">
      <w:pPr>
        <w:spacing w:line="276" w:lineRule="auto"/>
        <w:rPr>
          <w:lang w:val="en-US"/>
        </w:rPr>
      </w:pPr>
      <w:r w:rsidRPr="00E378B5">
        <w:rPr>
          <w:vertAlign w:val="superscript"/>
          <w:lang w:val="en-US"/>
        </w:rPr>
        <w:t>*</w:t>
      </w:r>
      <w:r w:rsidRPr="00E378B5">
        <w:rPr>
          <w:lang w:val="en-US"/>
        </w:rPr>
        <w:t xml:space="preserve"> The comparisons between PG1 and PG2 that were statistically significant with p&lt;0.05 are shown in bold type. </w:t>
      </w:r>
    </w:p>
    <w:p w14:paraId="4C11E078" w14:textId="77777777" w:rsidR="00FE0E4C" w:rsidRPr="00E378B5" w:rsidRDefault="00FE0E4C" w:rsidP="00FE0E4C">
      <w:pPr>
        <w:spacing w:line="276" w:lineRule="auto"/>
        <w:rPr>
          <w:lang w:val="en-US"/>
        </w:rPr>
      </w:pPr>
      <w:r w:rsidRPr="00E378B5">
        <w:rPr>
          <w:vertAlign w:val="superscript"/>
          <w:lang w:val="en-US"/>
        </w:rPr>
        <w:t>†</w:t>
      </w:r>
      <w:r w:rsidRPr="00E378B5">
        <w:rPr>
          <w:lang w:val="en-US"/>
        </w:rPr>
        <w:t xml:space="preserve"> The comparisons between PG1 and PG3 that were statistically significant with p&lt;0.05 are shown in bold type. </w:t>
      </w:r>
    </w:p>
    <w:p w14:paraId="64DD3488" w14:textId="77777777" w:rsidR="00FE0E4C" w:rsidRPr="00E378B5" w:rsidRDefault="00FE0E4C" w:rsidP="00FE0E4C">
      <w:pPr>
        <w:spacing w:line="276" w:lineRule="auto"/>
        <w:rPr>
          <w:lang w:val="en-US"/>
        </w:rPr>
      </w:pPr>
    </w:p>
    <w:p w14:paraId="4990A9D6" w14:textId="3996958A" w:rsidR="00FE0E4C" w:rsidRPr="00E378B5" w:rsidRDefault="00FE0E4C" w:rsidP="00FE0E4C">
      <w:pPr>
        <w:spacing w:line="276" w:lineRule="auto"/>
        <w:rPr>
          <w:bCs/>
          <w:lang w:val="en-US"/>
        </w:rPr>
      </w:pPr>
      <w:r w:rsidRPr="00E378B5">
        <w:rPr>
          <w:vertAlign w:val="superscript"/>
          <w:lang w:val="en-US"/>
        </w:rPr>
        <w:t xml:space="preserve">‡ </w:t>
      </w:r>
      <w:r w:rsidRPr="00E378B5">
        <w:rPr>
          <w:bCs/>
          <w:lang w:val="en-US"/>
        </w:rPr>
        <w:t>Covariates in the</w:t>
      </w:r>
      <w:r w:rsidRPr="00E378B5">
        <w:rPr>
          <w:b/>
          <w:lang w:val="en-US"/>
        </w:rPr>
        <w:t xml:space="preserve"> model </w:t>
      </w:r>
      <w:r w:rsidRPr="00E378B5">
        <w:rPr>
          <w:bCs/>
          <w:lang w:val="en-US"/>
        </w:rPr>
        <w:t>by stepwise variable selection with entry and exit criteria set at the p≤0.1 level: ESC risk score (</w:t>
      </w:r>
      <w:r w:rsidRPr="00E378B5">
        <w:rPr>
          <w:lang w:val="en-US"/>
        </w:rPr>
        <w:t xml:space="preserve">European score </w:t>
      </w:r>
      <w:r w:rsidRPr="00E378B5">
        <w:rPr>
          <w:lang w:val="en-GB"/>
        </w:rPr>
        <w:t>based on a modified SCORE project (</w:t>
      </w:r>
      <w:r w:rsidRPr="00E378B5">
        <w:rPr>
          <w:u w:val="single"/>
          <w:lang w:val="en-GB"/>
        </w:rPr>
        <w:t>https://www.escardio.org/Education/Practice-Tools/CVD-prevention-toolbox/SCORE-Risk-Charts</w:t>
      </w:r>
      <w:r w:rsidRPr="00E378B5">
        <w:rPr>
          <w:bCs/>
          <w:lang w:val="en-US"/>
        </w:rPr>
        <w:t xml:space="preserve">), </w:t>
      </w:r>
      <w:r w:rsidRPr="00E378B5">
        <w:rPr>
          <w:lang w:val="en-US"/>
        </w:rPr>
        <w:t xml:space="preserve">LVEF per 10%, presence of LGE, presence of ischemia, presence of ≥ 1 proximal stenosis &gt; 50% and proportion of non-calcified plaques &gt; 50%. </w:t>
      </w:r>
    </w:p>
    <w:p w14:paraId="357A7D57" w14:textId="77777777" w:rsidR="00FE0E4C" w:rsidRPr="00E378B5" w:rsidRDefault="00FE0E4C" w:rsidP="00FE0E4C">
      <w:pPr>
        <w:spacing w:line="276" w:lineRule="auto"/>
        <w:rPr>
          <w:i/>
          <w:iCs/>
          <w:u w:val="single"/>
          <w:lang w:val="en-US"/>
        </w:rPr>
      </w:pPr>
    </w:p>
    <w:p w14:paraId="37273C56" w14:textId="77777777" w:rsidR="00FE0E4C" w:rsidRPr="00E378B5" w:rsidRDefault="00FE0E4C" w:rsidP="00FE0E4C">
      <w:pPr>
        <w:spacing w:line="276" w:lineRule="auto"/>
        <w:rPr>
          <w:i/>
          <w:iCs/>
          <w:lang w:val="en-US"/>
        </w:rPr>
      </w:pPr>
      <w:r w:rsidRPr="00E378B5">
        <w:rPr>
          <w:i/>
          <w:iCs/>
          <w:u w:val="single"/>
          <w:lang w:val="en-US"/>
        </w:rPr>
        <w:t>Abbreviations</w:t>
      </w:r>
      <w:r w:rsidRPr="00E378B5">
        <w:rPr>
          <w:i/>
          <w:iCs/>
          <w:lang w:val="en-US"/>
        </w:rPr>
        <w:t xml:space="preserve">: CI: confidence interval; CV: cardiovascular; HR: hazard ratio; MACE: major adverse cardiac events; PG: </w:t>
      </w:r>
      <w:proofErr w:type="spellStart"/>
      <w:r w:rsidRPr="00E378B5">
        <w:rPr>
          <w:i/>
          <w:iCs/>
          <w:lang w:val="en-US"/>
        </w:rPr>
        <w:t>phenogroup</w:t>
      </w:r>
      <w:proofErr w:type="spellEnd"/>
      <w:r w:rsidRPr="00E378B5">
        <w:rPr>
          <w:i/>
          <w:iCs/>
          <w:lang w:val="en-US"/>
        </w:rPr>
        <w:t xml:space="preserve">. </w:t>
      </w:r>
    </w:p>
    <w:p w14:paraId="77427EE3" w14:textId="77777777" w:rsidR="00FE0E4C" w:rsidRPr="00E378B5" w:rsidRDefault="00FE0E4C" w:rsidP="00FE0E4C">
      <w:pPr>
        <w:ind w:right="866"/>
        <w:rPr>
          <w:b/>
          <w:sz w:val="28"/>
          <w:szCs w:val="28"/>
          <w:lang w:val="en-US"/>
        </w:rPr>
      </w:pPr>
    </w:p>
    <w:p w14:paraId="114B18DA" w14:textId="77777777" w:rsidR="00CD0B1F" w:rsidRPr="00E378B5" w:rsidRDefault="00CD0B1F" w:rsidP="000D0123">
      <w:pPr>
        <w:spacing w:line="360" w:lineRule="auto"/>
        <w:ind w:right="866"/>
        <w:rPr>
          <w:lang w:val="en-US"/>
        </w:rPr>
        <w:sectPr w:rsidR="00CD0B1F" w:rsidRPr="00E378B5" w:rsidSect="00B7325C">
          <w:pgSz w:w="16820" w:h="11900" w:orient="landscape"/>
          <w:pgMar w:top="1417" w:right="1417" w:bottom="1417" w:left="1417" w:header="708" w:footer="708" w:gutter="0"/>
          <w:cols w:space="708"/>
          <w:docGrid w:linePitch="360"/>
        </w:sectPr>
      </w:pPr>
    </w:p>
    <w:p w14:paraId="09052702" w14:textId="74612ABE" w:rsidR="00CD0B1F" w:rsidRPr="00E378B5" w:rsidRDefault="00CD0B1F" w:rsidP="00CD0B1F">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16</w:t>
      </w:r>
    </w:p>
    <w:p w14:paraId="25B639F7" w14:textId="69532582" w:rsidR="00CD0B1F" w:rsidRPr="00E378B5" w:rsidRDefault="00CD0B1F" w:rsidP="00CD0B1F">
      <w:pPr>
        <w:ind w:right="866"/>
        <w:rPr>
          <w:b/>
          <w:lang w:val="en-US"/>
        </w:rPr>
      </w:pPr>
      <w:r w:rsidRPr="00E378B5">
        <w:rPr>
          <w:b/>
          <w:lang w:val="en-US"/>
        </w:rPr>
        <w:t>Table. Distribution of CCTA findings according to the occurrence of MACE in patients with ischemia</w:t>
      </w:r>
      <w:r w:rsidR="00CB28E8" w:rsidRPr="00E378B5">
        <w:rPr>
          <w:b/>
          <w:lang w:val="en-US"/>
        </w:rPr>
        <w:t>.</w:t>
      </w:r>
    </w:p>
    <w:p w14:paraId="5ADA8215" w14:textId="77777777" w:rsidR="00CD0B1F" w:rsidRPr="00E378B5" w:rsidRDefault="00CD0B1F" w:rsidP="00CD0B1F">
      <w:pPr>
        <w:ind w:right="866"/>
        <w:rPr>
          <w:b/>
          <w:sz w:val="28"/>
          <w:szCs w:val="28"/>
          <w:lang w:val="en-US"/>
        </w:rPr>
      </w:pPr>
    </w:p>
    <w:tbl>
      <w:tblPr>
        <w:tblStyle w:val="TableGrid"/>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410"/>
        <w:gridCol w:w="283"/>
        <w:gridCol w:w="2268"/>
        <w:gridCol w:w="1985"/>
        <w:gridCol w:w="283"/>
      </w:tblGrid>
      <w:tr w:rsidR="00E378B5" w:rsidRPr="00E378B5" w14:paraId="32D5FB9F" w14:textId="77777777" w:rsidTr="00CD0B1F">
        <w:tc>
          <w:tcPr>
            <w:tcW w:w="5245" w:type="dxa"/>
            <w:tcBorders>
              <w:top w:val="single" w:sz="4" w:space="0" w:color="auto"/>
              <w:bottom w:val="single" w:sz="4" w:space="0" w:color="auto"/>
            </w:tcBorders>
            <w:vAlign w:val="center"/>
          </w:tcPr>
          <w:p w14:paraId="0BBD592B" w14:textId="2C2D05FB" w:rsidR="00CD0B1F" w:rsidRPr="00E378B5" w:rsidRDefault="00CD0B1F" w:rsidP="00CD0B1F">
            <w:pPr>
              <w:jc w:val="center"/>
              <w:rPr>
                <w:b/>
                <w:lang w:val="en-US"/>
              </w:rPr>
            </w:pPr>
            <w:r w:rsidRPr="00E378B5">
              <w:rPr>
                <w:b/>
                <w:lang w:val="en-US"/>
              </w:rPr>
              <w:t>CCTA parameters</w:t>
            </w:r>
          </w:p>
        </w:tc>
        <w:tc>
          <w:tcPr>
            <w:tcW w:w="2410" w:type="dxa"/>
            <w:tcBorders>
              <w:top w:val="single" w:sz="4" w:space="0" w:color="auto"/>
              <w:bottom w:val="single" w:sz="4" w:space="0" w:color="auto"/>
            </w:tcBorders>
          </w:tcPr>
          <w:p w14:paraId="1CBD5F5B" w14:textId="77777777" w:rsidR="00CD0B1F" w:rsidRPr="00E378B5" w:rsidRDefault="00CD0B1F" w:rsidP="00CD0B1F">
            <w:pPr>
              <w:spacing w:before="80"/>
              <w:jc w:val="center"/>
              <w:rPr>
                <w:b/>
                <w:lang w:val="en-US"/>
              </w:rPr>
            </w:pPr>
            <w:r w:rsidRPr="00E378B5">
              <w:rPr>
                <w:b/>
                <w:lang w:val="en-US"/>
              </w:rPr>
              <w:t>Ischemia</w:t>
            </w:r>
          </w:p>
          <w:p w14:paraId="27FFE320" w14:textId="77777777" w:rsidR="00CD0B1F" w:rsidRPr="00E378B5" w:rsidRDefault="00CD0B1F" w:rsidP="00CD0B1F">
            <w:pPr>
              <w:spacing w:before="80"/>
              <w:jc w:val="center"/>
              <w:rPr>
                <w:b/>
                <w:lang w:val="en-US"/>
              </w:rPr>
            </w:pPr>
            <w:r w:rsidRPr="00E378B5">
              <w:rPr>
                <w:b/>
                <w:lang w:val="en-US"/>
              </w:rPr>
              <w:t>Without MACE</w:t>
            </w:r>
          </w:p>
          <w:p w14:paraId="2FB53BD8" w14:textId="1EB91DE4" w:rsidR="00CD0B1F" w:rsidRPr="00E378B5" w:rsidRDefault="00CD0B1F" w:rsidP="00CD0B1F">
            <w:pPr>
              <w:spacing w:after="80"/>
              <w:jc w:val="center"/>
              <w:rPr>
                <w:b/>
                <w:lang w:val="en-US"/>
              </w:rPr>
            </w:pPr>
            <w:r w:rsidRPr="00E378B5">
              <w:rPr>
                <w:b/>
                <w:lang w:val="en-US"/>
              </w:rPr>
              <w:t>(N=197)</w:t>
            </w:r>
          </w:p>
        </w:tc>
        <w:tc>
          <w:tcPr>
            <w:tcW w:w="283" w:type="dxa"/>
            <w:tcBorders>
              <w:top w:val="single" w:sz="4" w:space="0" w:color="auto"/>
              <w:bottom w:val="single" w:sz="4" w:space="0" w:color="auto"/>
            </w:tcBorders>
          </w:tcPr>
          <w:p w14:paraId="56C5A0B7" w14:textId="77777777" w:rsidR="00CD0B1F" w:rsidRPr="00E378B5" w:rsidRDefault="00CD0B1F" w:rsidP="00CD0B1F">
            <w:pPr>
              <w:spacing w:before="80"/>
              <w:jc w:val="center"/>
              <w:rPr>
                <w:b/>
                <w:lang w:val="en-US"/>
              </w:rPr>
            </w:pPr>
          </w:p>
        </w:tc>
        <w:tc>
          <w:tcPr>
            <w:tcW w:w="2268" w:type="dxa"/>
            <w:tcBorders>
              <w:top w:val="single" w:sz="4" w:space="0" w:color="auto"/>
              <w:bottom w:val="single" w:sz="4" w:space="0" w:color="auto"/>
            </w:tcBorders>
          </w:tcPr>
          <w:p w14:paraId="5364C2CD" w14:textId="77777777" w:rsidR="00CD0B1F" w:rsidRPr="00E378B5" w:rsidRDefault="00CD0B1F" w:rsidP="00CD0B1F">
            <w:pPr>
              <w:spacing w:before="80"/>
              <w:jc w:val="center"/>
              <w:rPr>
                <w:b/>
                <w:lang w:val="en-US"/>
              </w:rPr>
            </w:pPr>
            <w:r w:rsidRPr="00E378B5">
              <w:rPr>
                <w:b/>
                <w:lang w:val="en-US"/>
              </w:rPr>
              <w:t>Ischemia</w:t>
            </w:r>
          </w:p>
          <w:p w14:paraId="5B9211B5" w14:textId="0A7D472F" w:rsidR="00CD0B1F" w:rsidRPr="00E378B5" w:rsidRDefault="00CD0B1F" w:rsidP="00CD0B1F">
            <w:pPr>
              <w:spacing w:before="80"/>
              <w:jc w:val="center"/>
              <w:rPr>
                <w:b/>
                <w:lang w:val="en-US"/>
              </w:rPr>
            </w:pPr>
            <w:r w:rsidRPr="00E378B5">
              <w:rPr>
                <w:b/>
                <w:lang w:val="en-US"/>
              </w:rPr>
              <w:t>With MACE</w:t>
            </w:r>
          </w:p>
          <w:p w14:paraId="5A46D686" w14:textId="1677B74D" w:rsidR="00CD0B1F" w:rsidRPr="00E378B5" w:rsidRDefault="00CD0B1F" w:rsidP="00CD0B1F">
            <w:pPr>
              <w:spacing w:after="80"/>
              <w:jc w:val="center"/>
              <w:rPr>
                <w:b/>
                <w:lang w:val="en-US"/>
              </w:rPr>
            </w:pPr>
            <w:r w:rsidRPr="00E378B5">
              <w:rPr>
                <w:b/>
                <w:lang w:val="en-US"/>
              </w:rPr>
              <w:t>(N=105)</w:t>
            </w:r>
          </w:p>
        </w:tc>
        <w:tc>
          <w:tcPr>
            <w:tcW w:w="1985" w:type="dxa"/>
            <w:tcBorders>
              <w:top w:val="single" w:sz="4" w:space="0" w:color="auto"/>
              <w:bottom w:val="single" w:sz="4" w:space="0" w:color="auto"/>
            </w:tcBorders>
            <w:vAlign w:val="center"/>
          </w:tcPr>
          <w:p w14:paraId="6AA0A65F" w14:textId="2AF83554" w:rsidR="00CD0B1F" w:rsidRPr="00E378B5" w:rsidRDefault="00CD0B1F" w:rsidP="00CD0B1F">
            <w:pPr>
              <w:spacing w:before="80"/>
              <w:jc w:val="center"/>
              <w:rPr>
                <w:b/>
                <w:lang w:val="en-US"/>
              </w:rPr>
            </w:pPr>
            <w:r w:rsidRPr="00E378B5">
              <w:rPr>
                <w:b/>
                <w:lang w:val="en-US"/>
              </w:rPr>
              <w:t>p-value</w:t>
            </w:r>
          </w:p>
        </w:tc>
        <w:tc>
          <w:tcPr>
            <w:tcW w:w="283" w:type="dxa"/>
            <w:tcBorders>
              <w:top w:val="single" w:sz="4" w:space="0" w:color="auto"/>
              <w:bottom w:val="single" w:sz="4" w:space="0" w:color="auto"/>
            </w:tcBorders>
          </w:tcPr>
          <w:p w14:paraId="301B8698" w14:textId="7234BD32" w:rsidR="00CD0B1F" w:rsidRPr="00E378B5" w:rsidRDefault="00CD0B1F" w:rsidP="00CD0B1F">
            <w:pPr>
              <w:spacing w:before="80"/>
              <w:jc w:val="center"/>
              <w:rPr>
                <w:b/>
                <w:lang w:val="en-US"/>
              </w:rPr>
            </w:pPr>
          </w:p>
          <w:p w14:paraId="6C4B184E" w14:textId="77777777" w:rsidR="00CD0B1F" w:rsidRPr="00E378B5" w:rsidRDefault="00CD0B1F" w:rsidP="00CD0B1F">
            <w:pPr>
              <w:spacing w:before="80"/>
              <w:jc w:val="center"/>
              <w:rPr>
                <w:b/>
                <w:lang w:val="en-US"/>
              </w:rPr>
            </w:pPr>
          </w:p>
          <w:p w14:paraId="2B074744" w14:textId="77777777" w:rsidR="00CD0B1F" w:rsidRPr="00E378B5" w:rsidRDefault="00CD0B1F" w:rsidP="00CD0B1F">
            <w:pPr>
              <w:spacing w:after="80"/>
              <w:rPr>
                <w:b/>
                <w:lang w:val="en-US"/>
              </w:rPr>
            </w:pPr>
          </w:p>
        </w:tc>
      </w:tr>
      <w:tr w:rsidR="00E378B5" w:rsidRPr="00E378B5" w14:paraId="3F3B74EA" w14:textId="77777777" w:rsidTr="00CD0B1F">
        <w:tc>
          <w:tcPr>
            <w:tcW w:w="5245" w:type="dxa"/>
            <w:tcBorders>
              <w:top w:val="single" w:sz="4" w:space="0" w:color="auto"/>
            </w:tcBorders>
          </w:tcPr>
          <w:p w14:paraId="5622E0A5" w14:textId="77777777" w:rsidR="00CD0B1F" w:rsidRPr="00E378B5" w:rsidRDefault="00CD0B1F" w:rsidP="00983CB7">
            <w:pPr>
              <w:rPr>
                <w:bCs/>
                <w:lang w:val="en-US"/>
              </w:rPr>
            </w:pPr>
          </w:p>
        </w:tc>
        <w:tc>
          <w:tcPr>
            <w:tcW w:w="2410" w:type="dxa"/>
            <w:tcBorders>
              <w:top w:val="single" w:sz="4" w:space="0" w:color="auto"/>
            </w:tcBorders>
          </w:tcPr>
          <w:p w14:paraId="13110AA3" w14:textId="77777777" w:rsidR="00CD0B1F" w:rsidRPr="00E378B5" w:rsidRDefault="00CD0B1F" w:rsidP="00983CB7">
            <w:pPr>
              <w:jc w:val="center"/>
              <w:rPr>
                <w:bCs/>
                <w:lang w:val="en-US"/>
              </w:rPr>
            </w:pPr>
          </w:p>
        </w:tc>
        <w:tc>
          <w:tcPr>
            <w:tcW w:w="283" w:type="dxa"/>
            <w:tcBorders>
              <w:top w:val="single" w:sz="4" w:space="0" w:color="auto"/>
            </w:tcBorders>
          </w:tcPr>
          <w:p w14:paraId="0FD1C9E3" w14:textId="77777777" w:rsidR="00CD0B1F" w:rsidRPr="00E378B5" w:rsidRDefault="00CD0B1F" w:rsidP="00983CB7">
            <w:pPr>
              <w:jc w:val="center"/>
              <w:rPr>
                <w:bCs/>
                <w:lang w:val="en-US"/>
              </w:rPr>
            </w:pPr>
          </w:p>
        </w:tc>
        <w:tc>
          <w:tcPr>
            <w:tcW w:w="2268" w:type="dxa"/>
            <w:tcBorders>
              <w:top w:val="single" w:sz="4" w:space="0" w:color="auto"/>
            </w:tcBorders>
          </w:tcPr>
          <w:p w14:paraId="7E3AC58E" w14:textId="77777777" w:rsidR="00CD0B1F" w:rsidRPr="00E378B5" w:rsidRDefault="00CD0B1F" w:rsidP="00983CB7">
            <w:pPr>
              <w:jc w:val="center"/>
              <w:rPr>
                <w:bCs/>
                <w:lang w:val="en-US"/>
              </w:rPr>
            </w:pPr>
          </w:p>
        </w:tc>
        <w:tc>
          <w:tcPr>
            <w:tcW w:w="1985" w:type="dxa"/>
            <w:tcBorders>
              <w:top w:val="single" w:sz="4" w:space="0" w:color="auto"/>
            </w:tcBorders>
          </w:tcPr>
          <w:p w14:paraId="2FB9CC5A" w14:textId="77777777" w:rsidR="00CD0B1F" w:rsidRPr="00E378B5" w:rsidRDefault="00CD0B1F" w:rsidP="00983CB7">
            <w:pPr>
              <w:jc w:val="center"/>
              <w:rPr>
                <w:bCs/>
                <w:lang w:val="en-US"/>
              </w:rPr>
            </w:pPr>
          </w:p>
        </w:tc>
        <w:tc>
          <w:tcPr>
            <w:tcW w:w="283" w:type="dxa"/>
            <w:tcBorders>
              <w:top w:val="single" w:sz="4" w:space="0" w:color="auto"/>
            </w:tcBorders>
          </w:tcPr>
          <w:p w14:paraId="05E1649A" w14:textId="77777777" w:rsidR="00CD0B1F" w:rsidRPr="00E378B5" w:rsidRDefault="00CD0B1F" w:rsidP="00983CB7">
            <w:pPr>
              <w:jc w:val="center"/>
              <w:rPr>
                <w:bCs/>
                <w:lang w:val="en-US"/>
              </w:rPr>
            </w:pPr>
          </w:p>
        </w:tc>
      </w:tr>
      <w:tr w:rsidR="00E378B5" w:rsidRPr="00E378B5" w14:paraId="316DF5DE" w14:textId="77777777" w:rsidTr="00CD0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Borders>
              <w:top w:val="nil"/>
              <w:left w:val="nil"/>
              <w:bottom w:val="nil"/>
              <w:right w:val="nil"/>
            </w:tcBorders>
          </w:tcPr>
          <w:p w14:paraId="625A8437" w14:textId="49226ED2" w:rsidR="00CD0B1F" w:rsidRPr="00E378B5" w:rsidRDefault="00E009BC" w:rsidP="00E009BC">
            <w:pPr>
              <w:spacing w:line="360" w:lineRule="auto"/>
              <w:rPr>
                <w:bCs/>
                <w:lang w:val="en-US"/>
              </w:rPr>
            </w:pPr>
            <w:r w:rsidRPr="00E378B5">
              <w:rPr>
                <w:lang w:val="en-US"/>
              </w:rPr>
              <w:t>No. of proximal segments with stenosis &gt;70%</w:t>
            </w:r>
          </w:p>
        </w:tc>
        <w:tc>
          <w:tcPr>
            <w:tcW w:w="2410" w:type="dxa"/>
            <w:tcBorders>
              <w:top w:val="nil"/>
              <w:left w:val="nil"/>
              <w:bottom w:val="nil"/>
              <w:right w:val="nil"/>
            </w:tcBorders>
          </w:tcPr>
          <w:p w14:paraId="458F27FE" w14:textId="49835539" w:rsidR="00CD0B1F" w:rsidRPr="00E378B5" w:rsidRDefault="00A35EBB" w:rsidP="00983CB7">
            <w:pPr>
              <w:jc w:val="center"/>
              <w:rPr>
                <w:bCs/>
                <w:lang w:val="en-US"/>
              </w:rPr>
            </w:pPr>
            <w:r w:rsidRPr="00E378B5">
              <w:t>0.</w:t>
            </w:r>
            <w:r w:rsidR="001A0A1E" w:rsidRPr="00E378B5">
              <w:t>1</w:t>
            </w:r>
            <w:r w:rsidRPr="00E378B5">
              <w:t xml:space="preserve"> ± 0.4</w:t>
            </w:r>
          </w:p>
        </w:tc>
        <w:tc>
          <w:tcPr>
            <w:tcW w:w="283" w:type="dxa"/>
            <w:tcBorders>
              <w:top w:val="nil"/>
              <w:left w:val="nil"/>
              <w:bottom w:val="nil"/>
              <w:right w:val="nil"/>
            </w:tcBorders>
          </w:tcPr>
          <w:p w14:paraId="1FFE1856" w14:textId="77777777" w:rsidR="00CD0B1F" w:rsidRPr="00E378B5" w:rsidRDefault="00CD0B1F" w:rsidP="00983CB7">
            <w:pPr>
              <w:jc w:val="center"/>
              <w:rPr>
                <w:bCs/>
                <w:lang w:val="en-US"/>
              </w:rPr>
            </w:pPr>
          </w:p>
        </w:tc>
        <w:tc>
          <w:tcPr>
            <w:tcW w:w="2268" w:type="dxa"/>
            <w:tcBorders>
              <w:top w:val="nil"/>
              <w:left w:val="nil"/>
              <w:bottom w:val="nil"/>
              <w:right w:val="nil"/>
            </w:tcBorders>
          </w:tcPr>
          <w:p w14:paraId="71F865A5" w14:textId="4C63D386" w:rsidR="00CD0B1F" w:rsidRPr="00E378B5" w:rsidRDefault="00A35EBB" w:rsidP="00983CB7">
            <w:pPr>
              <w:jc w:val="center"/>
              <w:rPr>
                <w:bCs/>
                <w:lang w:val="en-US"/>
              </w:rPr>
            </w:pPr>
            <w:r w:rsidRPr="00E378B5">
              <w:t>0.</w:t>
            </w:r>
            <w:r w:rsidR="00706364" w:rsidRPr="00E378B5">
              <w:t>5</w:t>
            </w:r>
            <w:r w:rsidRPr="00E378B5">
              <w:t xml:space="preserve"> ± 0.</w:t>
            </w:r>
            <w:r w:rsidR="006F6909" w:rsidRPr="00E378B5">
              <w:t>2</w:t>
            </w:r>
          </w:p>
        </w:tc>
        <w:tc>
          <w:tcPr>
            <w:tcW w:w="1985" w:type="dxa"/>
            <w:tcBorders>
              <w:top w:val="nil"/>
              <w:left w:val="nil"/>
              <w:bottom w:val="nil"/>
              <w:right w:val="nil"/>
            </w:tcBorders>
          </w:tcPr>
          <w:p w14:paraId="616052F1" w14:textId="77777777" w:rsidR="00CD0B1F" w:rsidRPr="00E378B5" w:rsidRDefault="00CD0B1F" w:rsidP="00983CB7">
            <w:pPr>
              <w:jc w:val="center"/>
              <w:rPr>
                <w:bCs/>
                <w:lang w:val="en-US"/>
              </w:rPr>
            </w:pPr>
            <w:r w:rsidRPr="00E378B5">
              <w:rPr>
                <w:b/>
                <w:lang w:val="en-US"/>
              </w:rPr>
              <w:t>&lt;0.001</w:t>
            </w:r>
          </w:p>
        </w:tc>
        <w:tc>
          <w:tcPr>
            <w:tcW w:w="283" w:type="dxa"/>
            <w:tcBorders>
              <w:top w:val="nil"/>
              <w:left w:val="nil"/>
              <w:bottom w:val="nil"/>
              <w:right w:val="nil"/>
            </w:tcBorders>
          </w:tcPr>
          <w:p w14:paraId="475AC5E3" w14:textId="77777777" w:rsidR="00CD0B1F" w:rsidRPr="00E378B5" w:rsidRDefault="00CD0B1F" w:rsidP="00983CB7">
            <w:pPr>
              <w:jc w:val="center"/>
              <w:rPr>
                <w:bCs/>
                <w:lang w:val="en-US"/>
              </w:rPr>
            </w:pPr>
          </w:p>
        </w:tc>
      </w:tr>
      <w:tr w:rsidR="00E378B5" w:rsidRPr="00E378B5" w14:paraId="78FE2FA9" w14:textId="77777777" w:rsidTr="00CD0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Borders>
              <w:top w:val="nil"/>
              <w:left w:val="nil"/>
              <w:bottom w:val="nil"/>
              <w:right w:val="nil"/>
            </w:tcBorders>
          </w:tcPr>
          <w:p w14:paraId="627E0436" w14:textId="74137600" w:rsidR="00CD0B1F" w:rsidRPr="00E378B5" w:rsidRDefault="00E009BC" w:rsidP="00E009BC">
            <w:pPr>
              <w:spacing w:line="360" w:lineRule="auto"/>
              <w:ind w:right="866"/>
              <w:rPr>
                <w:lang w:val="en-US"/>
              </w:rPr>
            </w:pPr>
            <w:r w:rsidRPr="00E378B5">
              <w:rPr>
                <w:lang w:val="en-US"/>
              </w:rPr>
              <w:t>No. of segments with noncalcified plaques</w:t>
            </w:r>
          </w:p>
        </w:tc>
        <w:tc>
          <w:tcPr>
            <w:tcW w:w="2410" w:type="dxa"/>
            <w:tcBorders>
              <w:top w:val="nil"/>
              <w:left w:val="nil"/>
              <w:bottom w:val="nil"/>
              <w:right w:val="nil"/>
            </w:tcBorders>
          </w:tcPr>
          <w:p w14:paraId="17747F29" w14:textId="03ACFD2C" w:rsidR="00CD0B1F" w:rsidRPr="00E378B5" w:rsidRDefault="00706364" w:rsidP="00983CB7">
            <w:pPr>
              <w:jc w:val="center"/>
              <w:rPr>
                <w:bCs/>
                <w:lang w:val="en-US"/>
              </w:rPr>
            </w:pPr>
            <w:r w:rsidRPr="00E378B5">
              <w:t>0.8</w:t>
            </w:r>
            <w:r w:rsidR="00A35EBB" w:rsidRPr="00E378B5">
              <w:t xml:space="preserve"> ± 0.</w:t>
            </w:r>
            <w:r w:rsidRPr="00E378B5">
              <w:t>8</w:t>
            </w:r>
          </w:p>
        </w:tc>
        <w:tc>
          <w:tcPr>
            <w:tcW w:w="283" w:type="dxa"/>
            <w:tcBorders>
              <w:top w:val="nil"/>
              <w:left w:val="nil"/>
              <w:bottom w:val="nil"/>
              <w:right w:val="nil"/>
            </w:tcBorders>
          </w:tcPr>
          <w:p w14:paraId="6B3EFED1" w14:textId="77777777" w:rsidR="00CD0B1F" w:rsidRPr="00E378B5" w:rsidRDefault="00CD0B1F" w:rsidP="00983CB7">
            <w:pPr>
              <w:jc w:val="center"/>
              <w:rPr>
                <w:bCs/>
                <w:lang w:val="en-US"/>
              </w:rPr>
            </w:pPr>
          </w:p>
        </w:tc>
        <w:tc>
          <w:tcPr>
            <w:tcW w:w="2268" w:type="dxa"/>
            <w:tcBorders>
              <w:top w:val="nil"/>
              <w:left w:val="nil"/>
              <w:bottom w:val="nil"/>
              <w:right w:val="nil"/>
            </w:tcBorders>
          </w:tcPr>
          <w:p w14:paraId="6AC2773B" w14:textId="047CE4F7" w:rsidR="00CD0B1F" w:rsidRPr="00E378B5" w:rsidRDefault="00A35EBB" w:rsidP="00983CB7">
            <w:pPr>
              <w:jc w:val="center"/>
              <w:rPr>
                <w:bCs/>
                <w:lang w:val="en-US"/>
              </w:rPr>
            </w:pPr>
            <w:r w:rsidRPr="00E378B5">
              <w:t>1.</w:t>
            </w:r>
            <w:r w:rsidR="00706364" w:rsidRPr="00E378B5">
              <w:t>6</w:t>
            </w:r>
            <w:r w:rsidRPr="00E378B5">
              <w:t xml:space="preserve"> ± 0.6</w:t>
            </w:r>
          </w:p>
        </w:tc>
        <w:tc>
          <w:tcPr>
            <w:tcW w:w="1985" w:type="dxa"/>
            <w:tcBorders>
              <w:top w:val="nil"/>
              <w:left w:val="nil"/>
              <w:bottom w:val="nil"/>
              <w:right w:val="nil"/>
            </w:tcBorders>
          </w:tcPr>
          <w:p w14:paraId="4165146F" w14:textId="77777777" w:rsidR="00CD0B1F" w:rsidRPr="00E378B5" w:rsidRDefault="00CD0B1F" w:rsidP="00983CB7">
            <w:pPr>
              <w:jc w:val="center"/>
              <w:rPr>
                <w:bCs/>
                <w:lang w:val="en-US"/>
              </w:rPr>
            </w:pPr>
            <w:r w:rsidRPr="00E378B5">
              <w:rPr>
                <w:b/>
                <w:lang w:val="en-US"/>
              </w:rPr>
              <w:t>&lt;0.001</w:t>
            </w:r>
          </w:p>
        </w:tc>
        <w:tc>
          <w:tcPr>
            <w:tcW w:w="283" w:type="dxa"/>
            <w:tcBorders>
              <w:top w:val="nil"/>
              <w:left w:val="nil"/>
              <w:bottom w:val="nil"/>
              <w:right w:val="nil"/>
            </w:tcBorders>
          </w:tcPr>
          <w:p w14:paraId="5DCDC5C8" w14:textId="77777777" w:rsidR="00CD0B1F" w:rsidRPr="00E378B5" w:rsidRDefault="00CD0B1F" w:rsidP="00983CB7">
            <w:pPr>
              <w:jc w:val="center"/>
              <w:rPr>
                <w:bCs/>
                <w:lang w:val="en-US"/>
              </w:rPr>
            </w:pPr>
          </w:p>
        </w:tc>
      </w:tr>
      <w:tr w:rsidR="00CD0B1F" w:rsidRPr="00E378B5" w14:paraId="47F24508" w14:textId="77777777" w:rsidTr="00CD0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Borders>
              <w:top w:val="nil"/>
              <w:left w:val="nil"/>
              <w:bottom w:val="single" w:sz="4" w:space="0" w:color="auto"/>
              <w:right w:val="nil"/>
            </w:tcBorders>
          </w:tcPr>
          <w:p w14:paraId="4A774DDF" w14:textId="77777777" w:rsidR="00CD0B1F" w:rsidRPr="00E378B5" w:rsidRDefault="00CD0B1F" w:rsidP="00983CB7">
            <w:pPr>
              <w:rPr>
                <w:bCs/>
                <w:sz w:val="10"/>
                <w:szCs w:val="10"/>
                <w:lang w:val="en-US"/>
              </w:rPr>
            </w:pPr>
          </w:p>
        </w:tc>
        <w:tc>
          <w:tcPr>
            <w:tcW w:w="2410" w:type="dxa"/>
            <w:tcBorders>
              <w:top w:val="nil"/>
              <w:left w:val="nil"/>
              <w:bottom w:val="single" w:sz="4" w:space="0" w:color="auto"/>
              <w:right w:val="nil"/>
            </w:tcBorders>
          </w:tcPr>
          <w:p w14:paraId="5DF33801" w14:textId="77777777" w:rsidR="00CD0B1F" w:rsidRPr="00E378B5" w:rsidRDefault="00CD0B1F" w:rsidP="00983CB7">
            <w:pPr>
              <w:jc w:val="center"/>
              <w:rPr>
                <w:bCs/>
                <w:sz w:val="10"/>
                <w:szCs w:val="10"/>
                <w:lang w:val="en-US"/>
              </w:rPr>
            </w:pPr>
          </w:p>
        </w:tc>
        <w:tc>
          <w:tcPr>
            <w:tcW w:w="283" w:type="dxa"/>
            <w:tcBorders>
              <w:top w:val="nil"/>
              <w:left w:val="nil"/>
              <w:bottom w:val="single" w:sz="4" w:space="0" w:color="auto"/>
              <w:right w:val="nil"/>
            </w:tcBorders>
          </w:tcPr>
          <w:p w14:paraId="56B86FF4" w14:textId="77777777" w:rsidR="00CD0B1F" w:rsidRPr="00E378B5" w:rsidRDefault="00CD0B1F" w:rsidP="00983CB7">
            <w:pPr>
              <w:jc w:val="center"/>
              <w:rPr>
                <w:bCs/>
                <w:sz w:val="10"/>
                <w:szCs w:val="10"/>
                <w:lang w:val="en-US"/>
              </w:rPr>
            </w:pPr>
          </w:p>
        </w:tc>
        <w:tc>
          <w:tcPr>
            <w:tcW w:w="2268" w:type="dxa"/>
            <w:tcBorders>
              <w:top w:val="nil"/>
              <w:left w:val="nil"/>
              <w:bottom w:val="single" w:sz="4" w:space="0" w:color="auto"/>
              <w:right w:val="nil"/>
            </w:tcBorders>
          </w:tcPr>
          <w:p w14:paraId="7CABCB90" w14:textId="77777777" w:rsidR="00CD0B1F" w:rsidRPr="00E378B5" w:rsidRDefault="00CD0B1F" w:rsidP="00983CB7">
            <w:pPr>
              <w:jc w:val="center"/>
              <w:rPr>
                <w:bCs/>
                <w:sz w:val="10"/>
                <w:szCs w:val="10"/>
                <w:lang w:val="en-US"/>
              </w:rPr>
            </w:pPr>
          </w:p>
        </w:tc>
        <w:tc>
          <w:tcPr>
            <w:tcW w:w="1985" w:type="dxa"/>
            <w:tcBorders>
              <w:top w:val="nil"/>
              <w:left w:val="nil"/>
              <w:bottom w:val="single" w:sz="4" w:space="0" w:color="auto"/>
              <w:right w:val="nil"/>
            </w:tcBorders>
          </w:tcPr>
          <w:p w14:paraId="65AD510A" w14:textId="77777777" w:rsidR="00CD0B1F" w:rsidRPr="00E378B5" w:rsidRDefault="00CD0B1F" w:rsidP="00983CB7">
            <w:pPr>
              <w:jc w:val="center"/>
              <w:rPr>
                <w:bCs/>
                <w:sz w:val="10"/>
                <w:szCs w:val="10"/>
                <w:lang w:val="en-US"/>
              </w:rPr>
            </w:pPr>
          </w:p>
        </w:tc>
        <w:tc>
          <w:tcPr>
            <w:tcW w:w="283" w:type="dxa"/>
            <w:tcBorders>
              <w:top w:val="nil"/>
              <w:left w:val="nil"/>
              <w:bottom w:val="single" w:sz="4" w:space="0" w:color="auto"/>
              <w:right w:val="nil"/>
            </w:tcBorders>
          </w:tcPr>
          <w:p w14:paraId="450AE50B" w14:textId="77777777" w:rsidR="00CD0B1F" w:rsidRPr="00E378B5" w:rsidRDefault="00CD0B1F" w:rsidP="00983CB7">
            <w:pPr>
              <w:jc w:val="center"/>
              <w:rPr>
                <w:bCs/>
                <w:sz w:val="10"/>
                <w:szCs w:val="10"/>
                <w:lang w:val="en-US"/>
              </w:rPr>
            </w:pPr>
          </w:p>
        </w:tc>
      </w:tr>
    </w:tbl>
    <w:p w14:paraId="344F30DA" w14:textId="77777777" w:rsidR="00CD0B1F" w:rsidRPr="00E378B5" w:rsidRDefault="00CD0B1F" w:rsidP="00CD0B1F">
      <w:pPr>
        <w:ind w:right="868"/>
        <w:rPr>
          <w:bCs/>
          <w:lang w:val="en-US"/>
        </w:rPr>
      </w:pPr>
    </w:p>
    <w:p w14:paraId="34C6AAAF" w14:textId="38BBD56C" w:rsidR="00B7325C" w:rsidRPr="00E378B5" w:rsidRDefault="00B7325C" w:rsidP="000D0123">
      <w:pPr>
        <w:spacing w:line="360" w:lineRule="auto"/>
        <w:ind w:right="866"/>
        <w:rPr>
          <w:lang w:val="en-US"/>
        </w:rPr>
      </w:pPr>
    </w:p>
    <w:p w14:paraId="18F75C4A" w14:textId="649C445E" w:rsidR="00703D55" w:rsidRPr="00E378B5" w:rsidRDefault="00703D55" w:rsidP="000D0123">
      <w:pPr>
        <w:spacing w:line="360" w:lineRule="auto"/>
        <w:ind w:right="866"/>
        <w:rPr>
          <w:lang w:val="en-US"/>
        </w:rPr>
      </w:pPr>
    </w:p>
    <w:p w14:paraId="1976DA96" w14:textId="77777777" w:rsidR="00453D2C" w:rsidRPr="00E378B5" w:rsidRDefault="00453D2C" w:rsidP="00B961E6">
      <w:pPr>
        <w:spacing w:line="360" w:lineRule="auto"/>
        <w:ind w:right="866"/>
        <w:rPr>
          <w:rFonts w:eastAsia="Calibri"/>
          <w:b/>
          <w:highlight w:val="yellow"/>
          <w:u w:val="single"/>
          <w:lang w:val="en-US" w:eastAsia="en-US"/>
        </w:rPr>
        <w:sectPr w:rsidR="00453D2C" w:rsidRPr="00E378B5" w:rsidSect="00B7325C">
          <w:pgSz w:w="16820" w:h="11900" w:orient="landscape"/>
          <w:pgMar w:top="1417" w:right="1417" w:bottom="1417" w:left="1417" w:header="708" w:footer="708" w:gutter="0"/>
          <w:cols w:space="708"/>
          <w:docGrid w:linePitch="360"/>
        </w:sectPr>
      </w:pPr>
    </w:p>
    <w:p w14:paraId="1C6893D1" w14:textId="46DFF986" w:rsidR="00B961E6" w:rsidRPr="00E378B5" w:rsidRDefault="00B961E6" w:rsidP="00B961E6">
      <w:pPr>
        <w:spacing w:line="360" w:lineRule="auto"/>
        <w:ind w:right="866"/>
        <w:rPr>
          <w:b/>
          <w:lang w:val="en-US"/>
        </w:rPr>
      </w:pPr>
      <w:r w:rsidRPr="00E378B5">
        <w:rPr>
          <w:rFonts w:eastAsia="Calibri"/>
          <w:b/>
          <w:u w:val="single"/>
          <w:lang w:val="en-US" w:eastAsia="en-US"/>
        </w:rPr>
        <w:lastRenderedPageBreak/>
        <w:t xml:space="preserve">SUPPLEMENTARY FILE </w:t>
      </w:r>
      <w:r w:rsidR="00355609" w:rsidRPr="00E378B5">
        <w:rPr>
          <w:rFonts w:eastAsia="Calibri"/>
          <w:b/>
          <w:u w:val="single"/>
          <w:lang w:val="en-US" w:eastAsia="en-US"/>
        </w:rPr>
        <w:t>17</w:t>
      </w:r>
    </w:p>
    <w:p w14:paraId="59F7C0E9" w14:textId="3E1F0AF3" w:rsidR="00703D55" w:rsidRPr="00E378B5" w:rsidRDefault="00B961E6" w:rsidP="00B961E6">
      <w:pPr>
        <w:ind w:right="866"/>
        <w:rPr>
          <w:b/>
          <w:bCs/>
          <w:lang w:val="en-US"/>
        </w:rPr>
      </w:pPr>
      <w:r w:rsidRPr="00E378B5">
        <w:rPr>
          <w:b/>
          <w:lang w:val="en-US"/>
        </w:rPr>
        <w:t xml:space="preserve">Table. Association of </w:t>
      </w:r>
      <w:r w:rsidR="00C16E7A" w:rsidRPr="00E378B5">
        <w:rPr>
          <w:b/>
          <w:lang w:val="en-US"/>
        </w:rPr>
        <w:t>the number of proximal segments with noncalcified plaques</w:t>
      </w:r>
      <w:r w:rsidR="00C16E7A" w:rsidRPr="00E378B5">
        <w:rPr>
          <w:lang w:val="en-US"/>
        </w:rPr>
        <w:t xml:space="preserve"> </w:t>
      </w:r>
      <w:r w:rsidR="00C16E7A" w:rsidRPr="00E378B5">
        <w:rPr>
          <w:b/>
          <w:bCs/>
          <w:lang w:val="en-US"/>
        </w:rPr>
        <w:t>and the occurrence of MACE</w:t>
      </w:r>
      <w:r w:rsidRPr="00E378B5">
        <w:rPr>
          <w:b/>
          <w:bCs/>
          <w:lang w:val="en-US"/>
        </w:rPr>
        <w:t>.</w:t>
      </w:r>
    </w:p>
    <w:p w14:paraId="7F4C740F" w14:textId="77777777" w:rsidR="00B961E6" w:rsidRPr="00E378B5" w:rsidRDefault="00B961E6" w:rsidP="00B961E6">
      <w:pPr>
        <w:ind w:right="866"/>
        <w:rPr>
          <w:b/>
          <w:lang w:val="en-US"/>
        </w:rPr>
      </w:pPr>
    </w:p>
    <w:tbl>
      <w:tblPr>
        <w:tblStyle w:val="TableGrid"/>
        <w:tblW w:w="13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1815"/>
        <w:gridCol w:w="1040"/>
        <w:gridCol w:w="284"/>
        <w:gridCol w:w="1798"/>
        <w:gridCol w:w="1037"/>
        <w:gridCol w:w="283"/>
        <w:gridCol w:w="1843"/>
        <w:gridCol w:w="1110"/>
        <w:gridCol w:w="260"/>
      </w:tblGrid>
      <w:tr w:rsidR="00E378B5" w:rsidRPr="00E378B5" w14:paraId="58002395" w14:textId="77777777" w:rsidTr="00983CB7">
        <w:tc>
          <w:tcPr>
            <w:tcW w:w="4516" w:type="dxa"/>
            <w:tcBorders>
              <w:top w:val="single" w:sz="4" w:space="0" w:color="auto"/>
              <w:bottom w:val="single" w:sz="4" w:space="0" w:color="auto"/>
            </w:tcBorders>
          </w:tcPr>
          <w:p w14:paraId="31E317E4" w14:textId="77777777" w:rsidR="00B961E6" w:rsidRPr="00E378B5" w:rsidRDefault="00B961E6" w:rsidP="00983CB7">
            <w:pPr>
              <w:rPr>
                <w:bCs/>
                <w:lang w:val="en-US"/>
              </w:rPr>
            </w:pPr>
          </w:p>
        </w:tc>
        <w:tc>
          <w:tcPr>
            <w:tcW w:w="1815" w:type="dxa"/>
            <w:tcBorders>
              <w:top w:val="single" w:sz="4" w:space="0" w:color="auto"/>
              <w:bottom w:val="single" w:sz="4" w:space="0" w:color="auto"/>
            </w:tcBorders>
          </w:tcPr>
          <w:p w14:paraId="701859F8" w14:textId="77777777" w:rsidR="00B961E6" w:rsidRPr="00E378B5" w:rsidRDefault="00B961E6" w:rsidP="00983CB7">
            <w:pPr>
              <w:spacing w:before="80"/>
              <w:jc w:val="center"/>
              <w:rPr>
                <w:b/>
                <w:lang w:val="en-US"/>
              </w:rPr>
            </w:pPr>
            <w:proofErr w:type="spellStart"/>
            <w:r w:rsidRPr="00E378B5">
              <w:rPr>
                <w:b/>
                <w:lang w:val="en-US"/>
              </w:rPr>
              <w:t>Phenogroup</w:t>
            </w:r>
            <w:proofErr w:type="spellEnd"/>
            <w:r w:rsidRPr="00E378B5">
              <w:rPr>
                <w:b/>
                <w:lang w:val="en-US"/>
              </w:rPr>
              <w:t xml:space="preserve"> 1</w:t>
            </w:r>
          </w:p>
          <w:p w14:paraId="71407E9E" w14:textId="77777777" w:rsidR="00B961E6" w:rsidRPr="00E378B5" w:rsidRDefault="00B961E6" w:rsidP="00983CB7">
            <w:pPr>
              <w:spacing w:after="80"/>
              <w:jc w:val="center"/>
              <w:rPr>
                <w:b/>
                <w:lang w:val="en-US"/>
              </w:rPr>
            </w:pPr>
            <w:r w:rsidRPr="00E378B5">
              <w:rPr>
                <w:b/>
                <w:lang w:val="en-US"/>
              </w:rPr>
              <w:t>(N=854)</w:t>
            </w:r>
          </w:p>
        </w:tc>
        <w:tc>
          <w:tcPr>
            <w:tcW w:w="1040" w:type="dxa"/>
            <w:tcBorders>
              <w:top w:val="single" w:sz="4" w:space="0" w:color="auto"/>
              <w:bottom w:val="single" w:sz="4" w:space="0" w:color="auto"/>
            </w:tcBorders>
            <w:vAlign w:val="center"/>
          </w:tcPr>
          <w:p w14:paraId="52467998" w14:textId="77777777" w:rsidR="00B961E6" w:rsidRPr="00E378B5" w:rsidRDefault="00B961E6" w:rsidP="00983CB7">
            <w:pPr>
              <w:spacing w:before="80"/>
              <w:jc w:val="center"/>
              <w:rPr>
                <w:b/>
                <w:lang w:val="en-US"/>
              </w:rPr>
            </w:pPr>
            <w:r w:rsidRPr="00E378B5">
              <w:rPr>
                <w:b/>
                <w:lang w:val="en-US"/>
              </w:rPr>
              <w:t>p-value</w:t>
            </w:r>
          </w:p>
        </w:tc>
        <w:tc>
          <w:tcPr>
            <w:tcW w:w="284" w:type="dxa"/>
            <w:tcBorders>
              <w:top w:val="single" w:sz="4" w:space="0" w:color="auto"/>
              <w:bottom w:val="single" w:sz="4" w:space="0" w:color="auto"/>
            </w:tcBorders>
          </w:tcPr>
          <w:p w14:paraId="74B3A258" w14:textId="77777777" w:rsidR="00B961E6" w:rsidRPr="00E378B5" w:rsidRDefault="00B961E6" w:rsidP="00983CB7">
            <w:pPr>
              <w:spacing w:before="80"/>
              <w:jc w:val="center"/>
              <w:rPr>
                <w:b/>
                <w:lang w:val="en-US"/>
              </w:rPr>
            </w:pPr>
          </w:p>
        </w:tc>
        <w:tc>
          <w:tcPr>
            <w:tcW w:w="1798" w:type="dxa"/>
            <w:tcBorders>
              <w:top w:val="single" w:sz="4" w:space="0" w:color="auto"/>
              <w:bottom w:val="single" w:sz="4" w:space="0" w:color="auto"/>
            </w:tcBorders>
          </w:tcPr>
          <w:p w14:paraId="2A67F9EA" w14:textId="77777777" w:rsidR="00B961E6" w:rsidRPr="00E378B5" w:rsidRDefault="00B961E6" w:rsidP="00983CB7">
            <w:pPr>
              <w:spacing w:before="80"/>
              <w:jc w:val="center"/>
              <w:rPr>
                <w:b/>
                <w:lang w:val="en-US"/>
              </w:rPr>
            </w:pPr>
            <w:proofErr w:type="spellStart"/>
            <w:r w:rsidRPr="00E378B5">
              <w:rPr>
                <w:b/>
                <w:lang w:val="en-US"/>
              </w:rPr>
              <w:t>Phenogroup</w:t>
            </w:r>
            <w:proofErr w:type="spellEnd"/>
            <w:r w:rsidRPr="00E378B5">
              <w:rPr>
                <w:b/>
                <w:lang w:val="en-US"/>
              </w:rPr>
              <w:t xml:space="preserve"> 2</w:t>
            </w:r>
          </w:p>
          <w:p w14:paraId="71EB47DE" w14:textId="77777777" w:rsidR="00B961E6" w:rsidRPr="00E378B5" w:rsidRDefault="00B961E6" w:rsidP="00983CB7">
            <w:pPr>
              <w:spacing w:after="80"/>
              <w:jc w:val="center"/>
              <w:rPr>
                <w:b/>
                <w:lang w:val="en-US"/>
              </w:rPr>
            </w:pPr>
            <w:r w:rsidRPr="00E378B5">
              <w:rPr>
                <w:b/>
                <w:lang w:val="en-US"/>
              </w:rPr>
              <w:t>(N=681)</w:t>
            </w:r>
          </w:p>
        </w:tc>
        <w:tc>
          <w:tcPr>
            <w:tcW w:w="1037" w:type="dxa"/>
            <w:tcBorders>
              <w:top w:val="single" w:sz="4" w:space="0" w:color="auto"/>
              <w:bottom w:val="single" w:sz="4" w:space="0" w:color="auto"/>
            </w:tcBorders>
            <w:vAlign w:val="center"/>
          </w:tcPr>
          <w:p w14:paraId="6A3102E3" w14:textId="77777777" w:rsidR="00B961E6" w:rsidRPr="00E378B5" w:rsidRDefault="00B961E6" w:rsidP="00983CB7">
            <w:pPr>
              <w:spacing w:before="80"/>
              <w:jc w:val="center"/>
              <w:rPr>
                <w:b/>
                <w:lang w:val="en-US"/>
              </w:rPr>
            </w:pPr>
            <w:r w:rsidRPr="00E378B5">
              <w:rPr>
                <w:b/>
                <w:lang w:val="en-US"/>
              </w:rPr>
              <w:t>p-value</w:t>
            </w:r>
          </w:p>
        </w:tc>
        <w:tc>
          <w:tcPr>
            <w:tcW w:w="283" w:type="dxa"/>
            <w:tcBorders>
              <w:top w:val="single" w:sz="4" w:space="0" w:color="auto"/>
              <w:bottom w:val="single" w:sz="4" w:space="0" w:color="auto"/>
            </w:tcBorders>
          </w:tcPr>
          <w:p w14:paraId="7548A663" w14:textId="77777777" w:rsidR="00B961E6" w:rsidRPr="00E378B5" w:rsidRDefault="00B961E6" w:rsidP="00983CB7">
            <w:pPr>
              <w:spacing w:before="80"/>
              <w:jc w:val="center"/>
              <w:rPr>
                <w:b/>
                <w:lang w:val="en-US"/>
              </w:rPr>
            </w:pPr>
          </w:p>
          <w:p w14:paraId="7F2421B1" w14:textId="77777777" w:rsidR="00B961E6" w:rsidRPr="00E378B5" w:rsidRDefault="00B961E6" w:rsidP="00983CB7">
            <w:pPr>
              <w:spacing w:after="80"/>
              <w:rPr>
                <w:b/>
                <w:lang w:val="en-US"/>
              </w:rPr>
            </w:pPr>
          </w:p>
        </w:tc>
        <w:tc>
          <w:tcPr>
            <w:tcW w:w="1843" w:type="dxa"/>
            <w:tcBorders>
              <w:top w:val="single" w:sz="4" w:space="0" w:color="auto"/>
              <w:bottom w:val="single" w:sz="4" w:space="0" w:color="auto"/>
            </w:tcBorders>
          </w:tcPr>
          <w:p w14:paraId="282D7BB6" w14:textId="77777777" w:rsidR="00B961E6" w:rsidRPr="00E378B5" w:rsidRDefault="00B961E6" w:rsidP="00983CB7">
            <w:pPr>
              <w:spacing w:before="80"/>
              <w:jc w:val="center"/>
              <w:rPr>
                <w:b/>
                <w:lang w:val="en-US"/>
              </w:rPr>
            </w:pPr>
            <w:proofErr w:type="spellStart"/>
            <w:r w:rsidRPr="00E378B5">
              <w:rPr>
                <w:b/>
                <w:lang w:val="en-US"/>
              </w:rPr>
              <w:t>Phenogroup</w:t>
            </w:r>
            <w:proofErr w:type="spellEnd"/>
            <w:r w:rsidRPr="00E378B5">
              <w:rPr>
                <w:b/>
                <w:lang w:val="en-US"/>
              </w:rPr>
              <w:t xml:space="preserve"> 3</w:t>
            </w:r>
          </w:p>
          <w:p w14:paraId="73EFCB0F" w14:textId="77777777" w:rsidR="00B961E6" w:rsidRPr="00E378B5" w:rsidRDefault="00B961E6" w:rsidP="00983CB7">
            <w:pPr>
              <w:spacing w:after="80"/>
              <w:jc w:val="center"/>
              <w:rPr>
                <w:b/>
                <w:lang w:val="en-US"/>
              </w:rPr>
            </w:pPr>
            <w:r w:rsidRPr="00E378B5">
              <w:rPr>
                <w:b/>
                <w:lang w:val="en-US"/>
              </w:rPr>
              <w:t>(N=480)</w:t>
            </w:r>
          </w:p>
        </w:tc>
        <w:tc>
          <w:tcPr>
            <w:tcW w:w="1110" w:type="dxa"/>
            <w:tcBorders>
              <w:top w:val="single" w:sz="4" w:space="0" w:color="auto"/>
              <w:bottom w:val="single" w:sz="4" w:space="0" w:color="auto"/>
            </w:tcBorders>
            <w:vAlign w:val="center"/>
          </w:tcPr>
          <w:p w14:paraId="514DE566" w14:textId="77777777" w:rsidR="00B961E6" w:rsidRPr="00E378B5" w:rsidRDefault="00B961E6" w:rsidP="00983CB7">
            <w:pPr>
              <w:jc w:val="center"/>
              <w:rPr>
                <w:b/>
                <w:lang w:val="en-US"/>
              </w:rPr>
            </w:pPr>
            <w:r w:rsidRPr="00E378B5">
              <w:rPr>
                <w:b/>
                <w:lang w:val="en-US"/>
              </w:rPr>
              <w:t>p-value</w:t>
            </w:r>
          </w:p>
        </w:tc>
        <w:tc>
          <w:tcPr>
            <w:tcW w:w="260" w:type="dxa"/>
            <w:tcBorders>
              <w:top w:val="single" w:sz="4" w:space="0" w:color="auto"/>
              <w:bottom w:val="single" w:sz="4" w:space="0" w:color="auto"/>
            </w:tcBorders>
          </w:tcPr>
          <w:p w14:paraId="34666A13" w14:textId="77777777" w:rsidR="00B961E6" w:rsidRPr="00E378B5" w:rsidRDefault="00B961E6" w:rsidP="00983CB7">
            <w:pPr>
              <w:jc w:val="center"/>
              <w:rPr>
                <w:b/>
                <w:lang w:val="en-US"/>
              </w:rPr>
            </w:pPr>
          </w:p>
        </w:tc>
      </w:tr>
      <w:tr w:rsidR="00E378B5" w:rsidRPr="00E378B5" w14:paraId="51195C14" w14:textId="77777777" w:rsidTr="00983CB7">
        <w:tc>
          <w:tcPr>
            <w:tcW w:w="4516" w:type="dxa"/>
            <w:tcBorders>
              <w:top w:val="single" w:sz="4" w:space="0" w:color="auto"/>
            </w:tcBorders>
          </w:tcPr>
          <w:p w14:paraId="1861EC50" w14:textId="77777777" w:rsidR="00B961E6" w:rsidRPr="00E378B5" w:rsidRDefault="00B961E6" w:rsidP="00983CB7">
            <w:pPr>
              <w:rPr>
                <w:bCs/>
                <w:lang w:val="en-US"/>
              </w:rPr>
            </w:pPr>
          </w:p>
        </w:tc>
        <w:tc>
          <w:tcPr>
            <w:tcW w:w="1815" w:type="dxa"/>
            <w:tcBorders>
              <w:top w:val="single" w:sz="4" w:space="0" w:color="auto"/>
            </w:tcBorders>
          </w:tcPr>
          <w:p w14:paraId="7FB38317" w14:textId="77777777" w:rsidR="00B961E6" w:rsidRPr="00E378B5" w:rsidRDefault="00B961E6" w:rsidP="00983CB7">
            <w:pPr>
              <w:jc w:val="center"/>
              <w:rPr>
                <w:bCs/>
                <w:lang w:val="en-US"/>
              </w:rPr>
            </w:pPr>
          </w:p>
        </w:tc>
        <w:tc>
          <w:tcPr>
            <w:tcW w:w="1040" w:type="dxa"/>
            <w:tcBorders>
              <w:top w:val="single" w:sz="4" w:space="0" w:color="auto"/>
            </w:tcBorders>
          </w:tcPr>
          <w:p w14:paraId="24B8F4E1" w14:textId="77777777" w:rsidR="00B961E6" w:rsidRPr="00E378B5" w:rsidRDefault="00B961E6" w:rsidP="00983CB7">
            <w:pPr>
              <w:jc w:val="center"/>
              <w:rPr>
                <w:bCs/>
                <w:lang w:val="en-US"/>
              </w:rPr>
            </w:pPr>
          </w:p>
        </w:tc>
        <w:tc>
          <w:tcPr>
            <w:tcW w:w="284" w:type="dxa"/>
            <w:tcBorders>
              <w:top w:val="single" w:sz="4" w:space="0" w:color="auto"/>
            </w:tcBorders>
          </w:tcPr>
          <w:p w14:paraId="66972863" w14:textId="77777777" w:rsidR="00B961E6" w:rsidRPr="00E378B5" w:rsidRDefault="00B961E6" w:rsidP="00983CB7">
            <w:pPr>
              <w:jc w:val="center"/>
              <w:rPr>
                <w:bCs/>
                <w:lang w:val="en-US"/>
              </w:rPr>
            </w:pPr>
          </w:p>
        </w:tc>
        <w:tc>
          <w:tcPr>
            <w:tcW w:w="1798" w:type="dxa"/>
            <w:tcBorders>
              <w:top w:val="single" w:sz="4" w:space="0" w:color="auto"/>
            </w:tcBorders>
          </w:tcPr>
          <w:p w14:paraId="4FF55733" w14:textId="77777777" w:rsidR="00B961E6" w:rsidRPr="00E378B5" w:rsidRDefault="00B961E6" w:rsidP="00983CB7">
            <w:pPr>
              <w:jc w:val="center"/>
              <w:rPr>
                <w:bCs/>
                <w:lang w:val="en-US"/>
              </w:rPr>
            </w:pPr>
          </w:p>
        </w:tc>
        <w:tc>
          <w:tcPr>
            <w:tcW w:w="1037" w:type="dxa"/>
            <w:tcBorders>
              <w:top w:val="single" w:sz="4" w:space="0" w:color="auto"/>
            </w:tcBorders>
          </w:tcPr>
          <w:p w14:paraId="121F1553" w14:textId="77777777" w:rsidR="00B961E6" w:rsidRPr="00E378B5" w:rsidRDefault="00B961E6" w:rsidP="00983CB7">
            <w:pPr>
              <w:jc w:val="center"/>
              <w:rPr>
                <w:bCs/>
                <w:lang w:val="en-US"/>
              </w:rPr>
            </w:pPr>
          </w:p>
        </w:tc>
        <w:tc>
          <w:tcPr>
            <w:tcW w:w="283" w:type="dxa"/>
            <w:tcBorders>
              <w:top w:val="single" w:sz="4" w:space="0" w:color="auto"/>
            </w:tcBorders>
          </w:tcPr>
          <w:p w14:paraId="4D81C3CE" w14:textId="77777777" w:rsidR="00B961E6" w:rsidRPr="00E378B5" w:rsidRDefault="00B961E6" w:rsidP="00983CB7">
            <w:pPr>
              <w:jc w:val="center"/>
              <w:rPr>
                <w:bCs/>
                <w:lang w:val="en-US"/>
              </w:rPr>
            </w:pPr>
          </w:p>
        </w:tc>
        <w:tc>
          <w:tcPr>
            <w:tcW w:w="1843" w:type="dxa"/>
            <w:tcBorders>
              <w:top w:val="single" w:sz="4" w:space="0" w:color="auto"/>
            </w:tcBorders>
          </w:tcPr>
          <w:p w14:paraId="06418796" w14:textId="77777777" w:rsidR="00B961E6" w:rsidRPr="00E378B5" w:rsidRDefault="00B961E6" w:rsidP="00983CB7">
            <w:pPr>
              <w:jc w:val="center"/>
              <w:rPr>
                <w:bCs/>
                <w:lang w:val="en-US"/>
              </w:rPr>
            </w:pPr>
          </w:p>
        </w:tc>
        <w:tc>
          <w:tcPr>
            <w:tcW w:w="1110" w:type="dxa"/>
            <w:tcBorders>
              <w:top w:val="single" w:sz="4" w:space="0" w:color="auto"/>
            </w:tcBorders>
          </w:tcPr>
          <w:p w14:paraId="1AFB3F7D" w14:textId="77777777" w:rsidR="00B961E6" w:rsidRPr="00E378B5" w:rsidRDefault="00B961E6" w:rsidP="00983CB7">
            <w:pPr>
              <w:jc w:val="center"/>
              <w:rPr>
                <w:bCs/>
                <w:lang w:val="en-US"/>
              </w:rPr>
            </w:pPr>
          </w:p>
        </w:tc>
        <w:tc>
          <w:tcPr>
            <w:tcW w:w="260" w:type="dxa"/>
            <w:tcBorders>
              <w:top w:val="single" w:sz="4" w:space="0" w:color="auto"/>
            </w:tcBorders>
          </w:tcPr>
          <w:p w14:paraId="33BF6884" w14:textId="77777777" w:rsidR="00B961E6" w:rsidRPr="00E378B5" w:rsidRDefault="00B961E6" w:rsidP="00983CB7">
            <w:pPr>
              <w:jc w:val="center"/>
              <w:rPr>
                <w:bCs/>
                <w:lang w:val="en-US"/>
              </w:rPr>
            </w:pPr>
          </w:p>
        </w:tc>
      </w:tr>
      <w:tr w:rsidR="00E378B5" w:rsidRPr="00E378B5" w14:paraId="622680F1"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nil"/>
              <w:right w:val="nil"/>
            </w:tcBorders>
          </w:tcPr>
          <w:p w14:paraId="54EE5A15" w14:textId="5AA5F408" w:rsidR="00B961E6" w:rsidRPr="00E378B5" w:rsidRDefault="00B961E6" w:rsidP="005B42DE">
            <w:pPr>
              <w:spacing w:after="80"/>
              <w:rPr>
                <w:bCs/>
                <w:lang w:val="en-US"/>
              </w:rPr>
            </w:pPr>
            <w:r w:rsidRPr="00E378B5">
              <w:rPr>
                <w:b/>
                <w:lang w:val="en-US"/>
              </w:rPr>
              <w:t xml:space="preserve"> Unadjusted HR (95% CI)</w:t>
            </w:r>
            <w:r w:rsidRPr="00E378B5">
              <w:rPr>
                <w:b/>
                <w:vertAlign w:val="superscript"/>
                <w:lang w:val="en-US"/>
              </w:rPr>
              <w:t>*</w:t>
            </w:r>
          </w:p>
        </w:tc>
        <w:tc>
          <w:tcPr>
            <w:tcW w:w="1815" w:type="dxa"/>
            <w:tcBorders>
              <w:top w:val="nil"/>
              <w:left w:val="nil"/>
              <w:bottom w:val="nil"/>
              <w:right w:val="nil"/>
            </w:tcBorders>
          </w:tcPr>
          <w:p w14:paraId="5702CA45" w14:textId="77777777" w:rsidR="00B961E6" w:rsidRPr="00E378B5" w:rsidRDefault="00B961E6" w:rsidP="00983CB7">
            <w:pPr>
              <w:jc w:val="center"/>
              <w:rPr>
                <w:bCs/>
                <w:lang w:val="en-US"/>
              </w:rPr>
            </w:pPr>
          </w:p>
        </w:tc>
        <w:tc>
          <w:tcPr>
            <w:tcW w:w="1040" w:type="dxa"/>
            <w:tcBorders>
              <w:top w:val="nil"/>
              <w:left w:val="nil"/>
              <w:bottom w:val="nil"/>
              <w:right w:val="nil"/>
            </w:tcBorders>
          </w:tcPr>
          <w:p w14:paraId="21168F76" w14:textId="77777777" w:rsidR="00B961E6" w:rsidRPr="00E378B5" w:rsidRDefault="00B961E6" w:rsidP="00983CB7">
            <w:pPr>
              <w:jc w:val="center"/>
              <w:rPr>
                <w:bCs/>
                <w:lang w:val="en-US"/>
              </w:rPr>
            </w:pPr>
          </w:p>
        </w:tc>
        <w:tc>
          <w:tcPr>
            <w:tcW w:w="284" w:type="dxa"/>
            <w:tcBorders>
              <w:top w:val="nil"/>
              <w:left w:val="nil"/>
              <w:bottom w:val="nil"/>
              <w:right w:val="nil"/>
            </w:tcBorders>
          </w:tcPr>
          <w:p w14:paraId="798A65E6" w14:textId="77777777" w:rsidR="00B961E6" w:rsidRPr="00E378B5" w:rsidRDefault="00B961E6" w:rsidP="00983CB7">
            <w:pPr>
              <w:jc w:val="center"/>
              <w:rPr>
                <w:bCs/>
                <w:lang w:val="en-US"/>
              </w:rPr>
            </w:pPr>
          </w:p>
        </w:tc>
        <w:tc>
          <w:tcPr>
            <w:tcW w:w="1798" w:type="dxa"/>
            <w:tcBorders>
              <w:top w:val="nil"/>
              <w:left w:val="nil"/>
              <w:bottom w:val="nil"/>
              <w:right w:val="nil"/>
            </w:tcBorders>
          </w:tcPr>
          <w:p w14:paraId="4D74260F" w14:textId="77777777" w:rsidR="00B961E6" w:rsidRPr="00E378B5" w:rsidRDefault="00B961E6" w:rsidP="00983CB7">
            <w:pPr>
              <w:jc w:val="center"/>
              <w:rPr>
                <w:bCs/>
                <w:lang w:val="en-US"/>
              </w:rPr>
            </w:pPr>
          </w:p>
        </w:tc>
        <w:tc>
          <w:tcPr>
            <w:tcW w:w="1037" w:type="dxa"/>
            <w:tcBorders>
              <w:top w:val="nil"/>
              <w:left w:val="nil"/>
              <w:bottom w:val="nil"/>
              <w:right w:val="nil"/>
            </w:tcBorders>
          </w:tcPr>
          <w:p w14:paraId="7BE4F0E0" w14:textId="77777777" w:rsidR="00B961E6" w:rsidRPr="00E378B5" w:rsidRDefault="00B961E6" w:rsidP="00983CB7">
            <w:pPr>
              <w:jc w:val="center"/>
              <w:rPr>
                <w:bCs/>
                <w:lang w:val="en-US"/>
              </w:rPr>
            </w:pPr>
          </w:p>
        </w:tc>
        <w:tc>
          <w:tcPr>
            <w:tcW w:w="283" w:type="dxa"/>
            <w:tcBorders>
              <w:top w:val="nil"/>
              <w:left w:val="nil"/>
              <w:bottom w:val="nil"/>
              <w:right w:val="nil"/>
            </w:tcBorders>
          </w:tcPr>
          <w:p w14:paraId="18F9C301" w14:textId="77777777" w:rsidR="00B961E6" w:rsidRPr="00E378B5" w:rsidRDefault="00B961E6" w:rsidP="00983CB7">
            <w:pPr>
              <w:jc w:val="center"/>
              <w:rPr>
                <w:bCs/>
                <w:lang w:val="en-US"/>
              </w:rPr>
            </w:pPr>
          </w:p>
        </w:tc>
        <w:tc>
          <w:tcPr>
            <w:tcW w:w="1843" w:type="dxa"/>
            <w:tcBorders>
              <w:top w:val="nil"/>
              <w:left w:val="nil"/>
              <w:bottom w:val="nil"/>
              <w:right w:val="nil"/>
            </w:tcBorders>
          </w:tcPr>
          <w:p w14:paraId="40BABA21" w14:textId="77777777" w:rsidR="00B961E6" w:rsidRPr="00E378B5" w:rsidRDefault="00B961E6" w:rsidP="00983CB7">
            <w:pPr>
              <w:jc w:val="center"/>
              <w:rPr>
                <w:bCs/>
                <w:lang w:val="en-US"/>
              </w:rPr>
            </w:pPr>
          </w:p>
        </w:tc>
        <w:tc>
          <w:tcPr>
            <w:tcW w:w="1110" w:type="dxa"/>
            <w:tcBorders>
              <w:top w:val="nil"/>
              <w:left w:val="nil"/>
              <w:bottom w:val="nil"/>
              <w:right w:val="nil"/>
            </w:tcBorders>
          </w:tcPr>
          <w:p w14:paraId="568369BD" w14:textId="77777777" w:rsidR="00B961E6" w:rsidRPr="00E378B5" w:rsidRDefault="00B961E6" w:rsidP="00983CB7">
            <w:pPr>
              <w:jc w:val="center"/>
              <w:rPr>
                <w:b/>
                <w:lang w:val="en-US"/>
              </w:rPr>
            </w:pPr>
          </w:p>
        </w:tc>
        <w:tc>
          <w:tcPr>
            <w:tcW w:w="260" w:type="dxa"/>
            <w:tcBorders>
              <w:top w:val="nil"/>
              <w:left w:val="nil"/>
              <w:bottom w:val="nil"/>
              <w:right w:val="nil"/>
            </w:tcBorders>
          </w:tcPr>
          <w:p w14:paraId="0A7C6B21" w14:textId="77777777" w:rsidR="00B961E6" w:rsidRPr="00E378B5" w:rsidRDefault="00B961E6" w:rsidP="00983CB7">
            <w:pPr>
              <w:jc w:val="center"/>
              <w:rPr>
                <w:b/>
                <w:lang w:val="en-US"/>
              </w:rPr>
            </w:pPr>
          </w:p>
        </w:tc>
      </w:tr>
      <w:tr w:rsidR="00E378B5" w:rsidRPr="00E378B5" w14:paraId="09F33E87"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nil"/>
              <w:right w:val="nil"/>
            </w:tcBorders>
          </w:tcPr>
          <w:p w14:paraId="6FAE3F5A" w14:textId="77777777" w:rsidR="005476F1" w:rsidRPr="00E378B5" w:rsidRDefault="005476F1" w:rsidP="005476F1">
            <w:pPr>
              <w:rPr>
                <w:lang w:val="en-US"/>
              </w:rPr>
            </w:pPr>
            <w:r w:rsidRPr="00E378B5">
              <w:rPr>
                <w:bCs/>
                <w:lang w:val="en-US"/>
              </w:rPr>
              <w:t xml:space="preserve">   N</w:t>
            </w:r>
            <w:r w:rsidRPr="00E378B5">
              <w:rPr>
                <w:lang w:val="en-US"/>
              </w:rPr>
              <w:t xml:space="preserve">umber of proximal segments with </w:t>
            </w:r>
          </w:p>
          <w:p w14:paraId="7A2D80FA" w14:textId="3630AF44" w:rsidR="005476F1" w:rsidRPr="00E378B5" w:rsidRDefault="005476F1" w:rsidP="005476F1">
            <w:pPr>
              <w:rPr>
                <w:bCs/>
                <w:lang w:val="en-US"/>
              </w:rPr>
            </w:pPr>
            <w:r w:rsidRPr="00E378B5">
              <w:rPr>
                <w:lang w:val="en-US"/>
              </w:rPr>
              <w:t xml:space="preserve">   noncalcified plaques</w:t>
            </w:r>
          </w:p>
        </w:tc>
        <w:tc>
          <w:tcPr>
            <w:tcW w:w="1815" w:type="dxa"/>
            <w:tcBorders>
              <w:top w:val="nil"/>
              <w:left w:val="nil"/>
              <w:bottom w:val="nil"/>
              <w:right w:val="nil"/>
            </w:tcBorders>
          </w:tcPr>
          <w:p w14:paraId="3EB9F872" w14:textId="2BBD9229" w:rsidR="005476F1" w:rsidRPr="00E378B5" w:rsidRDefault="005476F1" w:rsidP="005476F1">
            <w:pPr>
              <w:jc w:val="center"/>
              <w:rPr>
                <w:bCs/>
                <w:lang w:val="en-US"/>
              </w:rPr>
            </w:pPr>
            <w:r w:rsidRPr="00E378B5">
              <w:rPr>
                <w:bCs/>
                <w:lang w:val="en-US"/>
              </w:rPr>
              <w:t>1.57 (1.31-1.89)</w:t>
            </w:r>
          </w:p>
        </w:tc>
        <w:tc>
          <w:tcPr>
            <w:tcW w:w="1040" w:type="dxa"/>
            <w:tcBorders>
              <w:top w:val="nil"/>
              <w:left w:val="nil"/>
              <w:bottom w:val="nil"/>
              <w:right w:val="nil"/>
            </w:tcBorders>
          </w:tcPr>
          <w:p w14:paraId="7F7D108A" w14:textId="6C273F38" w:rsidR="005476F1" w:rsidRPr="00E378B5" w:rsidRDefault="005476F1" w:rsidP="005476F1">
            <w:pPr>
              <w:jc w:val="center"/>
              <w:rPr>
                <w:b/>
                <w:lang w:val="en-US"/>
              </w:rPr>
            </w:pPr>
            <w:r w:rsidRPr="00E378B5">
              <w:rPr>
                <w:b/>
                <w:lang w:val="en-US"/>
              </w:rPr>
              <w:t>&lt;0.001</w:t>
            </w:r>
          </w:p>
        </w:tc>
        <w:tc>
          <w:tcPr>
            <w:tcW w:w="284" w:type="dxa"/>
            <w:tcBorders>
              <w:top w:val="nil"/>
              <w:left w:val="nil"/>
              <w:bottom w:val="nil"/>
              <w:right w:val="nil"/>
            </w:tcBorders>
          </w:tcPr>
          <w:p w14:paraId="7BF08A3F" w14:textId="77777777" w:rsidR="005476F1" w:rsidRPr="00E378B5" w:rsidRDefault="005476F1" w:rsidP="005476F1">
            <w:pPr>
              <w:jc w:val="center"/>
              <w:rPr>
                <w:bCs/>
                <w:lang w:val="en-US"/>
              </w:rPr>
            </w:pPr>
          </w:p>
        </w:tc>
        <w:tc>
          <w:tcPr>
            <w:tcW w:w="1798" w:type="dxa"/>
            <w:tcBorders>
              <w:top w:val="nil"/>
              <w:left w:val="nil"/>
              <w:bottom w:val="nil"/>
              <w:right w:val="nil"/>
            </w:tcBorders>
          </w:tcPr>
          <w:p w14:paraId="55F48680" w14:textId="41AC63A4" w:rsidR="005476F1" w:rsidRPr="00E378B5" w:rsidRDefault="005476F1" w:rsidP="005476F1">
            <w:pPr>
              <w:jc w:val="center"/>
              <w:rPr>
                <w:bCs/>
                <w:lang w:val="en-US"/>
              </w:rPr>
            </w:pPr>
            <w:r w:rsidRPr="00E378B5">
              <w:rPr>
                <w:bCs/>
                <w:lang w:val="en-US"/>
              </w:rPr>
              <w:t>1.</w:t>
            </w:r>
            <w:r w:rsidR="002B0C58" w:rsidRPr="00E378B5">
              <w:rPr>
                <w:bCs/>
                <w:lang w:val="en-US"/>
              </w:rPr>
              <w:t>73</w:t>
            </w:r>
            <w:r w:rsidRPr="00E378B5">
              <w:rPr>
                <w:bCs/>
                <w:lang w:val="en-US"/>
              </w:rPr>
              <w:t xml:space="preserve"> (</w:t>
            </w:r>
            <w:r w:rsidR="002B0C58" w:rsidRPr="00E378B5">
              <w:rPr>
                <w:bCs/>
                <w:lang w:val="en-US"/>
              </w:rPr>
              <w:t>1.22</w:t>
            </w:r>
            <w:r w:rsidRPr="00E378B5">
              <w:rPr>
                <w:bCs/>
                <w:lang w:val="en-US"/>
              </w:rPr>
              <w:t>-2.</w:t>
            </w:r>
            <w:r w:rsidR="002B0C58" w:rsidRPr="00E378B5">
              <w:rPr>
                <w:bCs/>
                <w:lang w:val="en-US"/>
              </w:rPr>
              <w:t>45</w:t>
            </w:r>
            <w:r w:rsidRPr="00E378B5">
              <w:rPr>
                <w:bCs/>
                <w:lang w:val="en-US"/>
              </w:rPr>
              <w:t>)</w:t>
            </w:r>
          </w:p>
        </w:tc>
        <w:tc>
          <w:tcPr>
            <w:tcW w:w="1037" w:type="dxa"/>
            <w:tcBorders>
              <w:top w:val="nil"/>
              <w:left w:val="nil"/>
              <w:bottom w:val="nil"/>
              <w:right w:val="nil"/>
            </w:tcBorders>
          </w:tcPr>
          <w:p w14:paraId="20D8C0D5" w14:textId="06881D32" w:rsidR="005476F1" w:rsidRPr="00E378B5" w:rsidRDefault="005476F1" w:rsidP="005476F1">
            <w:pPr>
              <w:jc w:val="center"/>
              <w:rPr>
                <w:b/>
                <w:lang w:val="en-US"/>
              </w:rPr>
            </w:pPr>
            <w:r w:rsidRPr="00E378B5">
              <w:rPr>
                <w:b/>
                <w:lang w:val="en-US"/>
              </w:rPr>
              <w:t>&lt;0.001</w:t>
            </w:r>
          </w:p>
        </w:tc>
        <w:tc>
          <w:tcPr>
            <w:tcW w:w="283" w:type="dxa"/>
            <w:tcBorders>
              <w:top w:val="nil"/>
              <w:left w:val="nil"/>
              <w:bottom w:val="nil"/>
              <w:right w:val="nil"/>
            </w:tcBorders>
          </w:tcPr>
          <w:p w14:paraId="366A672C" w14:textId="77777777" w:rsidR="005476F1" w:rsidRPr="00E378B5" w:rsidRDefault="005476F1" w:rsidP="005476F1">
            <w:pPr>
              <w:jc w:val="center"/>
              <w:rPr>
                <w:bCs/>
                <w:lang w:val="en-US"/>
              </w:rPr>
            </w:pPr>
          </w:p>
        </w:tc>
        <w:tc>
          <w:tcPr>
            <w:tcW w:w="1843" w:type="dxa"/>
            <w:tcBorders>
              <w:top w:val="nil"/>
              <w:left w:val="nil"/>
              <w:bottom w:val="nil"/>
              <w:right w:val="nil"/>
            </w:tcBorders>
          </w:tcPr>
          <w:p w14:paraId="2B04DAE0" w14:textId="5D9522E0" w:rsidR="005476F1" w:rsidRPr="00E378B5" w:rsidRDefault="00BE2EFD" w:rsidP="005476F1">
            <w:pPr>
              <w:jc w:val="center"/>
              <w:rPr>
                <w:bCs/>
                <w:lang w:val="en-US"/>
              </w:rPr>
            </w:pPr>
            <w:r w:rsidRPr="00E378B5">
              <w:rPr>
                <w:bCs/>
                <w:lang w:val="en-US"/>
              </w:rPr>
              <w:t>2</w:t>
            </w:r>
            <w:r w:rsidR="005476F1" w:rsidRPr="00E378B5">
              <w:rPr>
                <w:bCs/>
                <w:lang w:val="en-US"/>
              </w:rPr>
              <w:t>.</w:t>
            </w:r>
            <w:r w:rsidRPr="00E378B5">
              <w:rPr>
                <w:bCs/>
                <w:lang w:val="en-US"/>
              </w:rPr>
              <w:t>06</w:t>
            </w:r>
            <w:r w:rsidR="005476F1" w:rsidRPr="00E378B5">
              <w:rPr>
                <w:bCs/>
                <w:lang w:val="en-US"/>
              </w:rPr>
              <w:t xml:space="preserve"> (1.</w:t>
            </w:r>
            <w:r w:rsidRPr="00E378B5">
              <w:rPr>
                <w:bCs/>
                <w:lang w:val="en-US"/>
              </w:rPr>
              <w:t>63</w:t>
            </w:r>
            <w:r w:rsidR="005476F1" w:rsidRPr="00E378B5">
              <w:rPr>
                <w:bCs/>
                <w:lang w:val="en-US"/>
              </w:rPr>
              <w:t>-</w:t>
            </w:r>
            <w:r w:rsidRPr="00E378B5">
              <w:rPr>
                <w:bCs/>
                <w:lang w:val="en-US"/>
              </w:rPr>
              <w:t>2</w:t>
            </w:r>
            <w:r w:rsidR="005476F1" w:rsidRPr="00E378B5">
              <w:rPr>
                <w:bCs/>
                <w:lang w:val="en-US"/>
              </w:rPr>
              <w:t>.</w:t>
            </w:r>
            <w:r w:rsidRPr="00E378B5">
              <w:rPr>
                <w:bCs/>
                <w:lang w:val="en-US"/>
              </w:rPr>
              <w:t>53</w:t>
            </w:r>
            <w:r w:rsidR="005476F1" w:rsidRPr="00E378B5">
              <w:rPr>
                <w:bCs/>
                <w:lang w:val="en-US"/>
              </w:rPr>
              <w:t>)</w:t>
            </w:r>
          </w:p>
        </w:tc>
        <w:tc>
          <w:tcPr>
            <w:tcW w:w="1110" w:type="dxa"/>
            <w:tcBorders>
              <w:top w:val="nil"/>
              <w:left w:val="nil"/>
              <w:bottom w:val="nil"/>
              <w:right w:val="nil"/>
            </w:tcBorders>
          </w:tcPr>
          <w:p w14:paraId="744D9FAF" w14:textId="491FB707" w:rsidR="005476F1" w:rsidRPr="00E378B5" w:rsidRDefault="005476F1" w:rsidP="005476F1">
            <w:pPr>
              <w:jc w:val="center"/>
              <w:rPr>
                <w:b/>
                <w:lang w:val="en-US"/>
              </w:rPr>
            </w:pPr>
            <w:r w:rsidRPr="00E378B5">
              <w:rPr>
                <w:b/>
                <w:lang w:val="en-US"/>
              </w:rPr>
              <w:t>&lt;0.001</w:t>
            </w:r>
          </w:p>
        </w:tc>
        <w:tc>
          <w:tcPr>
            <w:tcW w:w="260" w:type="dxa"/>
            <w:tcBorders>
              <w:top w:val="nil"/>
              <w:left w:val="nil"/>
              <w:bottom w:val="nil"/>
              <w:right w:val="nil"/>
            </w:tcBorders>
          </w:tcPr>
          <w:p w14:paraId="60F3F462" w14:textId="77777777" w:rsidR="005476F1" w:rsidRPr="00E378B5" w:rsidRDefault="005476F1" w:rsidP="005476F1">
            <w:pPr>
              <w:jc w:val="center"/>
              <w:rPr>
                <w:b/>
                <w:lang w:val="en-US"/>
              </w:rPr>
            </w:pPr>
          </w:p>
        </w:tc>
      </w:tr>
      <w:tr w:rsidR="00B961E6" w:rsidRPr="00E378B5" w14:paraId="29FED2E9" w14:textId="77777777" w:rsidTr="00983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6" w:type="dxa"/>
            <w:tcBorders>
              <w:top w:val="nil"/>
              <w:left w:val="nil"/>
              <w:bottom w:val="single" w:sz="4" w:space="0" w:color="auto"/>
              <w:right w:val="nil"/>
            </w:tcBorders>
          </w:tcPr>
          <w:p w14:paraId="53B27C3C" w14:textId="77777777" w:rsidR="00B961E6" w:rsidRPr="00E378B5" w:rsidRDefault="00B961E6" w:rsidP="00983CB7">
            <w:pPr>
              <w:rPr>
                <w:bCs/>
                <w:sz w:val="10"/>
                <w:szCs w:val="10"/>
                <w:lang w:val="en-US"/>
              </w:rPr>
            </w:pPr>
          </w:p>
        </w:tc>
        <w:tc>
          <w:tcPr>
            <w:tcW w:w="1815" w:type="dxa"/>
            <w:tcBorders>
              <w:top w:val="nil"/>
              <w:left w:val="nil"/>
              <w:bottom w:val="single" w:sz="4" w:space="0" w:color="auto"/>
              <w:right w:val="nil"/>
            </w:tcBorders>
          </w:tcPr>
          <w:p w14:paraId="0154F6AC" w14:textId="77777777" w:rsidR="00B961E6" w:rsidRPr="00E378B5" w:rsidRDefault="00B961E6" w:rsidP="00983CB7">
            <w:pPr>
              <w:jc w:val="center"/>
              <w:rPr>
                <w:bCs/>
                <w:sz w:val="10"/>
                <w:szCs w:val="10"/>
                <w:lang w:val="en-US"/>
              </w:rPr>
            </w:pPr>
          </w:p>
        </w:tc>
        <w:tc>
          <w:tcPr>
            <w:tcW w:w="1040" w:type="dxa"/>
            <w:tcBorders>
              <w:top w:val="nil"/>
              <w:left w:val="nil"/>
              <w:bottom w:val="single" w:sz="4" w:space="0" w:color="auto"/>
              <w:right w:val="nil"/>
            </w:tcBorders>
          </w:tcPr>
          <w:p w14:paraId="3387D50A" w14:textId="77777777" w:rsidR="00B961E6" w:rsidRPr="00E378B5" w:rsidRDefault="00B961E6" w:rsidP="00983CB7">
            <w:pPr>
              <w:jc w:val="center"/>
              <w:rPr>
                <w:bCs/>
                <w:sz w:val="10"/>
                <w:szCs w:val="10"/>
                <w:lang w:val="en-US"/>
              </w:rPr>
            </w:pPr>
          </w:p>
        </w:tc>
        <w:tc>
          <w:tcPr>
            <w:tcW w:w="284" w:type="dxa"/>
            <w:tcBorders>
              <w:top w:val="nil"/>
              <w:left w:val="nil"/>
              <w:bottom w:val="single" w:sz="4" w:space="0" w:color="auto"/>
              <w:right w:val="nil"/>
            </w:tcBorders>
          </w:tcPr>
          <w:p w14:paraId="7D04AF15" w14:textId="77777777" w:rsidR="00B961E6" w:rsidRPr="00E378B5" w:rsidRDefault="00B961E6" w:rsidP="00983CB7">
            <w:pPr>
              <w:jc w:val="center"/>
              <w:rPr>
                <w:bCs/>
                <w:sz w:val="10"/>
                <w:szCs w:val="10"/>
                <w:lang w:val="en-US"/>
              </w:rPr>
            </w:pPr>
          </w:p>
        </w:tc>
        <w:tc>
          <w:tcPr>
            <w:tcW w:w="1798" w:type="dxa"/>
            <w:tcBorders>
              <w:top w:val="nil"/>
              <w:left w:val="nil"/>
              <w:bottom w:val="single" w:sz="4" w:space="0" w:color="auto"/>
              <w:right w:val="nil"/>
            </w:tcBorders>
          </w:tcPr>
          <w:p w14:paraId="37BDA4CA" w14:textId="77777777" w:rsidR="00B961E6" w:rsidRPr="00E378B5" w:rsidRDefault="00B961E6" w:rsidP="00983CB7">
            <w:pPr>
              <w:jc w:val="center"/>
              <w:rPr>
                <w:bCs/>
                <w:sz w:val="10"/>
                <w:szCs w:val="10"/>
                <w:lang w:val="en-US"/>
              </w:rPr>
            </w:pPr>
          </w:p>
        </w:tc>
        <w:tc>
          <w:tcPr>
            <w:tcW w:w="1037" w:type="dxa"/>
            <w:tcBorders>
              <w:top w:val="nil"/>
              <w:left w:val="nil"/>
              <w:bottom w:val="single" w:sz="4" w:space="0" w:color="auto"/>
              <w:right w:val="nil"/>
            </w:tcBorders>
          </w:tcPr>
          <w:p w14:paraId="0167A7B0" w14:textId="77777777" w:rsidR="00B961E6" w:rsidRPr="00E378B5" w:rsidRDefault="00B961E6" w:rsidP="00983CB7">
            <w:pPr>
              <w:jc w:val="center"/>
              <w:rPr>
                <w:bCs/>
                <w:sz w:val="10"/>
                <w:szCs w:val="10"/>
                <w:lang w:val="en-US"/>
              </w:rPr>
            </w:pPr>
          </w:p>
        </w:tc>
        <w:tc>
          <w:tcPr>
            <w:tcW w:w="283" w:type="dxa"/>
            <w:tcBorders>
              <w:top w:val="nil"/>
              <w:left w:val="nil"/>
              <w:bottom w:val="single" w:sz="4" w:space="0" w:color="auto"/>
              <w:right w:val="nil"/>
            </w:tcBorders>
          </w:tcPr>
          <w:p w14:paraId="0098B74D" w14:textId="77777777" w:rsidR="00B961E6" w:rsidRPr="00E378B5" w:rsidRDefault="00B961E6" w:rsidP="00983CB7">
            <w:pPr>
              <w:jc w:val="center"/>
              <w:rPr>
                <w:bCs/>
                <w:sz w:val="10"/>
                <w:szCs w:val="10"/>
                <w:lang w:val="en-US"/>
              </w:rPr>
            </w:pPr>
          </w:p>
        </w:tc>
        <w:tc>
          <w:tcPr>
            <w:tcW w:w="1843" w:type="dxa"/>
            <w:tcBorders>
              <w:top w:val="nil"/>
              <w:left w:val="nil"/>
              <w:bottom w:val="single" w:sz="4" w:space="0" w:color="auto"/>
              <w:right w:val="nil"/>
            </w:tcBorders>
          </w:tcPr>
          <w:p w14:paraId="7DBCA677" w14:textId="77777777" w:rsidR="00B961E6" w:rsidRPr="00E378B5" w:rsidRDefault="00B961E6" w:rsidP="00983CB7">
            <w:pPr>
              <w:jc w:val="center"/>
              <w:rPr>
                <w:bCs/>
                <w:sz w:val="10"/>
                <w:szCs w:val="10"/>
                <w:lang w:val="en-US"/>
              </w:rPr>
            </w:pPr>
          </w:p>
        </w:tc>
        <w:tc>
          <w:tcPr>
            <w:tcW w:w="1110" w:type="dxa"/>
            <w:tcBorders>
              <w:top w:val="nil"/>
              <w:left w:val="nil"/>
              <w:bottom w:val="single" w:sz="4" w:space="0" w:color="auto"/>
              <w:right w:val="nil"/>
            </w:tcBorders>
          </w:tcPr>
          <w:p w14:paraId="494B0FFC" w14:textId="77777777" w:rsidR="00B961E6" w:rsidRPr="00E378B5" w:rsidRDefault="00B961E6" w:rsidP="00983CB7">
            <w:pPr>
              <w:jc w:val="center"/>
              <w:rPr>
                <w:bCs/>
                <w:sz w:val="10"/>
                <w:szCs w:val="10"/>
                <w:lang w:val="en-US"/>
              </w:rPr>
            </w:pPr>
          </w:p>
        </w:tc>
        <w:tc>
          <w:tcPr>
            <w:tcW w:w="260" w:type="dxa"/>
            <w:tcBorders>
              <w:top w:val="nil"/>
              <w:left w:val="nil"/>
              <w:bottom w:val="single" w:sz="4" w:space="0" w:color="auto"/>
              <w:right w:val="nil"/>
            </w:tcBorders>
          </w:tcPr>
          <w:p w14:paraId="5FB125AA" w14:textId="77777777" w:rsidR="00B961E6" w:rsidRPr="00E378B5" w:rsidRDefault="00B961E6" w:rsidP="00983CB7">
            <w:pPr>
              <w:jc w:val="center"/>
              <w:rPr>
                <w:bCs/>
                <w:sz w:val="10"/>
                <w:szCs w:val="10"/>
                <w:lang w:val="en-US"/>
              </w:rPr>
            </w:pPr>
          </w:p>
        </w:tc>
      </w:tr>
    </w:tbl>
    <w:p w14:paraId="2FEDFA8E" w14:textId="77777777" w:rsidR="00B961E6" w:rsidRPr="00E378B5" w:rsidRDefault="00B961E6" w:rsidP="00B961E6">
      <w:pPr>
        <w:spacing w:line="276" w:lineRule="auto"/>
        <w:rPr>
          <w:i/>
          <w:iCs/>
          <w:u w:val="single"/>
          <w:lang w:val="en-US"/>
        </w:rPr>
      </w:pPr>
    </w:p>
    <w:p w14:paraId="57B1DF1E" w14:textId="67F7894C" w:rsidR="00B961E6" w:rsidRPr="00E378B5" w:rsidRDefault="00B961E6" w:rsidP="00B961E6">
      <w:pPr>
        <w:spacing w:line="276" w:lineRule="auto"/>
        <w:rPr>
          <w:lang w:val="en-US"/>
        </w:rPr>
      </w:pPr>
      <w:r w:rsidRPr="00E378B5">
        <w:rPr>
          <w:vertAlign w:val="superscript"/>
          <w:lang w:val="en-US"/>
        </w:rPr>
        <w:t>*</w:t>
      </w:r>
      <w:r w:rsidRPr="00E378B5">
        <w:rPr>
          <w:lang w:val="en-US"/>
        </w:rPr>
        <w:t xml:space="preserve">Unadjusted OR measures the association between the </w:t>
      </w:r>
      <w:r w:rsidR="00453D2C" w:rsidRPr="00E378B5">
        <w:rPr>
          <w:lang w:val="en-US"/>
        </w:rPr>
        <w:t>number of proximal segments with</w:t>
      </w:r>
      <w:r w:rsidRPr="00E378B5">
        <w:rPr>
          <w:lang w:val="en-US"/>
        </w:rPr>
        <w:t xml:space="preserve"> </w:t>
      </w:r>
      <w:r w:rsidR="00453D2C" w:rsidRPr="00E378B5">
        <w:rPr>
          <w:lang w:val="en-US"/>
        </w:rPr>
        <w:t xml:space="preserve">noncalcified plaques </w:t>
      </w:r>
      <w:r w:rsidRPr="00E378B5">
        <w:rPr>
          <w:lang w:val="en-US"/>
        </w:rPr>
        <w:t xml:space="preserve">by CCTA and the </w:t>
      </w:r>
      <w:r w:rsidR="00453D2C" w:rsidRPr="00E378B5">
        <w:rPr>
          <w:lang w:val="en-US"/>
        </w:rPr>
        <w:t>occurrence of MACE</w:t>
      </w:r>
      <w:r w:rsidRPr="00E378B5">
        <w:rPr>
          <w:lang w:val="en-US"/>
        </w:rPr>
        <w:t>.</w:t>
      </w:r>
    </w:p>
    <w:p w14:paraId="5DC97151" w14:textId="77777777" w:rsidR="00B961E6" w:rsidRPr="00E378B5" w:rsidRDefault="00B961E6" w:rsidP="00B961E6">
      <w:pPr>
        <w:spacing w:line="276" w:lineRule="auto"/>
        <w:rPr>
          <w:lang w:val="en-US"/>
        </w:rPr>
      </w:pPr>
    </w:p>
    <w:p w14:paraId="58863CD9" w14:textId="1069B79A" w:rsidR="00402C75" w:rsidRPr="00E378B5" w:rsidRDefault="00B961E6" w:rsidP="00402C75">
      <w:pPr>
        <w:spacing w:line="360" w:lineRule="auto"/>
        <w:ind w:right="866"/>
        <w:rPr>
          <w:lang w:val="en-US"/>
        </w:rPr>
      </w:pPr>
      <w:r w:rsidRPr="00E378B5">
        <w:rPr>
          <w:i/>
          <w:iCs/>
          <w:u w:val="single"/>
          <w:lang w:val="en-US"/>
        </w:rPr>
        <w:t>Abbreviations</w:t>
      </w:r>
      <w:r w:rsidRPr="00E378B5">
        <w:rPr>
          <w:i/>
          <w:iCs/>
          <w:lang w:val="en-US"/>
        </w:rPr>
        <w:t xml:space="preserve">: </w:t>
      </w:r>
      <w:r w:rsidR="00402C75" w:rsidRPr="00E378B5">
        <w:rPr>
          <w:i/>
          <w:iCs/>
          <w:lang w:val="en-US"/>
        </w:rPr>
        <w:t>CI: confidence interval; CV: cardiovascular; HR: hazard ratio; MACE: major adverse cardiac events.</w:t>
      </w:r>
    </w:p>
    <w:p w14:paraId="53E23DC7" w14:textId="6A3681FC" w:rsidR="00B961E6" w:rsidRPr="00E378B5" w:rsidRDefault="00B961E6" w:rsidP="00B961E6">
      <w:pPr>
        <w:ind w:right="866"/>
        <w:rPr>
          <w:b/>
          <w:sz w:val="28"/>
          <w:szCs w:val="28"/>
          <w:lang w:val="en-US"/>
        </w:rPr>
      </w:pPr>
    </w:p>
    <w:p w14:paraId="48257E48" w14:textId="6598869F" w:rsidR="002B0C58" w:rsidRPr="00E378B5" w:rsidRDefault="002B0C58" w:rsidP="00B961E6">
      <w:pPr>
        <w:ind w:right="866"/>
        <w:rPr>
          <w:b/>
          <w:sz w:val="28"/>
          <w:szCs w:val="28"/>
          <w:lang w:val="en-US"/>
        </w:rPr>
      </w:pPr>
    </w:p>
    <w:p w14:paraId="27717767" w14:textId="46FE64A3" w:rsidR="0031753B" w:rsidRPr="00E378B5" w:rsidRDefault="0031753B" w:rsidP="00B961E6">
      <w:pPr>
        <w:ind w:right="866"/>
        <w:rPr>
          <w:b/>
          <w:sz w:val="28"/>
          <w:szCs w:val="28"/>
          <w:lang w:val="en-US"/>
        </w:rPr>
      </w:pPr>
    </w:p>
    <w:p w14:paraId="2867A03A" w14:textId="77777777" w:rsidR="0031753B" w:rsidRPr="00E378B5" w:rsidRDefault="0031753B" w:rsidP="00C85EFD">
      <w:pPr>
        <w:spacing w:line="360" w:lineRule="auto"/>
        <w:ind w:right="866"/>
        <w:rPr>
          <w:b/>
          <w:sz w:val="28"/>
          <w:szCs w:val="28"/>
          <w:lang w:val="en-US"/>
        </w:rPr>
      </w:pPr>
    </w:p>
    <w:sectPr w:rsidR="0031753B" w:rsidRPr="00E378B5" w:rsidSect="00B7325C">
      <w:pgSz w:w="1682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7582" w14:textId="77777777" w:rsidR="002B35C5" w:rsidRDefault="002B35C5" w:rsidP="002B4B81">
      <w:r>
        <w:separator/>
      </w:r>
    </w:p>
  </w:endnote>
  <w:endnote w:type="continuationSeparator" w:id="0">
    <w:p w14:paraId="15406446" w14:textId="77777777" w:rsidR="002B35C5" w:rsidRDefault="002B35C5" w:rsidP="002B4B81">
      <w:r>
        <w:continuationSeparator/>
      </w:r>
    </w:p>
  </w:endnote>
  <w:endnote w:type="continuationNotice" w:id="1">
    <w:p w14:paraId="39F34062" w14:textId="77777777" w:rsidR="002B35C5" w:rsidRDefault="002B3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1904375"/>
      <w:docPartObj>
        <w:docPartGallery w:val="Page Numbers (Bottom of Page)"/>
        <w:docPartUnique/>
      </w:docPartObj>
    </w:sdtPr>
    <w:sdtEndPr>
      <w:rPr>
        <w:rStyle w:val="PageNumber"/>
      </w:rPr>
    </w:sdtEndPr>
    <w:sdtContent>
      <w:p w14:paraId="4240B135" w14:textId="77777777" w:rsidR="00361C24" w:rsidRDefault="00361C24" w:rsidP="008741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B1FBC" w14:textId="77777777" w:rsidR="00361C24" w:rsidRDefault="00361C24" w:rsidP="0048256A">
    <w:pPr>
      <w:pStyle w:val="Footer"/>
      <w:ind w:right="360"/>
    </w:pPr>
  </w:p>
  <w:p w14:paraId="56B92951" w14:textId="77777777" w:rsidR="00361C24" w:rsidRDefault="00361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644465"/>
      <w:docPartObj>
        <w:docPartGallery w:val="Page Numbers (Bottom of Page)"/>
        <w:docPartUnique/>
      </w:docPartObj>
    </w:sdtPr>
    <w:sdtEndPr>
      <w:rPr>
        <w:rStyle w:val="PageNumber"/>
      </w:rPr>
    </w:sdtEndPr>
    <w:sdtContent>
      <w:p w14:paraId="1A9A6091" w14:textId="77777777" w:rsidR="00361C24" w:rsidRDefault="00361C24" w:rsidP="008741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2F7768C1" w14:textId="77777777" w:rsidR="00361C24" w:rsidRDefault="00361C24" w:rsidP="0048256A">
    <w:pPr>
      <w:pStyle w:val="Footer"/>
      <w:ind w:right="360"/>
    </w:pPr>
  </w:p>
  <w:p w14:paraId="3D76BC9B" w14:textId="77777777" w:rsidR="00361C24" w:rsidRDefault="00361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80F2" w14:textId="77777777" w:rsidR="002B35C5" w:rsidRDefault="002B35C5" w:rsidP="002B4B81">
      <w:r>
        <w:separator/>
      </w:r>
    </w:p>
  </w:footnote>
  <w:footnote w:type="continuationSeparator" w:id="0">
    <w:p w14:paraId="05F2FEA8" w14:textId="77777777" w:rsidR="002B35C5" w:rsidRDefault="002B35C5" w:rsidP="002B4B81">
      <w:r>
        <w:continuationSeparator/>
      </w:r>
    </w:p>
  </w:footnote>
  <w:footnote w:type="continuationNotice" w:id="1">
    <w:p w14:paraId="2CBC8084" w14:textId="77777777" w:rsidR="002B35C5" w:rsidRDefault="002B3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99"/>
    <w:multiLevelType w:val="hybridMultilevel"/>
    <w:tmpl w:val="B8F4FC82"/>
    <w:lvl w:ilvl="0" w:tplc="28524198">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C0268"/>
    <w:multiLevelType w:val="hybridMultilevel"/>
    <w:tmpl w:val="E8DE0E32"/>
    <w:lvl w:ilvl="0" w:tplc="D77C6A48">
      <w:start w:val="2"/>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E74AD"/>
    <w:multiLevelType w:val="hybridMultilevel"/>
    <w:tmpl w:val="453202FE"/>
    <w:lvl w:ilvl="0" w:tplc="B35449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34BBE"/>
    <w:multiLevelType w:val="hybridMultilevel"/>
    <w:tmpl w:val="62D60F0E"/>
    <w:lvl w:ilvl="0" w:tplc="61CC5C54">
      <w:start w:val="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C49B6"/>
    <w:multiLevelType w:val="hybridMultilevel"/>
    <w:tmpl w:val="7B2238D6"/>
    <w:lvl w:ilvl="0" w:tplc="6F58EDD4">
      <w:start w:val="2"/>
      <w:numFmt w:val="bullet"/>
      <w:lvlText w:val="-"/>
      <w:lvlJc w:val="left"/>
      <w:pPr>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44655"/>
    <w:multiLevelType w:val="hybridMultilevel"/>
    <w:tmpl w:val="B83089D4"/>
    <w:lvl w:ilvl="0" w:tplc="93CC8FBC">
      <w:start w:val="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D7964"/>
    <w:multiLevelType w:val="hybridMultilevel"/>
    <w:tmpl w:val="896434C2"/>
    <w:lvl w:ilvl="0" w:tplc="347CF30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354EE"/>
    <w:multiLevelType w:val="hybridMultilevel"/>
    <w:tmpl w:val="DB18A2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10541F"/>
    <w:multiLevelType w:val="hybridMultilevel"/>
    <w:tmpl w:val="A718BF46"/>
    <w:lvl w:ilvl="0" w:tplc="3496C986">
      <w:start w:val="5"/>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005D3"/>
    <w:multiLevelType w:val="hybridMultilevel"/>
    <w:tmpl w:val="E3F24984"/>
    <w:lvl w:ilvl="0" w:tplc="B65ECA3C">
      <w:start w:val="1"/>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21BA8"/>
    <w:multiLevelType w:val="hybridMultilevel"/>
    <w:tmpl w:val="85A6B774"/>
    <w:lvl w:ilvl="0" w:tplc="85AA4CDE">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235073"/>
    <w:multiLevelType w:val="hybridMultilevel"/>
    <w:tmpl w:val="684EE95E"/>
    <w:lvl w:ilvl="0" w:tplc="AFD039BC">
      <w:start w:val="2"/>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2728A2"/>
    <w:multiLevelType w:val="hybridMultilevel"/>
    <w:tmpl w:val="2006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53C2F"/>
    <w:multiLevelType w:val="hybridMultilevel"/>
    <w:tmpl w:val="3F8E835E"/>
    <w:lvl w:ilvl="0" w:tplc="3A2AA4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862F9D"/>
    <w:multiLevelType w:val="hybridMultilevel"/>
    <w:tmpl w:val="B40821F6"/>
    <w:lvl w:ilvl="0" w:tplc="B65ECA3C">
      <w:start w:val="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5C655E"/>
    <w:multiLevelType w:val="hybridMultilevel"/>
    <w:tmpl w:val="6B2E3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B756A3"/>
    <w:multiLevelType w:val="hybridMultilevel"/>
    <w:tmpl w:val="3B4C4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4F3DCE"/>
    <w:multiLevelType w:val="hybridMultilevel"/>
    <w:tmpl w:val="5F7EFFF6"/>
    <w:lvl w:ilvl="0" w:tplc="8EE2F24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4"/>
  </w:num>
  <w:num w:numId="5">
    <w:abstractNumId w:val="16"/>
  </w:num>
  <w:num w:numId="6">
    <w:abstractNumId w:val="0"/>
  </w:num>
  <w:num w:numId="7">
    <w:abstractNumId w:val="15"/>
  </w:num>
  <w:num w:numId="8">
    <w:abstractNumId w:val="10"/>
  </w:num>
  <w:num w:numId="9">
    <w:abstractNumId w:val="1"/>
  </w:num>
  <w:num w:numId="10">
    <w:abstractNumId w:val="2"/>
  </w:num>
  <w:num w:numId="11">
    <w:abstractNumId w:val="6"/>
  </w:num>
  <w:num w:numId="12">
    <w:abstractNumId w:val="11"/>
  </w:num>
  <w:num w:numId="13">
    <w:abstractNumId w:val="8"/>
  </w:num>
  <w:num w:numId="14">
    <w:abstractNumId w:val="4"/>
  </w:num>
  <w:num w:numId="15">
    <w:abstractNumId w:val="12"/>
  </w:num>
  <w:num w:numId="16">
    <w:abstractNumId w:val="1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1D"/>
    <w:rsid w:val="0000093B"/>
    <w:rsid w:val="000010B7"/>
    <w:rsid w:val="0000169A"/>
    <w:rsid w:val="0000174D"/>
    <w:rsid w:val="0000186C"/>
    <w:rsid w:val="000019B6"/>
    <w:rsid w:val="00001FC5"/>
    <w:rsid w:val="000023C1"/>
    <w:rsid w:val="00002535"/>
    <w:rsid w:val="0000271F"/>
    <w:rsid w:val="0000273D"/>
    <w:rsid w:val="0000279D"/>
    <w:rsid w:val="000029A5"/>
    <w:rsid w:val="00002E51"/>
    <w:rsid w:val="00003160"/>
    <w:rsid w:val="0000387F"/>
    <w:rsid w:val="00003D5F"/>
    <w:rsid w:val="00004FCB"/>
    <w:rsid w:val="000051B1"/>
    <w:rsid w:val="00005728"/>
    <w:rsid w:val="0000637A"/>
    <w:rsid w:val="00006729"/>
    <w:rsid w:val="000068CE"/>
    <w:rsid w:val="00006A15"/>
    <w:rsid w:val="00006B5C"/>
    <w:rsid w:val="00007E2D"/>
    <w:rsid w:val="00010202"/>
    <w:rsid w:val="0001063C"/>
    <w:rsid w:val="00011221"/>
    <w:rsid w:val="0001154F"/>
    <w:rsid w:val="00011B48"/>
    <w:rsid w:val="000120A2"/>
    <w:rsid w:val="00012676"/>
    <w:rsid w:val="00012E25"/>
    <w:rsid w:val="00013054"/>
    <w:rsid w:val="00013300"/>
    <w:rsid w:val="0001498C"/>
    <w:rsid w:val="00014B13"/>
    <w:rsid w:val="00015324"/>
    <w:rsid w:val="00015DA5"/>
    <w:rsid w:val="0001612E"/>
    <w:rsid w:val="000164DB"/>
    <w:rsid w:val="00016BF6"/>
    <w:rsid w:val="00016E7E"/>
    <w:rsid w:val="00017375"/>
    <w:rsid w:val="000177DA"/>
    <w:rsid w:val="000179AC"/>
    <w:rsid w:val="00017A5C"/>
    <w:rsid w:val="00017A7D"/>
    <w:rsid w:val="0002039B"/>
    <w:rsid w:val="00020A3A"/>
    <w:rsid w:val="00020DD0"/>
    <w:rsid w:val="000212A9"/>
    <w:rsid w:val="00021745"/>
    <w:rsid w:val="000224E8"/>
    <w:rsid w:val="00022618"/>
    <w:rsid w:val="0002308F"/>
    <w:rsid w:val="0002335E"/>
    <w:rsid w:val="0002430B"/>
    <w:rsid w:val="000243C3"/>
    <w:rsid w:val="000249B0"/>
    <w:rsid w:val="00024AEA"/>
    <w:rsid w:val="00024C2D"/>
    <w:rsid w:val="00024C8E"/>
    <w:rsid w:val="00024FFA"/>
    <w:rsid w:val="00025E31"/>
    <w:rsid w:val="000262CC"/>
    <w:rsid w:val="000266BB"/>
    <w:rsid w:val="00026AAA"/>
    <w:rsid w:val="0002724D"/>
    <w:rsid w:val="000272D3"/>
    <w:rsid w:val="00027A36"/>
    <w:rsid w:val="00027DA4"/>
    <w:rsid w:val="00027EA7"/>
    <w:rsid w:val="00030268"/>
    <w:rsid w:val="0003091A"/>
    <w:rsid w:val="00030EA0"/>
    <w:rsid w:val="000322FF"/>
    <w:rsid w:val="000323F6"/>
    <w:rsid w:val="00032B9F"/>
    <w:rsid w:val="00032CCB"/>
    <w:rsid w:val="00032FB5"/>
    <w:rsid w:val="00033074"/>
    <w:rsid w:val="000333FC"/>
    <w:rsid w:val="00033AA8"/>
    <w:rsid w:val="00033B1D"/>
    <w:rsid w:val="00033DE1"/>
    <w:rsid w:val="00034652"/>
    <w:rsid w:val="0003496E"/>
    <w:rsid w:val="00034EEE"/>
    <w:rsid w:val="00035887"/>
    <w:rsid w:val="00035A19"/>
    <w:rsid w:val="00035A55"/>
    <w:rsid w:val="00035CA7"/>
    <w:rsid w:val="00035F53"/>
    <w:rsid w:val="0003624B"/>
    <w:rsid w:val="0003669A"/>
    <w:rsid w:val="000367FB"/>
    <w:rsid w:val="00036AF4"/>
    <w:rsid w:val="00036F5F"/>
    <w:rsid w:val="00037D23"/>
    <w:rsid w:val="00037DA5"/>
    <w:rsid w:val="00040919"/>
    <w:rsid w:val="00040A87"/>
    <w:rsid w:val="00040E95"/>
    <w:rsid w:val="000419DC"/>
    <w:rsid w:val="00041B8F"/>
    <w:rsid w:val="00041E64"/>
    <w:rsid w:val="00041F0F"/>
    <w:rsid w:val="00041FC9"/>
    <w:rsid w:val="000429C6"/>
    <w:rsid w:val="00042CDE"/>
    <w:rsid w:val="00042DC3"/>
    <w:rsid w:val="0004367F"/>
    <w:rsid w:val="00043B31"/>
    <w:rsid w:val="00043DD5"/>
    <w:rsid w:val="00044054"/>
    <w:rsid w:val="00044614"/>
    <w:rsid w:val="0004501E"/>
    <w:rsid w:val="00045203"/>
    <w:rsid w:val="00045345"/>
    <w:rsid w:val="00046348"/>
    <w:rsid w:val="0004697D"/>
    <w:rsid w:val="000475A0"/>
    <w:rsid w:val="00047799"/>
    <w:rsid w:val="00047B22"/>
    <w:rsid w:val="0005050C"/>
    <w:rsid w:val="00050C5C"/>
    <w:rsid w:val="00051D48"/>
    <w:rsid w:val="00052034"/>
    <w:rsid w:val="000524C6"/>
    <w:rsid w:val="00052A35"/>
    <w:rsid w:val="00052C54"/>
    <w:rsid w:val="0005349A"/>
    <w:rsid w:val="00053A0B"/>
    <w:rsid w:val="00053B6B"/>
    <w:rsid w:val="00054BDB"/>
    <w:rsid w:val="00054CF4"/>
    <w:rsid w:val="0005508B"/>
    <w:rsid w:val="00055A65"/>
    <w:rsid w:val="00055EA4"/>
    <w:rsid w:val="00056558"/>
    <w:rsid w:val="00056835"/>
    <w:rsid w:val="00057E4A"/>
    <w:rsid w:val="000602D1"/>
    <w:rsid w:val="000612D5"/>
    <w:rsid w:val="00061CEC"/>
    <w:rsid w:val="00061E7D"/>
    <w:rsid w:val="00061EC5"/>
    <w:rsid w:val="00062A32"/>
    <w:rsid w:val="000638FB"/>
    <w:rsid w:val="00064300"/>
    <w:rsid w:val="00064BC2"/>
    <w:rsid w:val="00064EA3"/>
    <w:rsid w:val="0006521C"/>
    <w:rsid w:val="0006553A"/>
    <w:rsid w:val="00065BC4"/>
    <w:rsid w:val="00065DAB"/>
    <w:rsid w:val="000661A6"/>
    <w:rsid w:val="000677E3"/>
    <w:rsid w:val="0006790C"/>
    <w:rsid w:val="00067910"/>
    <w:rsid w:val="00067DA1"/>
    <w:rsid w:val="00067E86"/>
    <w:rsid w:val="00067F82"/>
    <w:rsid w:val="000704EB"/>
    <w:rsid w:val="000705A9"/>
    <w:rsid w:val="00070867"/>
    <w:rsid w:val="00070879"/>
    <w:rsid w:val="000712DC"/>
    <w:rsid w:val="00071979"/>
    <w:rsid w:val="00072441"/>
    <w:rsid w:val="00072659"/>
    <w:rsid w:val="000727A8"/>
    <w:rsid w:val="000730DD"/>
    <w:rsid w:val="00073D71"/>
    <w:rsid w:val="00073EB9"/>
    <w:rsid w:val="00074620"/>
    <w:rsid w:val="00074930"/>
    <w:rsid w:val="00075A6E"/>
    <w:rsid w:val="000762E1"/>
    <w:rsid w:val="00076944"/>
    <w:rsid w:val="00076D32"/>
    <w:rsid w:val="00077314"/>
    <w:rsid w:val="00077AE9"/>
    <w:rsid w:val="00077CA7"/>
    <w:rsid w:val="00077CD0"/>
    <w:rsid w:val="00077D12"/>
    <w:rsid w:val="00080556"/>
    <w:rsid w:val="0008121E"/>
    <w:rsid w:val="00081455"/>
    <w:rsid w:val="000815A3"/>
    <w:rsid w:val="00082328"/>
    <w:rsid w:val="0008259D"/>
    <w:rsid w:val="0008284C"/>
    <w:rsid w:val="00082A4F"/>
    <w:rsid w:val="00082D93"/>
    <w:rsid w:val="000830B8"/>
    <w:rsid w:val="000836C6"/>
    <w:rsid w:val="00083CA3"/>
    <w:rsid w:val="00083D01"/>
    <w:rsid w:val="00084E77"/>
    <w:rsid w:val="00084F19"/>
    <w:rsid w:val="0008511A"/>
    <w:rsid w:val="00085727"/>
    <w:rsid w:val="00085A97"/>
    <w:rsid w:val="00085AFF"/>
    <w:rsid w:val="00085BC0"/>
    <w:rsid w:val="00085BCD"/>
    <w:rsid w:val="00085BE0"/>
    <w:rsid w:val="00085D8C"/>
    <w:rsid w:val="00086D0C"/>
    <w:rsid w:val="00086F5E"/>
    <w:rsid w:val="00087059"/>
    <w:rsid w:val="00087FBC"/>
    <w:rsid w:val="000900C7"/>
    <w:rsid w:val="000904C0"/>
    <w:rsid w:val="00090502"/>
    <w:rsid w:val="000907E0"/>
    <w:rsid w:val="0009131D"/>
    <w:rsid w:val="00091CD7"/>
    <w:rsid w:val="00092013"/>
    <w:rsid w:val="000922E3"/>
    <w:rsid w:val="000926E1"/>
    <w:rsid w:val="0009297F"/>
    <w:rsid w:val="00092B95"/>
    <w:rsid w:val="00092BFB"/>
    <w:rsid w:val="00093BD0"/>
    <w:rsid w:val="00093ED8"/>
    <w:rsid w:val="00094791"/>
    <w:rsid w:val="00094F64"/>
    <w:rsid w:val="00095217"/>
    <w:rsid w:val="000961A3"/>
    <w:rsid w:val="00097102"/>
    <w:rsid w:val="00097BC5"/>
    <w:rsid w:val="00097F45"/>
    <w:rsid w:val="000A07F3"/>
    <w:rsid w:val="000A08B7"/>
    <w:rsid w:val="000A0AE9"/>
    <w:rsid w:val="000A1BB5"/>
    <w:rsid w:val="000A1FCD"/>
    <w:rsid w:val="000A2187"/>
    <w:rsid w:val="000A21BE"/>
    <w:rsid w:val="000A2BD5"/>
    <w:rsid w:val="000A2F3B"/>
    <w:rsid w:val="000A3274"/>
    <w:rsid w:val="000A331E"/>
    <w:rsid w:val="000A38DF"/>
    <w:rsid w:val="000A3B4E"/>
    <w:rsid w:val="000A45D1"/>
    <w:rsid w:val="000A48E6"/>
    <w:rsid w:val="000A58D7"/>
    <w:rsid w:val="000A75C2"/>
    <w:rsid w:val="000A7DCE"/>
    <w:rsid w:val="000A7F56"/>
    <w:rsid w:val="000B05E0"/>
    <w:rsid w:val="000B0775"/>
    <w:rsid w:val="000B0F8A"/>
    <w:rsid w:val="000B136C"/>
    <w:rsid w:val="000B1CBB"/>
    <w:rsid w:val="000B222B"/>
    <w:rsid w:val="000B237E"/>
    <w:rsid w:val="000B2FF1"/>
    <w:rsid w:val="000B3806"/>
    <w:rsid w:val="000B3B80"/>
    <w:rsid w:val="000B4F6B"/>
    <w:rsid w:val="000B5AA9"/>
    <w:rsid w:val="000B67F0"/>
    <w:rsid w:val="000B68EB"/>
    <w:rsid w:val="000B6E30"/>
    <w:rsid w:val="000B6E32"/>
    <w:rsid w:val="000B7F5E"/>
    <w:rsid w:val="000C06F3"/>
    <w:rsid w:val="000C07B9"/>
    <w:rsid w:val="000C0964"/>
    <w:rsid w:val="000C0CD9"/>
    <w:rsid w:val="000C0E9F"/>
    <w:rsid w:val="000C12EB"/>
    <w:rsid w:val="000C14C8"/>
    <w:rsid w:val="000C3A28"/>
    <w:rsid w:val="000C54FD"/>
    <w:rsid w:val="000C55C4"/>
    <w:rsid w:val="000C56EE"/>
    <w:rsid w:val="000C58B2"/>
    <w:rsid w:val="000C6274"/>
    <w:rsid w:val="000C6753"/>
    <w:rsid w:val="000C6936"/>
    <w:rsid w:val="000C6B24"/>
    <w:rsid w:val="000C6E9D"/>
    <w:rsid w:val="000C6F5C"/>
    <w:rsid w:val="000C748A"/>
    <w:rsid w:val="000C7C83"/>
    <w:rsid w:val="000D0123"/>
    <w:rsid w:val="000D0F43"/>
    <w:rsid w:val="000D1771"/>
    <w:rsid w:val="000D2465"/>
    <w:rsid w:val="000D25E0"/>
    <w:rsid w:val="000D2E82"/>
    <w:rsid w:val="000D39C9"/>
    <w:rsid w:val="000D3B81"/>
    <w:rsid w:val="000D4822"/>
    <w:rsid w:val="000D495B"/>
    <w:rsid w:val="000D4B9E"/>
    <w:rsid w:val="000D50AE"/>
    <w:rsid w:val="000D569B"/>
    <w:rsid w:val="000D57DC"/>
    <w:rsid w:val="000D6795"/>
    <w:rsid w:val="000D6B30"/>
    <w:rsid w:val="000D72C3"/>
    <w:rsid w:val="000D72E0"/>
    <w:rsid w:val="000D7578"/>
    <w:rsid w:val="000D7D67"/>
    <w:rsid w:val="000E054C"/>
    <w:rsid w:val="000E1767"/>
    <w:rsid w:val="000E294B"/>
    <w:rsid w:val="000E295A"/>
    <w:rsid w:val="000E2A60"/>
    <w:rsid w:val="000E2F5C"/>
    <w:rsid w:val="000E37FE"/>
    <w:rsid w:val="000E3911"/>
    <w:rsid w:val="000E3A2C"/>
    <w:rsid w:val="000E3C0B"/>
    <w:rsid w:val="000E3C6F"/>
    <w:rsid w:val="000E4C25"/>
    <w:rsid w:val="000E7047"/>
    <w:rsid w:val="000E71A1"/>
    <w:rsid w:val="000E7A81"/>
    <w:rsid w:val="000E7FE7"/>
    <w:rsid w:val="000F0D24"/>
    <w:rsid w:val="000F11BD"/>
    <w:rsid w:val="000F11DD"/>
    <w:rsid w:val="000F1916"/>
    <w:rsid w:val="000F1A82"/>
    <w:rsid w:val="000F1E35"/>
    <w:rsid w:val="000F232C"/>
    <w:rsid w:val="000F2E75"/>
    <w:rsid w:val="000F33F4"/>
    <w:rsid w:val="000F4611"/>
    <w:rsid w:val="000F49FA"/>
    <w:rsid w:val="000F5A02"/>
    <w:rsid w:val="000F7611"/>
    <w:rsid w:val="000F7B0B"/>
    <w:rsid w:val="000F7E95"/>
    <w:rsid w:val="000F7EEB"/>
    <w:rsid w:val="000F7FBA"/>
    <w:rsid w:val="00101FB1"/>
    <w:rsid w:val="0010205E"/>
    <w:rsid w:val="001024FB"/>
    <w:rsid w:val="00102F32"/>
    <w:rsid w:val="00103107"/>
    <w:rsid w:val="001033DA"/>
    <w:rsid w:val="001035EE"/>
    <w:rsid w:val="001039AB"/>
    <w:rsid w:val="001039E3"/>
    <w:rsid w:val="00103B76"/>
    <w:rsid w:val="00103F26"/>
    <w:rsid w:val="0010443F"/>
    <w:rsid w:val="00105289"/>
    <w:rsid w:val="001053EC"/>
    <w:rsid w:val="0010544D"/>
    <w:rsid w:val="0010581A"/>
    <w:rsid w:val="00105AA1"/>
    <w:rsid w:val="00105DA2"/>
    <w:rsid w:val="00105F29"/>
    <w:rsid w:val="00105F90"/>
    <w:rsid w:val="0010643B"/>
    <w:rsid w:val="0010646D"/>
    <w:rsid w:val="001066A4"/>
    <w:rsid w:val="00107247"/>
    <w:rsid w:val="0010735F"/>
    <w:rsid w:val="001077D0"/>
    <w:rsid w:val="001078A6"/>
    <w:rsid w:val="001078C9"/>
    <w:rsid w:val="00107BAB"/>
    <w:rsid w:val="00107ED7"/>
    <w:rsid w:val="001100F8"/>
    <w:rsid w:val="00110468"/>
    <w:rsid w:val="00111156"/>
    <w:rsid w:val="001114B4"/>
    <w:rsid w:val="00112DA0"/>
    <w:rsid w:val="00113062"/>
    <w:rsid w:val="001140E2"/>
    <w:rsid w:val="001144FC"/>
    <w:rsid w:val="0011450C"/>
    <w:rsid w:val="00114708"/>
    <w:rsid w:val="00114A0E"/>
    <w:rsid w:val="00114E20"/>
    <w:rsid w:val="00114F67"/>
    <w:rsid w:val="00115D8A"/>
    <w:rsid w:val="001164BF"/>
    <w:rsid w:val="00116AA1"/>
    <w:rsid w:val="00117010"/>
    <w:rsid w:val="0011703B"/>
    <w:rsid w:val="00117363"/>
    <w:rsid w:val="00117F4A"/>
    <w:rsid w:val="0012096F"/>
    <w:rsid w:val="00121805"/>
    <w:rsid w:val="00121979"/>
    <w:rsid w:val="001227FB"/>
    <w:rsid w:val="00122A21"/>
    <w:rsid w:val="00122A8F"/>
    <w:rsid w:val="00122D76"/>
    <w:rsid w:val="0012308D"/>
    <w:rsid w:val="001230B7"/>
    <w:rsid w:val="00123FBB"/>
    <w:rsid w:val="00124F3F"/>
    <w:rsid w:val="0012532F"/>
    <w:rsid w:val="00125636"/>
    <w:rsid w:val="001258D7"/>
    <w:rsid w:val="00125D67"/>
    <w:rsid w:val="0012601C"/>
    <w:rsid w:val="0012649E"/>
    <w:rsid w:val="001264AB"/>
    <w:rsid w:val="00127162"/>
    <w:rsid w:val="001300B1"/>
    <w:rsid w:val="00130448"/>
    <w:rsid w:val="001304C5"/>
    <w:rsid w:val="001305E3"/>
    <w:rsid w:val="00130BB5"/>
    <w:rsid w:val="00130F4D"/>
    <w:rsid w:val="00130F62"/>
    <w:rsid w:val="00131285"/>
    <w:rsid w:val="00131F60"/>
    <w:rsid w:val="00132A1F"/>
    <w:rsid w:val="00133AFC"/>
    <w:rsid w:val="00134202"/>
    <w:rsid w:val="00134354"/>
    <w:rsid w:val="0013460C"/>
    <w:rsid w:val="001354B8"/>
    <w:rsid w:val="0013584F"/>
    <w:rsid w:val="001359B3"/>
    <w:rsid w:val="00135B93"/>
    <w:rsid w:val="001364B1"/>
    <w:rsid w:val="0013682F"/>
    <w:rsid w:val="00136A72"/>
    <w:rsid w:val="001377DE"/>
    <w:rsid w:val="00137EF0"/>
    <w:rsid w:val="00137EFB"/>
    <w:rsid w:val="00140127"/>
    <w:rsid w:val="00140BC5"/>
    <w:rsid w:val="00140D81"/>
    <w:rsid w:val="00141BFD"/>
    <w:rsid w:val="00141CC9"/>
    <w:rsid w:val="00141EAD"/>
    <w:rsid w:val="001424C7"/>
    <w:rsid w:val="00142AD3"/>
    <w:rsid w:val="0014300D"/>
    <w:rsid w:val="001437A8"/>
    <w:rsid w:val="001438B8"/>
    <w:rsid w:val="00143938"/>
    <w:rsid w:val="00143D73"/>
    <w:rsid w:val="001441AB"/>
    <w:rsid w:val="00144D0F"/>
    <w:rsid w:val="0014516D"/>
    <w:rsid w:val="00145641"/>
    <w:rsid w:val="00145C15"/>
    <w:rsid w:val="00146042"/>
    <w:rsid w:val="00146E3C"/>
    <w:rsid w:val="0014792E"/>
    <w:rsid w:val="00150092"/>
    <w:rsid w:val="001504E8"/>
    <w:rsid w:val="00150878"/>
    <w:rsid w:val="001508D6"/>
    <w:rsid w:val="00150E50"/>
    <w:rsid w:val="00151371"/>
    <w:rsid w:val="00151C44"/>
    <w:rsid w:val="0015230F"/>
    <w:rsid w:val="001523EB"/>
    <w:rsid w:val="00152493"/>
    <w:rsid w:val="001527ED"/>
    <w:rsid w:val="0015280E"/>
    <w:rsid w:val="0015343A"/>
    <w:rsid w:val="00153A98"/>
    <w:rsid w:val="00153D51"/>
    <w:rsid w:val="00153DB4"/>
    <w:rsid w:val="001540D2"/>
    <w:rsid w:val="001540F8"/>
    <w:rsid w:val="00154331"/>
    <w:rsid w:val="001544B9"/>
    <w:rsid w:val="00154647"/>
    <w:rsid w:val="00154822"/>
    <w:rsid w:val="00154DFE"/>
    <w:rsid w:val="00155082"/>
    <w:rsid w:val="00155699"/>
    <w:rsid w:val="00155A1A"/>
    <w:rsid w:val="00155C5C"/>
    <w:rsid w:val="0015605A"/>
    <w:rsid w:val="00160226"/>
    <w:rsid w:val="001605AE"/>
    <w:rsid w:val="00160BB5"/>
    <w:rsid w:val="0016149D"/>
    <w:rsid w:val="0016193F"/>
    <w:rsid w:val="00161D07"/>
    <w:rsid w:val="001625F5"/>
    <w:rsid w:val="001629E7"/>
    <w:rsid w:val="00162D0F"/>
    <w:rsid w:val="001630EF"/>
    <w:rsid w:val="00164A51"/>
    <w:rsid w:val="001655C0"/>
    <w:rsid w:val="00165629"/>
    <w:rsid w:val="00165964"/>
    <w:rsid w:val="00165AAC"/>
    <w:rsid w:val="00166D82"/>
    <w:rsid w:val="00167579"/>
    <w:rsid w:val="001677A7"/>
    <w:rsid w:val="001677ED"/>
    <w:rsid w:val="00170493"/>
    <w:rsid w:val="0017138E"/>
    <w:rsid w:val="00171536"/>
    <w:rsid w:val="00171DD0"/>
    <w:rsid w:val="00172986"/>
    <w:rsid w:val="001729E6"/>
    <w:rsid w:val="00173603"/>
    <w:rsid w:val="00173A0B"/>
    <w:rsid w:val="00173D60"/>
    <w:rsid w:val="00173FBC"/>
    <w:rsid w:val="00174591"/>
    <w:rsid w:val="0017525B"/>
    <w:rsid w:val="001753B6"/>
    <w:rsid w:val="001753F3"/>
    <w:rsid w:val="00175A8D"/>
    <w:rsid w:val="001762DD"/>
    <w:rsid w:val="00176D03"/>
    <w:rsid w:val="00177605"/>
    <w:rsid w:val="0018007D"/>
    <w:rsid w:val="00180859"/>
    <w:rsid w:val="00180DD0"/>
    <w:rsid w:val="001811CD"/>
    <w:rsid w:val="00182057"/>
    <w:rsid w:val="001827CD"/>
    <w:rsid w:val="00182AC2"/>
    <w:rsid w:val="0018313F"/>
    <w:rsid w:val="0018340D"/>
    <w:rsid w:val="001835E8"/>
    <w:rsid w:val="0018375D"/>
    <w:rsid w:val="00183BCD"/>
    <w:rsid w:val="0018467D"/>
    <w:rsid w:val="00184796"/>
    <w:rsid w:val="00185866"/>
    <w:rsid w:val="00185960"/>
    <w:rsid w:val="00185DD5"/>
    <w:rsid w:val="00185E75"/>
    <w:rsid w:val="0018653C"/>
    <w:rsid w:val="0018661F"/>
    <w:rsid w:val="00187943"/>
    <w:rsid w:val="00187CB2"/>
    <w:rsid w:val="00187F0D"/>
    <w:rsid w:val="001907F3"/>
    <w:rsid w:val="001908A2"/>
    <w:rsid w:val="00190B55"/>
    <w:rsid w:val="0019129E"/>
    <w:rsid w:val="00191319"/>
    <w:rsid w:val="00191D2B"/>
    <w:rsid w:val="001921D8"/>
    <w:rsid w:val="001928B3"/>
    <w:rsid w:val="00192E69"/>
    <w:rsid w:val="0019302F"/>
    <w:rsid w:val="0019358E"/>
    <w:rsid w:val="001935E9"/>
    <w:rsid w:val="0019386B"/>
    <w:rsid w:val="00193BFC"/>
    <w:rsid w:val="00193C60"/>
    <w:rsid w:val="001941AD"/>
    <w:rsid w:val="00194294"/>
    <w:rsid w:val="001945AC"/>
    <w:rsid w:val="00195705"/>
    <w:rsid w:val="00195B88"/>
    <w:rsid w:val="00195D1C"/>
    <w:rsid w:val="00195D5C"/>
    <w:rsid w:val="00195DD0"/>
    <w:rsid w:val="00195DEA"/>
    <w:rsid w:val="00196038"/>
    <w:rsid w:val="00196A1B"/>
    <w:rsid w:val="0019719B"/>
    <w:rsid w:val="001A0A1E"/>
    <w:rsid w:val="001A1E66"/>
    <w:rsid w:val="001A24AC"/>
    <w:rsid w:val="001A297F"/>
    <w:rsid w:val="001A2EA5"/>
    <w:rsid w:val="001A3007"/>
    <w:rsid w:val="001A3395"/>
    <w:rsid w:val="001A3B96"/>
    <w:rsid w:val="001A4162"/>
    <w:rsid w:val="001A47DA"/>
    <w:rsid w:val="001A4FB0"/>
    <w:rsid w:val="001A5441"/>
    <w:rsid w:val="001A575C"/>
    <w:rsid w:val="001A60F3"/>
    <w:rsid w:val="001A61DA"/>
    <w:rsid w:val="001A64C0"/>
    <w:rsid w:val="001A65D9"/>
    <w:rsid w:val="001A6CFC"/>
    <w:rsid w:val="001A6D55"/>
    <w:rsid w:val="001A7C9F"/>
    <w:rsid w:val="001B0041"/>
    <w:rsid w:val="001B0C65"/>
    <w:rsid w:val="001B14A1"/>
    <w:rsid w:val="001B1B6C"/>
    <w:rsid w:val="001B253A"/>
    <w:rsid w:val="001B2569"/>
    <w:rsid w:val="001B273A"/>
    <w:rsid w:val="001B40AE"/>
    <w:rsid w:val="001B4A92"/>
    <w:rsid w:val="001B5829"/>
    <w:rsid w:val="001B5DE5"/>
    <w:rsid w:val="001B6F81"/>
    <w:rsid w:val="001B715C"/>
    <w:rsid w:val="001B74A6"/>
    <w:rsid w:val="001B79E1"/>
    <w:rsid w:val="001C08E7"/>
    <w:rsid w:val="001C137C"/>
    <w:rsid w:val="001C1AD3"/>
    <w:rsid w:val="001C2384"/>
    <w:rsid w:val="001C3B49"/>
    <w:rsid w:val="001C4084"/>
    <w:rsid w:val="001C5164"/>
    <w:rsid w:val="001C551C"/>
    <w:rsid w:val="001C57CF"/>
    <w:rsid w:val="001C5ADB"/>
    <w:rsid w:val="001C5BDD"/>
    <w:rsid w:val="001C5D7B"/>
    <w:rsid w:val="001C5E44"/>
    <w:rsid w:val="001C5F02"/>
    <w:rsid w:val="001C628D"/>
    <w:rsid w:val="001C70DB"/>
    <w:rsid w:val="001C754A"/>
    <w:rsid w:val="001C7AD5"/>
    <w:rsid w:val="001C7F06"/>
    <w:rsid w:val="001C7F27"/>
    <w:rsid w:val="001C7F85"/>
    <w:rsid w:val="001D04F1"/>
    <w:rsid w:val="001D0DB2"/>
    <w:rsid w:val="001D0E36"/>
    <w:rsid w:val="001D12C0"/>
    <w:rsid w:val="001D17D6"/>
    <w:rsid w:val="001D1935"/>
    <w:rsid w:val="001D3262"/>
    <w:rsid w:val="001D33F6"/>
    <w:rsid w:val="001D38EA"/>
    <w:rsid w:val="001D3936"/>
    <w:rsid w:val="001D50B1"/>
    <w:rsid w:val="001D5528"/>
    <w:rsid w:val="001D55D0"/>
    <w:rsid w:val="001D5C76"/>
    <w:rsid w:val="001D6C65"/>
    <w:rsid w:val="001D6EF9"/>
    <w:rsid w:val="001D72E7"/>
    <w:rsid w:val="001E0490"/>
    <w:rsid w:val="001E0AA9"/>
    <w:rsid w:val="001E1666"/>
    <w:rsid w:val="001E1D63"/>
    <w:rsid w:val="001E1EB4"/>
    <w:rsid w:val="001E2FCF"/>
    <w:rsid w:val="001E3A2E"/>
    <w:rsid w:val="001E4273"/>
    <w:rsid w:val="001E540B"/>
    <w:rsid w:val="001E55A8"/>
    <w:rsid w:val="001E6019"/>
    <w:rsid w:val="001E6B89"/>
    <w:rsid w:val="001E6CE5"/>
    <w:rsid w:val="001E7D00"/>
    <w:rsid w:val="001F052C"/>
    <w:rsid w:val="001F0FBA"/>
    <w:rsid w:val="001F12DB"/>
    <w:rsid w:val="001F14B2"/>
    <w:rsid w:val="001F1718"/>
    <w:rsid w:val="001F1C3D"/>
    <w:rsid w:val="001F2142"/>
    <w:rsid w:val="001F243C"/>
    <w:rsid w:val="001F2877"/>
    <w:rsid w:val="001F2D02"/>
    <w:rsid w:val="001F2D7C"/>
    <w:rsid w:val="001F2E06"/>
    <w:rsid w:val="001F2F5F"/>
    <w:rsid w:val="001F33DD"/>
    <w:rsid w:val="001F40ED"/>
    <w:rsid w:val="001F65CC"/>
    <w:rsid w:val="001F67F3"/>
    <w:rsid w:val="001F7555"/>
    <w:rsid w:val="001F75A6"/>
    <w:rsid w:val="001F7699"/>
    <w:rsid w:val="00200DD9"/>
    <w:rsid w:val="00200F90"/>
    <w:rsid w:val="002010F4"/>
    <w:rsid w:val="0020120D"/>
    <w:rsid w:val="002015F9"/>
    <w:rsid w:val="0020168F"/>
    <w:rsid w:val="00201890"/>
    <w:rsid w:val="002018EA"/>
    <w:rsid w:val="00201C9F"/>
    <w:rsid w:val="00202136"/>
    <w:rsid w:val="00202868"/>
    <w:rsid w:val="00202E57"/>
    <w:rsid w:val="00203C1D"/>
    <w:rsid w:val="00203CC2"/>
    <w:rsid w:val="00204059"/>
    <w:rsid w:val="002042A5"/>
    <w:rsid w:val="00204DF4"/>
    <w:rsid w:val="002051B0"/>
    <w:rsid w:val="0020564A"/>
    <w:rsid w:val="002056F5"/>
    <w:rsid w:val="002058C7"/>
    <w:rsid w:val="002058D7"/>
    <w:rsid w:val="0020609B"/>
    <w:rsid w:val="00206CCD"/>
    <w:rsid w:val="00206D99"/>
    <w:rsid w:val="002072A2"/>
    <w:rsid w:val="002076C8"/>
    <w:rsid w:val="00210046"/>
    <w:rsid w:val="00210824"/>
    <w:rsid w:val="002110FE"/>
    <w:rsid w:val="0021136F"/>
    <w:rsid w:val="002118C1"/>
    <w:rsid w:val="002119F5"/>
    <w:rsid w:val="00211BB3"/>
    <w:rsid w:val="00211DF2"/>
    <w:rsid w:val="0021239C"/>
    <w:rsid w:val="00212E61"/>
    <w:rsid w:val="0021334E"/>
    <w:rsid w:val="00213411"/>
    <w:rsid w:val="002140A3"/>
    <w:rsid w:val="002149D6"/>
    <w:rsid w:val="002164D8"/>
    <w:rsid w:val="00216695"/>
    <w:rsid w:val="00216965"/>
    <w:rsid w:val="00217A52"/>
    <w:rsid w:val="00217E63"/>
    <w:rsid w:val="00217F12"/>
    <w:rsid w:val="00217F98"/>
    <w:rsid w:val="0022030B"/>
    <w:rsid w:val="00220641"/>
    <w:rsid w:val="00220951"/>
    <w:rsid w:val="00220E6A"/>
    <w:rsid w:val="00221000"/>
    <w:rsid w:val="002212F6"/>
    <w:rsid w:val="00221364"/>
    <w:rsid w:val="00222A78"/>
    <w:rsid w:val="0022321C"/>
    <w:rsid w:val="00223A68"/>
    <w:rsid w:val="00225E28"/>
    <w:rsid w:val="0022605F"/>
    <w:rsid w:val="00226AD4"/>
    <w:rsid w:val="002270B3"/>
    <w:rsid w:val="002275D2"/>
    <w:rsid w:val="002276D7"/>
    <w:rsid w:val="00227DF6"/>
    <w:rsid w:val="00230A61"/>
    <w:rsid w:val="0023209B"/>
    <w:rsid w:val="002326B7"/>
    <w:rsid w:val="00232AAE"/>
    <w:rsid w:val="00232FE5"/>
    <w:rsid w:val="0023358B"/>
    <w:rsid w:val="002338ED"/>
    <w:rsid w:val="00233967"/>
    <w:rsid w:val="00234144"/>
    <w:rsid w:val="00234551"/>
    <w:rsid w:val="00234570"/>
    <w:rsid w:val="00234701"/>
    <w:rsid w:val="00234762"/>
    <w:rsid w:val="00235089"/>
    <w:rsid w:val="002355FA"/>
    <w:rsid w:val="002357DE"/>
    <w:rsid w:val="002362A3"/>
    <w:rsid w:val="00236400"/>
    <w:rsid w:val="002365BC"/>
    <w:rsid w:val="002366E9"/>
    <w:rsid w:val="0023785D"/>
    <w:rsid w:val="0024040B"/>
    <w:rsid w:val="00240C7C"/>
    <w:rsid w:val="00240D3C"/>
    <w:rsid w:val="002418CC"/>
    <w:rsid w:val="0024196D"/>
    <w:rsid w:val="00243380"/>
    <w:rsid w:val="00243550"/>
    <w:rsid w:val="00243A7C"/>
    <w:rsid w:val="00243B7F"/>
    <w:rsid w:val="00243BFB"/>
    <w:rsid w:val="002446D1"/>
    <w:rsid w:val="002448EB"/>
    <w:rsid w:val="00245348"/>
    <w:rsid w:val="002454C2"/>
    <w:rsid w:val="00245A88"/>
    <w:rsid w:val="00245F0F"/>
    <w:rsid w:val="00246C40"/>
    <w:rsid w:val="002475E7"/>
    <w:rsid w:val="00247831"/>
    <w:rsid w:val="002506CA"/>
    <w:rsid w:val="0025084B"/>
    <w:rsid w:val="00250D9C"/>
    <w:rsid w:val="00251801"/>
    <w:rsid w:val="0025227B"/>
    <w:rsid w:val="0025245F"/>
    <w:rsid w:val="00252537"/>
    <w:rsid w:val="00252B6A"/>
    <w:rsid w:val="00252C29"/>
    <w:rsid w:val="00253FDA"/>
    <w:rsid w:val="00254350"/>
    <w:rsid w:val="0025454C"/>
    <w:rsid w:val="00254A1C"/>
    <w:rsid w:val="00254C2C"/>
    <w:rsid w:val="00255247"/>
    <w:rsid w:val="0025554E"/>
    <w:rsid w:val="002559CA"/>
    <w:rsid w:val="00256D4C"/>
    <w:rsid w:val="00256F1E"/>
    <w:rsid w:val="00257B8E"/>
    <w:rsid w:val="00257E7F"/>
    <w:rsid w:val="002602A1"/>
    <w:rsid w:val="002606BA"/>
    <w:rsid w:val="0026093D"/>
    <w:rsid w:val="00260B6C"/>
    <w:rsid w:val="00262B4B"/>
    <w:rsid w:val="00263543"/>
    <w:rsid w:val="00263AAE"/>
    <w:rsid w:val="00263B31"/>
    <w:rsid w:val="00263BAA"/>
    <w:rsid w:val="00263C8E"/>
    <w:rsid w:val="002645BA"/>
    <w:rsid w:val="00264BA5"/>
    <w:rsid w:val="00265535"/>
    <w:rsid w:val="00266DD9"/>
    <w:rsid w:val="00267742"/>
    <w:rsid w:val="00267BA5"/>
    <w:rsid w:val="002705AC"/>
    <w:rsid w:val="00270918"/>
    <w:rsid w:val="002716D5"/>
    <w:rsid w:val="00271AA1"/>
    <w:rsid w:val="0027226D"/>
    <w:rsid w:val="0027237F"/>
    <w:rsid w:val="00272958"/>
    <w:rsid w:val="0027420E"/>
    <w:rsid w:val="0027427E"/>
    <w:rsid w:val="00274F57"/>
    <w:rsid w:val="00275596"/>
    <w:rsid w:val="002759FD"/>
    <w:rsid w:val="00275E3C"/>
    <w:rsid w:val="00275ED5"/>
    <w:rsid w:val="002763A0"/>
    <w:rsid w:val="00276441"/>
    <w:rsid w:val="00276C04"/>
    <w:rsid w:val="00276CA4"/>
    <w:rsid w:val="00276E54"/>
    <w:rsid w:val="00277346"/>
    <w:rsid w:val="002809A3"/>
    <w:rsid w:val="002816D0"/>
    <w:rsid w:val="00281C80"/>
    <w:rsid w:val="00282272"/>
    <w:rsid w:val="00282760"/>
    <w:rsid w:val="002832AD"/>
    <w:rsid w:val="0028398D"/>
    <w:rsid w:val="00283AC6"/>
    <w:rsid w:val="00283CC3"/>
    <w:rsid w:val="002858B4"/>
    <w:rsid w:val="00285A65"/>
    <w:rsid w:val="00285ECC"/>
    <w:rsid w:val="00286030"/>
    <w:rsid w:val="002860C4"/>
    <w:rsid w:val="00286A18"/>
    <w:rsid w:val="00286B5D"/>
    <w:rsid w:val="00287304"/>
    <w:rsid w:val="00287B87"/>
    <w:rsid w:val="00287DB0"/>
    <w:rsid w:val="00290224"/>
    <w:rsid w:val="002903A4"/>
    <w:rsid w:val="00290852"/>
    <w:rsid w:val="00290E3E"/>
    <w:rsid w:val="0029103C"/>
    <w:rsid w:val="002927D2"/>
    <w:rsid w:val="00292FF6"/>
    <w:rsid w:val="00293389"/>
    <w:rsid w:val="0029483F"/>
    <w:rsid w:val="0029491D"/>
    <w:rsid w:val="0029492F"/>
    <w:rsid w:val="00294EB7"/>
    <w:rsid w:val="002952E6"/>
    <w:rsid w:val="002958BD"/>
    <w:rsid w:val="00295A3D"/>
    <w:rsid w:val="00296B3D"/>
    <w:rsid w:val="00297572"/>
    <w:rsid w:val="002A04C4"/>
    <w:rsid w:val="002A0618"/>
    <w:rsid w:val="002A095B"/>
    <w:rsid w:val="002A0E3B"/>
    <w:rsid w:val="002A1693"/>
    <w:rsid w:val="002A2100"/>
    <w:rsid w:val="002A26E3"/>
    <w:rsid w:val="002A3A71"/>
    <w:rsid w:val="002A4127"/>
    <w:rsid w:val="002A44DE"/>
    <w:rsid w:val="002A466C"/>
    <w:rsid w:val="002A4A7C"/>
    <w:rsid w:val="002A50B7"/>
    <w:rsid w:val="002A564D"/>
    <w:rsid w:val="002A5A8B"/>
    <w:rsid w:val="002A5B28"/>
    <w:rsid w:val="002A5DD9"/>
    <w:rsid w:val="002A6599"/>
    <w:rsid w:val="002A72B9"/>
    <w:rsid w:val="002A7CA1"/>
    <w:rsid w:val="002B0774"/>
    <w:rsid w:val="002B0C58"/>
    <w:rsid w:val="002B0D5E"/>
    <w:rsid w:val="002B1255"/>
    <w:rsid w:val="002B1C98"/>
    <w:rsid w:val="002B1E61"/>
    <w:rsid w:val="002B2A05"/>
    <w:rsid w:val="002B2A3F"/>
    <w:rsid w:val="002B2CD4"/>
    <w:rsid w:val="002B31B5"/>
    <w:rsid w:val="002B35C5"/>
    <w:rsid w:val="002B4B81"/>
    <w:rsid w:val="002B4E3F"/>
    <w:rsid w:val="002B5FD1"/>
    <w:rsid w:val="002B62CC"/>
    <w:rsid w:val="002B673A"/>
    <w:rsid w:val="002B7375"/>
    <w:rsid w:val="002B7C1E"/>
    <w:rsid w:val="002B7F52"/>
    <w:rsid w:val="002C043E"/>
    <w:rsid w:val="002C0691"/>
    <w:rsid w:val="002C0C2D"/>
    <w:rsid w:val="002C1F02"/>
    <w:rsid w:val="002C213D"/>
    <w:rsid w:val="002C28C0"/>
    <w:rsid w:val="002C2951"/>
    <w:rsid w:val="002C3157"/>
    <w:rsid w:val="002C344D"/>
    <w:rsid w:val="002C3654"/>
    <w:rsid w:val="002C3960"/>
    <w:rsid w:val="002C3D33"/>
    <w:rsid w:val="002C3FFC"/>
    <w:rsid w:val="002C4797"/>
    <w:rsid w:val="002C4869"/>
    <w:rsid w:val="002C5568"/>
    <w:rsid w:val="002C55E9"/>
    <w:rsid w:val="002C5642"/>
    <w:rsid w:val="002C5909"/>
    <w:rsid w:val="002C5A55"/>
    <w:rsid w:val="002C5B69"/>
    <w:rsid w:val="002C71AF"/>
    <w:rsid w:val="002C7AE6"/>
    <w:rsid w:val="002C7D94"/>
    <w:rsid w:val="002C7E9A"/>
    <w:rsid w:val="002D036D"/>
    <w:rsid w:val="002D0552"/>
    <w:rsid w:val="002D05A8"/>
    <w:rsid w:val="002D0C63"/>
    <w:rsid w:val="002D10E3"/>
    <w:rsid w:val="002D1524"/>
    <w:rsid w:val="002D1649"/>
    <w:rsid w:val="002D18B4"/>
    <w:rsid w:val="002D2A8D"/>
    <w:rsid w:val="002D3A99"/>
    <w:rsid w:val="002D3B61"/>
    <w:rsid w:val="002D43DD"/>
    <w:rsid w:val="002D471F"/>
    <w:rsid w:val="002D477E"/>
    <w:rsid w:val="002D5138"/>
    <w:rsid w:val="002D6293"/>
    <w:rsid w:val="002D6659"/>
    <w:rsid w:val="002D686E"/>
    <w:rsid w:val="002D69D1"/>
    <w:rsid w:val="002D7202"/>
    <w:rsid w:val="002D7F4E"/>
    <w:rsid w:val="002E03CB"/>
    <w:rsid w:val="002E066F"/>
    <w:rsid w:val="002E0F44"/>
    <w:rsid w:val="002E0FF9"/>
    <w:rsid w:val="002E13F4"/>
    <w:rsid w:val="002E1683"/>
    <w:rsid w:val="002E20AC"/>
    <w:rsid w:val="002E20E3"/>
    <w:rsid w:val="002E33E9"/>
    <w:rsid w:val="002E3791"/>
    <w:rsid w:val="002E3973"/>
    <w:rsid w:val="002E3C18"/>
    <w:rsid w:val="002E4951"/>
    <w:rsid w:val="002E49D5"/>
    <w:rsid w:val="002E4B67"/>
    <w:rsid w:val="002E4B8C"/>
    <w:rsid w:val="002E4D4D"/>
    <w:rsid w:val="002E5C51"/>
    <w:rsid w:val="002E73C4"/>
    <w:rsid w:val="002E73CC"/>
    <w:rsid w:val="002E7604"/>
    <w:rsid w:val="002E7645"/>
    <w:rsid w:val="002E7E11"/>
    <w:rsid w:val="002E7E26"/>
    <w:rsid w:val="002F0369"/>
    <w:rsid w:val="002F07B7"/>
    <w:rsid w:val="002F08C7"/>
    <w:rsid w:val="002F0B2E"/>
    <w:rsid w:val="002F1085"/>
    <w:rsid w:val="002F1A19"/>
    <w:rsid w:val="002F1D1D"/>
    <w:rsid w:val="002F2CEB"/>
    <w:rsid w:val="002F450E"/>
    <w:rsid w:val="002F4C3C"/>
    <w:rsid w:val="002F4FAF"/>
    <w:rsid w:val="002F52FB"/>
    <w:rsid w:val="002F5BB6"/>
    <w:rsid w:val="002F6189"/>
    <w:rsid w:val="002F6323"/>
    <w:rsid w:val="002F67D5"/>
    <w:rsid w:val="002F71E8"/>
    <w:rsid w:val="002F7440"/>
    <w:rsid w:val="002F7549"/>
    <w:rsid w:val="002F7644"/>
    <w:rsid w:val="002F77CD"/>
    <w:rsid w:val="002F7C72"/>
    <w:rsid w:val="00301548"/>
    <w:rsid w:val="0030167E"/>
    <w:rsid w:val="00301AE6"/>
    <w:rsid w:val="0030227F"/>
    <w:rsid w:val="00302451"/>
    <w:rsid w:val="0030293E"/>
    <w:rsid w:val="0030303B"/>
    <w:rsid w:val="00303909"/>
    <w:rsid w:val="00304387"/>
    <w:rsid w:val="00304BBD"/>
    <w:rsid w:val="0030509B"/>
    <w:rsid w:val="0030585B"/>
    <w:rsid w:val="00305B3B"/>
    <w:rsid w:val="00306715"/>
    <w:rsid w:val="003067F2"/>
    <w:rsid w:val="003072FF"/>
    <w:rsid w:val="00307759"/>
    <w:rsid w:val="003078BC"/>
    <w:rsid w:val="00307A09"/>
    <w:rsid w:val="00307AB9"/>
    <w:rsid w:val="003102E9"/>
    <w:rsid w:val="003103C8"/>
    <w:rsid w:val="00310761"/>
    <w:rsid w:val="00311360"/>
    <w:rsid w:val="00311C2F"/>
    <w:rsid w:val="0031213C"/>
    <w:rsid w:val="00312156"/>
    <w:rsid w:val="00312694"/>
    <w:rsid w:val="003128C0"/>
    <w:rsid w:val="00312C2C"/>
    <w:rsid w:val="00312E64"/>
    <w:rsid w:val="00313D02"/>
    <w:rsid w:val="00313D15"/>
    <w:rsid w:val="00313F47"/>
    <w:rsid w:val="00314338"/>
    <w:rsid w:val="003143AC"/>
    <w:rsid w:val="003156B8"/>
    <w:rsid w:val="00316536"/>
    <w:rsid w:val="00316875"/>
    <w:rsid w:val="00316B40"/>
    <w:rsid w:val="0031708D"/>
    <w:rsid w:val="0031728E"/>
    <w:rsid w:val="0031753B"/>
    <w:rsid w:val="00317541"/>
    <w:rsid w:val="0031783F"/>
    <w:rsid w:val="00317A1D"/>
    <w:rsid w:val="0032038F"/>
    <w:rsid w:val="00320BF8"/>
    <w:rsid w:val="00321910"/>
    <w:rsid w:val="00322B04"/>
    <w:rsid w:val="00322F20"/>
    <w:rsid w:val="00322F62"/>
    <w:rsid w:val="00323291"/>
    <w:rsid w:val="00323DBA"/>
    <w:rsid w:val="00324AFE"/>
    <w:rsid w:val="00324D1F"/>
    <w:rsid w:val="00324E35"/>
    <w:rsid w:val="0032512D"/>
    <w:rsid w:val="00325C78"/>
    <w:rsid w:val="00325CF3"/>
    <w:rsid w:val="00325E77"/>
    <w:rsid w:val="003270B8"/>
    <w:rsid w:val="00327537"/>
    <w:rsid w:val="00331A67"/>
    <w:rsid w:val="00331B85"/>
    <w:rsid w:val="00331EC9"/>
    <w:rsid w:val="003324B4"/>
    <w:rsid w:val="00332716"/>
    <w:rsid w:val="00332E6E"/>
    <w:rsid w:val="003340D5"/>
    <w:rsid w:val="003342A9"/>
    <w:rsid w:val="003344CA"/>
    <w:rsid w:val="0033453F"/>
    <w:rsid w:val="00334CA3"/>
    <w:rsid w:val="0033534F"/>
    <w:rsid w:val="00335466"/>
    <w:rsid w:val="0033547D"/>
    <w:rsid w:val="00336027"/>
    <w:rsid w:val="003364ED"/>
    <w:rsid w:val="003367B0"/>
    <w:rsid w:val="00336826"/>
    <w:rsid w:val="0033687E"/>
    <w:rsid w:val="003376CE"/>
    <w:rsid w:val="0034026E"/>
    <w:rsid w:val="0034080D"/>
    <w:rsid w:val="00341953"/>
    <w:rsid w:val="00341A36"/>
    <w:rsid w:val="00341B58"/>
    <w:rsid w:val="003428FC"/>
    <w:rsid w:val="003432E3"/>
    <w:rsid w:val="003432ED"/>
    <w:rsid w:val="00343649"/>
    <w:rsid w:val="00343FB3"/>
    <w:rsid w:val="003447B8"/>
    <w:rsid w:val="0034495E"/>
    <w:rsid w:val="003450EB"/>
    <w:rsid w:val="003452EE"/>
    <w:rsid w:val="00345C36"/>
    <w:rsid w:val="00345C40"/>
    <w:rsid w:val="00346277"/>
    <w:rsid w:val="00347567"/>
    <w:rsid w:val="003479C0"/>
    <w:rsid w:val="00347B67"/>
    <w:rsid w:val="003501A6"/>
    <w:rsid w:val="003506CC"/>
    <w:rsid w:val="00350B30"/>
    <w:rsid w:val="003510EF"/>
    <w:rsid w:val="003511A6"/>
    <w:rsid w:val="0035122C"/>
    <w:rsid w:val="00352001"/>
    <w:rsid w:val="003521B8"/>
    <w:rsid w:val="00352A65"/>
    <w:rsid w:val="00353713"/>
    <w:rsid w:val="00353DDA"/>
    <w:rsid w:val="003542D8"/>
    <w:rsid w:val="0035478A"/>
    <w:rsid w:val="0035495D"/>
    <w:rsid w:val="00354A2B"/>
    <w:rsid w:val="00354CBF"/>
    <w:rsid w:val="00355058"/>
    <w:rsid w:val="003553E4"/>
    <w:rsid w:val="00355519"/>
    <w:rsid w:val="00355609"/>
    <w:rsid w:val="003557AD"/>
    <w:rsid w:val="0035582B"/>
    <w:rsid w:val="00355BDA"/>
    <w:rsid w:val="00355E96"/>
    <w:rsid w:val="00355F21"/>
    <w:rsid w:val="00356161"/>
    <w:rsid w:val="00356485"/>
    <w:rsid w:val="00356C07"/>
    <w:rsid w:val="003572FD"/>
    <w:rsid w:val="00357FBF"/>
    <w:rsid w:val="0036098E"/>
    <w:rsid w:val="003614AA"/>
    <w:rsid w:val="00361563"/>
    <w:rsid w:val="0036159B"/>
    <w:rsid w:val="00361C24"/>
    <w:rsid w:val="00362638"/>
    <w:rsid w:val="003634C6"/>
    <w:rsid w:val="003635D2"/>
    <w:rsid w:val="0036387B"/>
    <w:rsid w:val="003642A3"/>
    <w:rsid w:val="00364BAD"/>
    <w:rsid w:val="00364D02"/>
    <w:rsid w:val="00364F01"/>
    <w:rsid w:val="003657FE"/>
    <w:rsid w:val="003659DC"/>
    <w:rsid w:val="00365A29"/>
    <w:rsid w:val="00366502"/>
    <w:rsid w:val="00366A35"/>
    <w:rsid w:val="00366A8D"/>
    <w:rsid w:val="003679F4"/>
    <w:rsid w:val="00370130"/>
    <w:rsid w:val="0037029F"/>
    <w:rsid w:val="00370524"/>
    <w:rsid w:val="003708BB"/>
    <w:rsid w:val="00370CD6"/>
    <w:rsid w:val="003711BF"/>
    <w:rsid w:val="00371477"/>
    <w:rsid w:val="0037155E"/>
    <w:rsid w:val="0037186E"/>
    <w:rsid w:val="00372D6A"/>
    <w:rsid w:val="00374154"/>
    <w:rsid w:val="00374601"/>
    <w:rsid w:val="0037523D"/>
    <w:rsid w:val="00375F9B"/>
    <w:rsid w:val="0037714F"/>
    <w:rsid w:val="003773BA"/>
    <w:rsid w:val="00380ABE"/>
    <w:rsid w:val="00380DFD"/>
    <w:rsid w:val="00381497"/>
    <w:rsid w:val="00381A66"/>
    <w:rsid w:val="00381D65"/>
    <w:rsid w:val="0038204A"/>
    <w:rsid w:val="00382C29"/>
    <w:rsid w:val="00382FFD"/>
    <w:rsid w:val="003845FF"/>
    <w:rsid w:val="00384830"/>
    <w:rsid w:val="00384E8F"/>
    <w:rsid w:val="00384EAA"/>
    <w:rsid w:val="00384FEA"/>
    <w:rsid w:val="003852F9"/>
    <w:rsid w:val="0038561B"/>
    <w:rsid w:val="003861CA"/>
    <w:rsid w:val="00386708"/>
    <w:rsid w:val="003868B5"/>
    <w:rsid w:val="003868F3"/>
    <w:rsid w:val="00386AC3"/>
    <w:rsid w:val="0038731B"/>
    <w:rsid w:val="00387E1F"/>
    <w:rsid w:val="00387F4B"/>
    <w:rsid w:val="003908EB"/>
    <w:rsid w:val="003913EA"/>
    <w:rsid w:val="00391B14"/>
    <w:rsid w:val="003927E9"/>
    <w:rsid w:val="00393C6E"/>
    <w:rsid w:val="003942DF"/>
    <w:rsid w:val="0039431C"/>
    <w:rsid w:val="003946B3"/>
    <w:rsid w:val="00394FF7"/>
    <w:rsid w:val="00395D1A"/>
    <w:rsid w:val="00396946"/>
    <w:rsid w:val="00396B95"/>
    <w:rsid w:val="00396C99"/>
    <w:rsid w:val="00396CFE"/>
    <w:rsid w:val="003975D3"/>
    <w:rsid w:val="00397AE9"/>
    <w:rsid w:val="00397D88"/>
    <w:rsid w:val="003A0266"/>
    <w:rsid w:val="003A06D4"/>
    <w:rsid w:val="003A070F"/>
    <w:rsid w:val="003A0F1B"/>
    <w:rsid w:val="003A16DC"/>
    <w:rsid w:val="003A2AFF"/>
    <w:rsid w:val="003A2C99"/>
    <w:rsid w:val="003A356B"/>
    <w:rsid w:val="003A43BF"/>
    <w:rsid w:val="003A4713"/>
    <w:rsid w:val="003A4FFA"/>
    <w:rsid w:val="003A5623"/>
    <w:rsid w:val="003A56F7"/>
    <w:rsid w:val="003A724F"/>
    <w:rsid w:val="003A72EE"/>
    <w:rsid w:val="003B0652"/>
    <w:rsid w:val="003B0661"/>
    <w:rsid w:val="003B0BE9"/>
    <w:rsid w:val="003B14C3"/>
    <w:rsid w:val="003B16AA"/>
    <w:rsid w:val="003B1956"/>
    <w:rsid w:val="003B1CCD"/>
    <w:rsid w:val="003B2E13"/>
    <w:rsid w:val="003B31CB"/>
    <w:rsid w:val="003B3EFF"/>
    <w:rsid w:val="003B406A"/>
    <w:rsid w:val="003B42A2"/>
    <w:rsid w:val="003B4EA4"/>
    <w:rsid w:val="003B59E6"/>
    <w:rsid w:val="003B5A66"/>
    <w:rsid w:val="003B5C87"/>
    <w:rsid w:val="003B5D92"/>
    <w:rsid w:val="003B61A6"/>
    <w:rsid w:val="003B70BA"/>
    <w:rsid w:val="003B7142"/>
    <w:rsid w:val="003B7C72"/>
    <w:rsid w:val="003C00F9"/>
    <w:rsid w:val="003C0176"/>
    <w:rsid w:val="003C077C"/>
    <w:rsid w:val="003C16A5"/>
    <w:rsid w:val="003C1E7D"/>
    <w:rsid w:val="003C1ED4"/>
    <w:rsid w:val="003C1F5B"/>
    <w:rsid w:val="003C202C"/>
    <w:rsid w:val="003C203C"/>
    <w:rsid w:val="003C2B1B"/>
    <w:rsid w:val="003C3C43"/>
    <w:rsid w:val="003C3D62"/>
    <w:rsid w:val="003C47AC"/>
    <w:rsid w:val="003C4860"/>
    <w:rsid w:val="003C5358"/>
    <w:rsid w:val="003C5798"/>
    <w:rsid w:val="003C6031"/>
    <w:rsid w:val="003C62C0"/>
    <w:rsid w:val="003C6375"/>
    <w:rsid w:val="003C68FC"/>
    <w:rsid w:val="003C72D9"/>
    <w:rsid w:val="003C7498"/>
    <w:rsid w:val="003C782D"/>
    <w:rsid w:val="003C7BC2"/>
    <w:rsid w:val="003D0377"/>
    <w:rsid w:val="003D05F4"/>
    <w:rsid w:val="003D0A28"/>
    <w:rsid w:val="003D13E5"/>
    <w:rsid w:val="003D17C1"/>
    <w:rsid w:val="003D2154"/>
    <w:rsid w:val="003D2231"/>
    <w:rsid w:val="003D2F99"/>
    <w:rsid w:val="003D3783"/>
    <w:rsid w:val="003D379D"/>
    <w:rsid w:val="003D37B0"/>
    <w:rsid w:val="003D3FF5"/>
    <w:rsid w:val="003D4941"/>
    <w:rsid w:val="003D4A67"/>
    <w:rsid w:val="003D5988"/>
    <w:rsid w:val="003D5B2D"/>
    <w:rsid w:val="003D643F"/>
    <w:rsid w:val="003D6B7A"/>
    <w:rsid w:val="003D6D04"/>
    <w:rsid w:val="003E0119"/>
    <w:rsid w:val="003E1137"/>
    <w:rsid w:val="003E12A6"/>
    <w:rsid w:val="003E1458"/>
    <w:rsid w:val="003E1FC6"/>
    <w:rsid w:val="003E20AE"/>
    <w:rsid w:val="003E2D42"/>
    <w:rsid w:val="003E3CD9"/>
    <w:rsid w:val="003E3DD9"/>
    <w:rsid w:val="003E3F3D"/>
    <w:rsid w:val="003E451F"/>
    <w:rsid w:val="003E47BA"/>
    <w:rsid w:val="003E49B2"/>
    <w:rsid w:val="003E4AE9"/>
    <w:rsid w:val="003E4B3E"/>
    <w:rsid w:val="003E5A68"/>
    <w:rsid w:val="003E5AC4"/>
    <w:rsid w:val="003E5AE7"/>
    <w:rsid w:val="003E6D99"/>
    <w:rsid w:val="003E7347"/>
    <w:rsid w:val="003F02E9"/>
    <w:rsid w:val="003F044A"/>
    <w:rsid w:val="003F045F"/>
    <w:rsid w:val="003F062B"/>
    <w:rsid w:val="003F0AC1"/>
    <w:rsid w:val="003F0B87"/>
    <w:rsid w:val="003F129B"/>
    <w:rsid w:val="003F14C6"/>
    <w:rsid w:val="003F1B50"/>
    <w:rsid w:val="003F49A7"/>
    <w:rsid w:val="003F5570"/>
    <w:rsid w:val="003F6FD0"/>
    <w:rsid w:val="003F71A0"/>
    <w:rsid w:val="003F78A2"/>
    <w:rsid w:val="003F7AD6"/>
    <w:rsid w:val="003F7B93"/>
    <w:rsid w:val="00400F41"/>
    <w:rsid w:val="004010DE"/>
    <w:rsid w:val="00401760"/>
    <w:rsid w:val="00401C0D"/>
    <w:rsid w:val="00401F7D"/>
    <w:rsid w:val="0040204A"/>
    <w:rsid w:val="00402C75"/>
    <w:rsid w:val="00403387"/>
    <w:rsid w:val="0040350D"/>
    <w:rsid w:val="00403770"/>
    <w:rsid w:val="004040CF"/>
    <w:rsid w:val="004046E5"/>
    <w:rsid w:val="00406087"/>
    <w:rsid w:val="004069FB"/>
    <w:rsid w:val="00406E00"/>
    <w:rsid w:val="0040756E"/>
    <w:rsid w:val="004078EF"/>
    <w:rsid w:val="004104E4"/>
    <w:rsid w:val="004111FA"/>
    <w:rsid w:val="00411341"/>
    <w:rsid w:val="004114EE"/>
    <w:rsid w:val="0041162D"/>
    <w:rsid w:val="0041190D"/>
    <w:rsid w:val="004119BE"/>
    <w:rsid w:val="00411C31"/>
    <w:rsid w:val="00412436"/>
    <w:rsid w:val="00412C23"/>
    <w:rsid w:val="00412C87"/>
    <w:rsid w:val="00412FDF"/>
    <w:rsid w:val="00413076"/>
    <w:rsid w:val="004130B7"/>
    <w:rsid w:val="004136F1"/>
    <w:rsid w:val="00413A16"/>
    <w:rsid w:val="0041408C"/>
    <w:rsid w:val="00414D3B"/>
    <w:rsid w:val="00415689"/>
    <w:rsid w:val="00415729"/>
    <w:rsid w:val="00415FFE"/>
    <w:rsid w:val="00416399"/>
    <w:rsid w:val="004164F4"/>
    <w:rsid w:val="00416AF2"/>
    <w:rsid w:val="00417019"/>
    <w:rsid w:val="004178CF"/>
    <w:rsid w:val="00417EA5"/>
    <w:rsid w:val="00420748"/>
    <w:rsid w:val="004208C0"/>
    <w:rsid w:val="00421639"/>
    <w:rsid w:val="00421AF3"/>
    <w:rsid w:val="00422291"/>
    <w:rsid w:val="00422789"/>
    <w:rsid w:val="00422A86"/>
    <w:rsid w:val="0042336C"/>
    <w:rsid w:val="00423923"/>
    <w:rsid w:val="004245C9"/>
    <w:rsid w:val="00424817"/>
    <w:rsid w:val="00424C75"/>
    <w:rsid w:val="004256FD"/>
    <w:rsid w:val="00425F4E"/>
    <w:rsid w:val="00426DE1"/>
    <w:rsid w:val="00426F73"/>
    <w:rsid w:val="0043033E"/>
    <w:rsid w:val="004305AB"/>
    <w:rsid w:val="00432194"/>
    <w:rsid w:val="0043224A"/>
    <w:rsid w:val="00432822"/>
    <w:rsid w:val="00432AAF"/>
    <w:rsid w:val="00433239"/>
    <w:rsid w:val="004338D7"/>
    <w:rsid w:val="00433945"/>
    <w:rsid w:val="0043406E"/>
    <w:rsid w:val="00434137"/>
    <w:rsid w:val="004354F6"/>
    <w:rsid w:val="00435636"/>
    <w:rsid w:val="0043576B"/>
    <w:rsid w:val="00435C20"/>
    <w:rsid w:val="00435C4B"/>
    <w:rsid w:val="004361CB"/>
    <w:rsid w:val="00436424"/>
    <w:rsid w:val="00437E83"/>
    <w:rsid w:val="0044007F"/>
    <w:rsid w:val="004402F5"/>
    <w:rsid w:val="00440A65"/>
    <w:rsid w:val="00440DB2"/>
    <w:rsid w:val="00440FE8"/>
    <w:rsid w:val="004411F2"/>
    <w:rsid w:val="00441551"/>
    <w:rsid w:val="0044176C"/>
    <w:rsid w:val="00441DD5"/>
    <w:rsid w:val="00442AFA"/>
    <w:rsid w:val="00442FA4"/>
    <w:rsid w:val="00443766"/>
    <w:rsid w:val="00443F71"/>
    <w:rsid w:val="00443FC5"/>
    <w:rsid w:val="00444401"/>
    <w:rsid w:val="0044457D"/>
    <w:rsid w:val="0044473E"/>
    <w:rsid w:val="00444AC3"/>
    <w:rsid w:val="0044543B"/>
    <w:rsid w:val="004458CF"/>
    <w:rsid w:val="004467F5"/>
    <w:rsid w:val="004475B5"/>
    <w:rsid w:val="0044774E"/>
    <w:rsid w:val="0044799A"/>
    <w:rsid w:val="00447A36"/>
    <w:rsid w:val="00447D71"/>
    <w:rsid w:val="00447DDD"/>
    <w:rsid w:val="00450164"/>
    <w:rsid w:val="0045024F"/>
    <w:rsid w:val="00450409"/>
    <w:rsid w:val="004510ED"/>
    <w:rsid w:val="004514F8"/>
    <w:rsid w:val="00451C48"/>
    <w:rsid w:val="0045255F"/>
    <w:rsid w:val="00453B66"/>
    <w:rsid w:val="00453BB9"/>
    <w:rsid w:val="00453D2C"/>
    <w:rsid w:val="0045486D"/>
    <w:rsid w:val="00454872"/>
    <w:rsid w:val="00454FC9"/>
    <w:rsid w:val="00455102"/>
    <w:rsid w:val="00455FE4"/>
    <w:rsid w:val="00456E7A"/>
    <w:rsid w:val="00457041"/>
    <w:rsid w:val="00457C2A"/>
    <w:rsid w:val="004602E1"/>
    <w:rsid w:val="004608C4"/>
    <w:rsid w:val="00461FE8"/>
    <w:rsid w:val="004623BE"/>
    <w:rsid w:val="00462C92"/>
    <w:rsid w:val="00463219"/>
    <w:rsid w:val="00464835"/>
    <w:rsid w:val="00464916"/>
    <w:rsid w:val="004651DC"/>
    <w:rsid w:val="00465294"/>
    <w:rsid w:val="004653AE"/>
    <w:rsid w:val="004658FF"/>
    <w:rsid w:val="00465FA3"/>
    <w:rsid w:val="0046612B"/>
    <w:rsid w:val="00466140"/>
    <w:rsid w:val="00466556"/>
    <w:rsid w:val="00466582"/>
    <w:rsid w:val="00466754"/>
    <w:rsid w:val="0046700C"/>
    <w:rsid w:val="00467619"/>
    <w:rsid w:val="00470623"/>
    <w:rsid w:val="00471254"/>
    <w:rsid w:val="00471804"/>
    <w:rsid w:val="00471E86"/>
    <w:rsid w:val="00472073"/>
    <w:rsid w:val="004722D8"/>
    <w:rsid w:val="00472523"/>
    <w:rsid w:val="00472756"/>
    <w:rsid w:val="00472EF5"/>
    <w:rsid w:val="004730E7"/>
    <w:rsid w:val="00473508"/>
    <w:rsid w:val="00473735"/>
    <w:rsid w:val="00473DF1"/>
    <w:rsid w:val="0047463F"/>
    <w:rsid w:val="0047499F"/>
    <w:rsid w:val="00474C57"/>
    <w:rsid w:val="00475AD6"/>
    <w:rsid w:val="00475D69"/>
    <w:rsid w:val="00475F86"/>
    <w:rsid w:val="00476117"/>
    <w:rsid w:val="00476AF7"/>
    <w:rsid w:val="004770FE"/>
    <w:rsid w:val="0048053E"/>
    <w:rsid w:val="00480921"/>
    <w:rsid w:val="00480A32"/>
    <w:rsid w:val="00480CEF"/>
    <w:rsid w:val="00481904"/>
    <w:rsid w:val="00481D54"/>
    <w:rsid w:val="00482097"/>
    <w:rsid w:val="0048256A"/>
    <w:rsid w:val="00482B6E"/>
    <w:rsid w:val="004832A5"/>
    <w:rsid w:val="004832C1"/>
    <w:rsid w:val="00483816"/>
    <w:rsid w:val="00483965"/>
    <w:rsid w:val="004842A2"/>
    <w:rsid w:val="00484426"/>
    <w:rsid w:val="00484667"/>
    <w:rsid w:val="00484C4C"/>
    <w:rsid w:val="004855D9"/>
    <w:rsid w:val="004855FD"/>
    <w:rsid w:val="00485CC8"/>
    <w:rsid w:val="0048632F"/>
    <w:rsid w:val="004865FB"/>
    <w:rsid w:val="0048779A"/>
    <w:rsid w:val="00490076"/>
    <w:rsid w:val="00490932"/>
    <w:rsid w:val="00490E8C"/>
    <w:rsid w:val="00490F6D"/>
    <w:rsid w:val="00491313"/>
    <w:rsid w:val="00491542"/>
    <w:rsid w:val="0049211D"/>
    <w:rsid w:val="00492733"/>
    <w:rsid w:val="00493226"/>
    <w:rsid w:val="0049345B"/>
    <w:rsid w:val="00493766"/>
    <w:rsid w:val="004937B8"/>
    <w:rsid w:val="00493B97"/>
    <w:rsid w:val="00494C92"/>
    <w:rsid w:val="004950A8"/>
    <w:rsid w:val="00495775"/>
    <w:rsid w:val="00496113"/>
    <w:rsid w:val="004962C7"/>
    <w:rsid w:val="00496AE9"/>
    <w:rsid w:val="00497199"/>
    <w:rsid w:val="00497A91"/>
    <w:rsid w:val="00497F23"/>
    <w:rsid w:val="004A0541"/>
    <w:rsid w:val="004A0569"/>
    <w:rsid w:val="004A07F3"/>
    <w:rsid w:val="004A0C3A"/>
    <w:rsid w:val="004A1D36"/>
    <w:rsid w:val="004A220C"/>
    <w:rsid w:val="004A2213"/>
    <w:rsid w:val="004A228D"/>
    <w:rsid w:val="004A2690"/>
    <w:rsid w:val="004A2E42"/>
    <w:rsid w:val="004A35BE"/>
    <w:rsid w:val="004A545D"/>
    <w:rsid w:val="004A59F7"/>
    <w:rsid w:val="004A5DF0"/>
    <w:rsid w:val="004A70D9"/>
    <w:rsid w:val="004A745C"/>
    <w:rsid w:val="004A7F06"/>
    <w:rsid w:val="004B0597"/>
    <w:rsid w:val="004B0A88"/>
    <w:rsid w:val="004B0CD0"/>
    <w:rsid w:val="004B1085"/>
    <w:rsid w:val="004B1C6B"/>
    <w:rsid w:val="004B1C8B"/>
    <w:rsid w:val="004B2015"/>
    <w:rsid w:val="004B274B"/>
    <w:rsid w:val="004B2C6F"/>
    <w:rsid w:val="004B376C"/>
    <w:rsid w:val="004B3B46"/>
    <w:rsid w:val="004B3CC5"/>
    <w:rsid w:val="004B42A1"/>
    <w:rsid w:val="004B4351"/>
    <w:rsid w:val="004B44F9"/>
    <w:rsid w:val="004B4D64"/>
    <w:rsid w:val="004B5305"/>
    <w:rsid w:val="004B650B"/>
    <w:rsid w:val="004B652A"/>
    <w:rsid w:val="004B6985"/>
    <w:rsid w:val="004B6F22"/>
    <w:rsid w:val="004B6F7B"/>
    <w:rsid w:val="004B7001"/>
    <w:rsid w:val="004C05C3"/>
    <w:rsid w:val="004C0609"/>
    <w:rsid w:val="004C0AA8"/>
    <w:rsid w:val="004C0BEC"/>
    <w:rsid w:val="004C1967"/>
    <w:rsid w:val="004C237E"/>
    <w:rsid w:val="004C2B5A"/>
    <w:rsid w:val="004C38F5"/>
    <w:rsid w:val="004C4280"/>
    <w:rsid w:val="004C4B2A"/>
    <w:rsid w:val="004C4B3B"/>
    <w:rsid w:val="004C4E86"/>
    <w:rsid w:val="004C4EE8"/>
    <w:rsid w:val="004C4F26"/>
    <w:rsid w:val="004C5259"/>
    <w:rsid w:val="004C54E6"/>
    <w:rsid w:val="004C5736"/>
    <w:rsid w:val="004C5B6C"/>
    <w:rsid w:val="004C5CAE"/>
    <w:rsid w:val="004C5D57"/>
    <w:rsid w:val="004C664E"/>
    <w:rsid w:val="004C73AC"/>
    <w:rsid w:val="004C7461"/>
    <w:rsid w:val="004D00B6"/>
    <w:rsid w:val="004D01B4"/>
    <w:rsid w:val="004D0548"/>
    <w:rsid w:val="004D0E0F"/>
    <w:rsid w:val="004D0F01"/>
    <w:rsid w:val="004D200F"/>
    <w:rsid w:val="004D211E"/>
    <w:rsid w:val="004D2C60"/>
    <w:rsid w:val="004D2FBB"/>
    <w:rsid w:val="004D36A5"/>
    <w:rsid w:val="004D3D24"/>
    <w:rsid w:val="004D3DA2"/>
    <w:rsid w:val="004D44B0"/>
    <w:rsid w:val="004D49E9"/>
    <w:rsid w:val="004D4DEF"/>
    <w:rsid w:val="004D57EA"/>
    <w:rsid w:val="004D63F4"/>
    <w:rsid w:val="004D64B7"/>
    <w:rsid w:val="004D65AE"/>
    <w:rsid w:val="004D6620"/>
    <w:rsid w:val="004D665F"/>
    <w:rsid w:val="004D66B7"/>
    <w:rsid w:val="004D67C7"/>
    <w:rsid w:val="004D6BED"/>
    <w:rsid w:val="004D6F29"/>
    <w:rsid w:val="004D7314"/>
    <w:rsid w:val="004D76E0"/>
    <w:rsid w:val="004E1F32"/>
    <w:rsid w:val="004E20DF"/>
    <w:rsid w:val="004E21B5"/>
    <w:rsid w:val="004E260C"/>
    <w:rsid w:val="004E333F"/>
    <w:rsid w:val="004E4080"/>
    <w:rsid w:val="004E455B"/>
    <w:rsid w:val="004E46C9"/>
    <w:rsid w:val="004E4A78"/>
    <w:rsid w:val="004E4E21"/>
    <w:rsid w:val="004E5358"/>
    <w:rsid w:val="004E548A"/>
    <w:rsid w:val="004E58D2"/>
    <w:rsid w:val="004E5AED"/>
    <w:rsid w:val="004E6623"/>
    <w:rsid w:val="004E6EC7"/>
    <w:rsid w:val="004E7E1F"/>
    <w:rsid w:val="004F14EA"/>
    <w:rsid w:val="004F23FB"/>
    <w:rsid w:val="004F2674"/>
    <w:rsid w:val="004F26FA"/>
    <w:rsid w:val="004F2854"/>
    <w:rsid w:val="004F39E8"/>
    <w:rsid w:val="004F4022"/>
    <w:rsid w:val="004F47B4"/>
    <w:rsid w:val="004F4D92"/>
    <w:rsid w:val="004F4FA2"/>
    <w:rsid w:val="004F59A1"/>
    <w:rsid w:val="004F5B04"/>
    <w:rsid w:val="004F5E37"/>
    <w:rsid w:val="004F6AD1"/>
    <w:rsid w:val="004F6DD0"/>
    <w:rsid w:val="004F6F74"/>
    <w:rsid w:val="004F704D"/>
    <w:rsid w:val="004F7CA2"/>
    <w:rsid w:val="004F7D3F"/>
    <w:rsid w:val="004F7DEA"/>
    <w:rsid w:val="0050073E"/>
    <w:rsid w:val="00500A3E"/>
    <w:rsid w:val="00500F48"/>
    <w:rsid w:val="0050116C"/>
    <w:rsid w:val="005012A4"/>
    <w:rsid w:val="00501343"/>
    <w:rsid w:val="00501D9C"/>
    <w:rsid w:val="00503251"/>
    <w:rsid w:val="00504CBF"/>
    <w:rsid w:val="00504D8F"/>
    <w:rsid w:val="00505EB6"/>
    <w:rsid w:val="00506F3D"/>
    <w:rsid w:val="0051039D"/>
    <w:rsid w:val="00510763"/>
    <w:rsid w:val="00510CDC"/>
    <w:rsid w:val="005112B3"/>
    <w:rsid w:val="00511695"/>
    <w:rsid w:val="00511BF5"/>
    <w:rsid w:val="00512224"/>
    <w:rsid w:val="00512F69"/>
    <w:rsid w:val="00513E2C"/>
    <w:rsid w:val="00513ED1"/>
    <w:rsid w:val="00514AFC"/>
    <w:rsid w:val="00515AFE"/>
    <w:rsid w:val="0051612D"/>
    <w:rsid w:val="0051637B"/>
    <w:rsid w:val="005164FB"/>
    <w:rsid w:val="00516BF0"/>
    <w:rsid w:val="00517430"/>
    <w:rsid w:val="00517991"/>
    <w:rsid w:val="00520A4C"/>
    <w:rsid w:val="0052120B"/>
    <w:rsid w:val="005214FE"/>
    <w:rsid w:val="00521DC8"/>
    <w:rsid w:val="00522128"/>
    <w:rsid w:val="005222C8"/>
    <w:rsid w:val="005230AE"/>
    <w:rsid w:val="00523569"/>
    <w:rsid w:val="00523784"/>
    <w:rsid w:val="00523F01"/>
    <w:rsid w:val="0052446E"/>
    <w:rsid w:val="00525312"/>
    <w:rsid w:val="005262FE"/>
    <w:rsid w:val="00526637"/>
    <w:rsid w:val="00526C34"/>
    <w:rsid w:val="0052703B"/>
    <w:rsid w:val="005279F6"/>
    <w:rsid w:val="005300D5"/>
    <w:rsid w:val="00530C1E"/>
    <w:rsid w:val="005312B5"/>
    <w:rsid w:val="0053197D"/>
    <w:rsid w:val="00532136"/>
    <w:rsid w:val="0053216B"/>
    <w:rsid w:val="0053218D"/>
    <w:rsid w:val="00532876"/>
    <w:rsid w:val="00532A98"/>
    <w:rsid w:val="00532BF1"/>
    <w:rsid w:val="00532EBF"/>
    <w:rsid w:val="005339F2"/>
    <w:rsid w:val="00535691"/>
    <w:rsid w:val="00535CB4"/>
    <w:rsid w:val="00535F38"/>
    <w:rsid w:val="005362E7"/>
    <w:rsid w:val="0053728F"/>
    <w:rsid w:val="00537354"/>
    <w:rsid w:val="00537C1B"/>
    <w:rsid w:val="005418CB"/>
    <w:rsid w:val="00541A02"/>
    <w:rsid w:val="00541EA0"/>
    <w:rsid w:val="005424C2"/>
    <w:rsid w:val="00542BB4"/>
    <w:rsid w:val="0054346A"/>
    <w:rsid w:val="00543762"/>
    <w:rsid w:val="00544D35"/>
    <w:rsid w:val="0054524E"/>
    <w:rsid w:val="00545387"/>
    <w:rsid w:val="00545775"/>
    <w:rsid w:val="00545C1B"/>
    <w:rsid w:val="0054607F"/>
    <w:rsid w:val="00546354"/>
    <w:rsid w:val="00546760"/>
    <w:rsid w:val="005476F1"/>
    <w:rsid w:val="00547841"/>
    <w:rsid w:val="00547BBE"/>
    <w:rsid w:val="00547FC6"/>
    <w:rsid w:val="00550EF0"/>
    <w:rsid w:val="00551B8C"/>
    <w:rsid w:val="00551E73"/>
    <w:rsid w:val="00551F49"/>
    <w:rsid w:val="0055222F"/>
    <w:rsid w:val="005523EB"/>
    <w:rsid w:val="0055283D"/>
    <w:rsid w:val="00553785"/>
    <w:rsid w:val="00554056"/>
    <w:rsid w:val="00555211"/>
    <w:rsid w:val="005554B8"/>
    <w:rsid w:val="00555922"/>
    <w:rsid w:val="00555B3D"/>
    <w:rsid w:val="00555E65"/>
    <w:rsid w:val="0055603C"/>
    <w:rsid w:val="0055674C"/>
    <w:rsid w:val="00556C9C"/>
    <w:rsid w:val="0055737B"/>
    <w:rsid w:val="0055738C"/>
    <w:rsid w:val="005579E7"/>
    <w:rsid w:val="00557FE3"/>
    <w:rsid w:val="0056082A"/>
    <w:rsid w:val="00560EFB"/>
    <w:rsid w:val="00561965"/>
    <w:rsid w:val="00561FC5"/>
    <w:rsid w:val="00562D63"/>
    <w:rsid w:val="005630B2"/>
    <w:rsid w:val="00563588"/>
    <w:rsid w:val="005643C2"/>
    <w:rsid w:val="0056460C"/>
    <w:rsid w:val="005647B2"/>
    <w:rsid w:val="005647B3"/>
    <w:rsid w:val="00564D7A"/>
    <w:rsid w:val="00565511"/>
    <w:rsid w:val="00565BAD"/>
    <w:rsid w:val="00565D54"/>
    <w:rsid w:val="0056634B"/>
    <w:rsid w:val="005666D2"/>
    <w:rsid w:val="005668B6"/>
    <w:rsid w:val="00566AA9"/>
    <w:rsid w:val="00566B6A"/>
    <w:rsid w:val="00566E51"/>
    <w:rsid w:val="00567072"/>
    <w:rsid w:val="005675A6"/>
    <w:rsid w:val="00567C60"/>
    <w:rsid w:val="0057044A"/>
    <w:rsid w:val="00570A63"/>
    <w:rsid w:val="00570C0E"/>
    <w:rsid w:val="00570F34"/>
    <w:rsid w:val="0057145D"/>
    <w:rsid w:val="00571468"/>
    <w:rsid w:val="005717BC"/>
    <w:rsid w:val="00571A4B"/>
    <w:rsid w:val="00572AEA"/>
    <w:rsid w:val="00572F33"/>
    <w:rsid w:val="005738AF"/>
    <w:rsid w:val="005741CE"/>
    <w:rsid w:val="005743CA"/>
    <w:rsid w:val="0057497E"/>
    <w:rsid w:val="005749CF"/>
    <w:rsid w:val="00574EA4"/>
    <w:rsid w:val="00574FDC"/>
    <w:rsid w:val="005751A4"/>
    <w:rsid w:val="00575824"/>
    <w:rsid w:val="00575F5B"/>
    <w:rsid w:val="00576067"/>
    <w:rsid w:val="005762D4"/>
    <w:rsid w:val="005762E7"/>
    <w:rsid w:val="005766A7"/>
    <w:rsid w:val="005767CB"/>
    <w:rsid w:val="00576FEE"/>
    <w:rsid w:val="00577379"/>
    <w:rsid w:val="00577704"/>
    <w:rsid w:val="0058028B"/>
    <w:rsid w:val="00580597"/>
    <w:rsid w:val="00580A28"/>
    <w:rsid w:val="005816E7"/>
    <w:rsid w:val="005817FA"/>
    <w:rsid w:val="00581A54"/>
    <w:rsid w:val="0058223E"/>
    <w:rsid w:val="0058285B"/>
    <w:rsid w:val="00583269"/>
    <w:rsid w:val="005833E8"/>
    <w:rsid w:val="0058370A"/>
    <w:rsid w:val="00583A29"/>
    <w:rsid w:val="00584294"/>
    <w:rsid w:val="00584D30"/>
    <w:rsid w:val="00584F2B"/>
    <w:rsid w:val="00585784"/>
    <w:rsid w:val="00585A35"/>
    <w:rsid w:val="00585BDF"/>
    <w:rsid w:val="00585CD1"/>
    <w:rsid w:val="005861E6"/>
    <w:rsid w:val="00586DB4"/>
    <w:rsid w:val="0058776E"/>
    <w:rsid w:val="005878EB"/>
    <w:rsid w:val="00587E75"/>
    <w:rsid w:val="00587FE7"/>
    <w:rsid w:val="00590130"/>
    <w:rsid w:val="00590323"/>
    <w:rsid w:val="0059050F"/>
    <w:rsid w:val="00590A1F"/>
    <w:rsid w:val="00590CBC"/>
    <w:rsid w:val="00590E71"/>
    <w:rsid w:val="005910DB"/>
    <w:rsid w:val="005912AF"/>
    <w:rsid w:val="005916EA"/>
    <w:rsid w:val="005917B8"/>
    <w:rsid w:val="005918C5"/>
    <w:rsid w:val="00591C6B"/>
    <w:rsid w:val="005921E9"/>
    <w:rsid w:val="00595722"/>
    <w:rsid w:val="00595844"/>
    <w:rsid w:val="005960C2"/>
    <w:rsid w:val="00596403"/>
    <w:rsid w:val="005965F7"/>
    <w:rsid w:val="0059681B"/>
    <w:rsid w:val="00597095"/>
    <w:rsid w:val="0059713F"/>
    <w:rsid w:val="005975D2"/>
    <w:rsid w:val="00597724"/>
    <w:rsid w:val="00597762"/>
    <w:rsid w:val="005977DA"/>
    <w:rsid w:val="0059788E"/>
    <w:rsid w:val="005978FF"/>
    <w:rsid w:val="005A025E"/>
    <w:rsid w:val="005A04B1"/>
    <w:rsid w:val="005A0889"/>
    <w:rsid w:val="005A1A26"/>
    <w:rsid w:val="005A203C"/>
    <w:rsid w:val="005A2537"/>
    <w:rsid w:val="005A26FD"/>
    <w:rsid w:val="005A2E67"/>
    <w:rsid w:val="005A38F3"/>
    <w:rsid w:val="005A39D6"/>
    <w:rsid w:val="005A3D7B"/>
    <w:rsid w:val="005A47C7"/>
    <w:rsid w:val="005A5079"/>
    <w:rsid w:val="005A5339"/>
    <w:rsid w:val="005A58D2"/>
    <w:rsid w:val="005A6292"/>
    <w:rsid w:val="005A6308"/>
    <w:rsid w:val="005A67C0"/>
    <w:rsid w:val="005A686F"/>
    <w:rsid w:val="005A7045"/>
    <w:rsid w:val="005A770A"/>
    <w:rsid w:val="005B04E0"/>
    <w:rsid w:val="005B1B37"/>
    <w:rsid w:val="005B279C"/>
    <w:rsid w:val="005B2DCD"/>
    <w:rsid w:val="005B33C2"/>
    <w:rsid w:val="005B36E6"/>
    <w:rsid w:val="005B37F9"/>
    <w:rsid w:val="005B3879"/>
    <w:rsid w:val="005B39EB"/>
    <w:rsid w:val="005B3C21"/>
    <w:rsid w:val="005B42DE"/>
    <w:rsid w:val="005B4A1B"/>
    <w:rsid w:val="005B4B89"/>
    <w:rsid w:val="005B4BF5"/>
    <w:rsid w:val="005B4E12"/>
    <w:rsid w:val="005B5098"/>
    <w:rsid w:val="005B686B"/>
    <w:rsid w:val="005B705A"/>
    <w:rsid w:val="005B728C"/>
    <w:rsid w:val="005B7CA0"/>
    <w:rsid w:val="005C042F"/>
    <w:rsid w:val="005C1ED8"/>
    <w:rsid w:val="005C25BE"/>
    <w:rsid w:val="005C2C73"/>
    <w:rsid w:val="005C4515"/>
    <w:rsid w:val="005C46C4"/>
    <w:rsid w:val="005C47D8"/>
    <w:rsid w:val="005C50A0"/>
    <w:rsid w:val="005C50F1"/>
    <w:rsid w:val="005C57BA"/>
    <w:rsid w:val="005C5E41"/>
    <w:rsid w:val="005C66A3"/>
    <w:rsid w:val="005C6B44"/>
    <w:rsid w:val="005C732C"/>
    <w:rsid w:val="005C733C"/>
    <w:rsid w:val="005C79D4"/>
    <w:rsid w:val="005D010E"/>
    <w:rsid w:val="005D03C3"/>
    <w:rsid w:val="005D0937"/>
    <w:rsid w:val="005D148F"/>
    <w:rsid w:val="005D1B66"/>
    <w:rsid w:val="005D1C35"/>
    <w:rsid w:val="005D21BB"/>
    <w:rsid w:val="005D2290"/>
    <w:rsid w:val="005D22DD"/>
    <w:rsid w:val="005D2CF6"/>
    <w:rsid w:val="005D336F"/>
    <w:rsid w:val="005D4278"/>
    <w:rsid w:val="005D470F"/>
    <w:rsid w:val="005D48B1"/>
    <w:rsid w:val="005D4B94"/>
    <w:rsid w:val="005D4F98"/>
    <w:rsid w:val="005D5EE0"/>
    <w:rsid w:val="005D5F04"/>
    <w:rsid w:val="005D6BE9"/>
    <w:rsid w:val="005D719A"/>
    <w:rsid w:val="005D741A"/>
    <w:rsid w:val="005D7965"/>
    <w:rsid w:val="005E035A"/>
    <w:rsid w:val="005E050F"/>
    <w:rsid w:val="005E07C3"/>
    <w:rsid w:val="005E0835"/>
    <w:rsid w:val="005E17B7"/>
    <w:rsid w:val="005E182D"/>
    <w:rsid w:val="005E1C37"/>
    <w:rsid w:val="005E1CF6"/>
    <w:rsid w:val="005E3A7C"/>
    <w:rsid w:val="005E5471"/>
    <w:rsid w:val="005E5E1F"/>
    <w:rsid w:val="005E745A"/>
    <w:rsid w:val="005E7D48"/>
    <w:rsid w:val="005F0C08"/>
    <w:rsid w:val="005F0DDF"/>
    <w:rsid w:val="005F0FD0"/>
    <w:rsid w:val="005F1680"/>
    <w:rsid w:val="005F1F0B"/>
    <w:rsid w:val="005F2206"/>
    <w:rsid w:val="005F24B2"/>
    <w:rsid w:val="005F2564"/>
    <w:rsid w:val="005F3019"/>
    <w:rsid w:val="005F3532"/>
    <w:rsid w:val="005F40D1"/>
    <w:rsid w:val="005F4BD8"/>
    <w:rsid w:val="005F52B8"/>
    <w:rsid w:val="005F6210"/>
    <w:rsid w:val="005F6923"/>
    <w:rsid w:val="005F7A8E"/>
    <w:rsid w:val="0060020D"/>
    <w:rsid w:val="0060036E"/>
    <w:rsid w:val="00600D86"/>
    <w:rsid w:val="0060202E"/>
    <w:rsid w:val="00602BBE"/>
    <w:rsid w:val="00602E2F"/>
    <w:rsid w:val="00603703"/>
    <w:rsid w:val="00603ABD"/>
    <w:rsid w:val="00603B66"/>
    <w:rsid w:val="00603C1E"/>
    <w:rsid w:val="00603C37"/>
    <w:rsid w:val="00604B5C"/>
    <w:rsid w:val="006051F2"/>
    <w:rsid w:val="00606731"/>
    <w:rsid w:val="00606CB1"/>
    <w:rsid w:val="00607F82"/>
    <w:rsid w:val="006102E3"/>
    <w:rsid w:val="006103B4"/>
    <w:rsid w:val="00610F95"/>
    <w:rsid w:val="00611447"/>
    <w:rsid w:val="0061182D"/>
    <w:rsid w:val="00611923"/>
    <w:rsid w:val="006122C5"/>
    <w:rsid w:val="00612A02"/>
    <w:rsid w:val="00612ABA"/>
    <w:rsid w:val="00613C03"/>
    <w:rsid w:val="00613E37"/>
    <w:rsid w:val="0061402C"/>
    <w:rsid w:val="006148C4"/>
    <w:rsid w:val="0061503A"/>
    <w:rsid w:val="0061555C"/>
    <w:rsid w:val="00615997"/>
    <w:rsid w:val="006161FA"/>
    <w:rsid w:val="00616816"/>
    <w:rsid w:val="0061707F"/>
    <w:rsid w:val="006170CD"/>
    <w:rsid w:val="006175E4"/>
    <w:rsid w:val="00617659"/>
    <w:rsid w:val="00617BAD"/>
    <w:rsid w:val="00617E9F"/>
    <w:rsid w:val="00620638"/>
    <w:rsid w:val="0062092C"/>
    <w:rsid w:val="00620C2E"/>
    <w:rsid w:val="00620F71"/>
    <w:rsid w:val="00621072"/>
    <w:rsid w:val="006211C6"/>
    <w:rsid w:val="006222DF"/>
    <w:rsid w:val="00622567"/>
    <w:rsid w:val="00622662"/>
    <w:rsid w:val="006229E1"/>
    <w:rsid w:val="00622A24"/>
    <w:rsid w:val="00622CD3"/>
    <w:rsid w:val="00623323"/>
    <w:rsid w:val="006240C4"/>
    <w:rsid w:val="00624617"/>
    <w:rsid w:val="00624A63"/>
    <w:rsid w:val="00624F61"/>
    <w:rsid w:val="00624F98"/>
    <w:rsid w:val="006251D9"/>
    <w:rsid w:val="006259C3"/>
    <w:rsid w:val="00625F08"/>
    <w:rsid w:val="006260EA"/>
    <w:rsid w:val="00626D38"/>
    <w:rsid w:val="006270CB"/>
    <w:rsid w:val="00627586"/>
    <w:rsid w:val="00627BA6"/>
    <w:rsid w:val="006310A7"/>
    <w:rsid w:val="00631B5F"/>
    <w:rsid w:val="00632633"/>
    <w:rsid w:val="006326D1"/>
    <w:rsid w:val="006331DD"/>
    <w:rsid w:val="00634B76"/>
    <w:rsid w:val="00634C28"/>
    <w:rsid w:val="00634E72"/>
    <w:rsid w:val="00635084"/>
    <w:rsid w:val="00635688"/>
    <w:rsid w:val="00635A40"/>
    <w:rsid w:val="00635DB2"/>
    <w:rsid w:val="006363F7"/>
    <w:rsid w:val="00637A3E"/>
    <w:rsid w:val="00640294"/>
    <w:rsid w:val="006411F5"/>
    <w:rsid w:val="00641917"/>
    <w:rsid w:val="00642318"/>
    <w:rsid w:val="00642850"/>
    <w:rsid w:val="006433A7"/>
    <w:rsid w:val="0064361F"/>
    <w:rsid w:val="00643987"/>
    <w:rsid w:val="00643C53"/>
    <w:rsid w:val="006443B3"/>
    <w:rsid w:val="00644A8B"/>
    <w:rsid w:val="006450C7"/>
    <w:rsid w:val="00645289"/>
    <w:rsid w:val="00645E02"/>
    <w:rsid w:val="00645E95"/>
    <w:rsid w:val="006465F8"/>
    <w:rsid w:val="00647250"/>
    <w:rsid w:val="00647272"/>
    <w:rsid w:val="006473FF"/>
    <w:rsid w:val="00647686"/>
    <w:rsid w:val="006478A0"/>
    <w:rsid w:val="006479D1"/>
    <w:rsid w:val="00647A3A"/>
    <w:rsid w:val="00647DAF"/>
    <w:rsid w:val="00650478"/>
    <w:rsid w:val="0065096C"/>
    <w:rsid w:val="00650F12"/>
    <w:rsid w:val="00651380"/>
    <w:rsid w:val="006523F4"/>
    <w:rsid w:val="00652567"/>
    <w:rsid w:val="00652B66"/>
    <w:rsid w:val="00653218"/>
    <w:rsid w:val="006533B8"/>
    <w:rsid w:val="00653484"/>
    <w:rsid w:val="006538E3"/>
    <w:rsid w:val="00653F1F"/>
    <w:rsid w:val="00654504"/>
    <w:rsid w:val="0065455C"/>
    <w:rsid w:val="006545B7"/>
    <w:rsid w:val="00654D81"/>
    <w:rsid w:val="00655BD0"/>
    <w:rsid w:val="00656AD6"/>
    <w:rsid w:val="00656C82"/>
    <w:rsid w:val="00656E7E"/>
    <w:rsid w:val="006570A4"/>
    <w:rsid w:val="00657D63"/>
    <w:rsid w:val="00657EC1"/>
    <w:rsid w:val="006605DE"/>
    <w:rsid w:val="00660B30"/>
    <w:rsid w:val="00660D77"/>
    <w:rsid w:val="00660E33"/>
    <w:rsid w:val="00661491"/>
    <w:rsid w:val="00661955"/>
    <w:rsid w:val="00661CC3"/>
    <w:rsid w:val="00661DC7"/>
    <w:rsid w:val="00661DD6"/>
    <w:rsid w:val="00661E85"/>
    <w:rsid w:val="006621D4"/>
    <w:rsid w:val="00662880"/>
    <w:rsid w:val="00662D2A"/>
    <w:rsid w:val="00662E9A"/>
    <w:rsid w:val="006631CD"/>
    <w:rsid w:val="00663852"/>
    <w:rsid w:val="00663B0D"/>
    <w:rsid w:val="00663FAB"/>
    <w:rsid w:val="0066455A"/>
    <w:rsid w:val="00664572"/>
    <w:rsid w:val="0066501A"/>
    <w:rsid w:val="0066553B"/>
    <w:rsid w:val="00665555"/>
    <w:rsid w:val="006656D4"/>
    <w:rsid w:val="00665A66"/>
    <w:rsid w:val="006662D5"/>
    <w:rsid w:val="00666363"/>
    <w:rsid w:val="006664BC"/>
    <w:rsid w:val="006667CC"/>
    <w:rsid w:val="006674A0"/>
    <w:rsid w:val="0066768F"/>
    <w:rsid w:val="00667BA3"/>
    <w:rsid w:val="00667DDB"/>
    <w:rsid w:val="00667E36"/>
    <w:rsid w:val="00667E71"/>
    <w:rsid w:val="0067027F"/>
    <w:rsid w:val="00670923"/>
    <w:rsid w:val="00670940"/>
    <w:rsid w:val="0067097B"/>
    <w:rsid w:val="00670E9B"/>
    <w:rsid w:val="00672354"/>
    <w:rsid w:val="006726C2"/>
    <w:rsid w:val="00672773"/>
    <w:rsid w:val="00673C6C"/>
    <w:rsid w:val="0067402D"/>
    <w:rsid w:val="0067442A"/>
    <w:rsid w:val="00674566"/>
    <w:rsid w:val="0067513E"/>
    <w:rsid w:val="006754E5"/>
    <w:rsid w:val="00675E81"/>
    <w:rsid w:val="00676634"/>
    <w:rsid w:val="00676E51"/>
    <w:rsid w:val="0067709F"/>
    <w:rsid w:val="006771F7"/>
    <w:rsid w:val="00677310"/>
    <w:rsid w:val="00677410"/>
    <w:rsid w:val="006777E0"/>
    <w:rsid w:val="006779CD"/>
    <w:rsid w:val="00677FF5"/>
    <w:rsid w:val="00680012"/>
    <w:rsid w:val="0068112B"/>
    <w:rsid w:val="0068146D"/>
    <w:rsid w:val="00682669"/>
    <w:rsid w:val="00683036"/>
    <w:rsid w:val="00684612"/>
    <w:rsid w:val="00684909"/>
    <w:rsid w:val="00685552"/>
    <w:rsid w:val="006855DB"/>
    <w:rsid w:val="00685655"/>
    <w:rsid w:val="00686094"/>
    <w:rsid w:val="00686C9B"/>
    <w:rsid w:val="006877E7"/>
    <w:rsid w:val="00687A5C"/>
    <w:rsid w:val="0069028A"/>
    <w:rsid w:val="006913BB"/>
    <w:rsid w:val="0069159F"/>
    <w:rsid w:val="006916A5"/>
    <w:rsid w:val="006919AB"/>
    <w:rsid w:val="00691EA7"/>
    <w:rsid w:val="006924C6"/>
    <w:rsid w:val="00692ACF"/>
    <w:rsid w:val="0069342C"/>
    <w:rsid w:val="0069365B"/>
    <w:rsid w:val="006938A6"/>
    <w:rsid w:val="00693950"/>
    <w:rsid w:val="00694006"/>
    <w:rsid w:val="0069488A"/>
    <w:rsid w:val="00694E26"/>
    <w:rsid w:val="006979DE"/>
    <w:rsid w:val="006A0015"/>
    <w:rsid w:val="006A0A61"/>
    <w:rsid w:val="006A0AC3"/>
    <w:rsid w:val="006A0E5D"/>
    <w:rsid w:val="006A2C87"/>
    <w:rsid w:val="006A2E29"/>
    <w:rsid w:val="006A3A66"/>
    <w:rsid w:val="006A3B3B"/>
    <w:rsid w:val="006A4029"/>
    <w:rsid w:val="006A42BC"/>
    <w:rsid w:val="006A4C96"/>
    <w:rsid w:val="006A4FFA"/>
    <w:rsid w:val="006A546E"/>
    <w:rsid w:val="006A584B"/>
    <w:rsid w:val="006A6981"/>
    <w:rsid w:val="006A6B80"/>
    <w:rsid w:val="006A6CC2"/>
    <w:rsid w:val="006A7161"/>
    <w:rsid w:val="006A7E24"/>
    <w:rsid w:val="006A7E7F"/>
    <w:rsid w:val="006B0038"/>
    <w:rsid w:val="006B03DF"/>
    <w:rsid w:val="006B04CD"/>
    <w:rsid w:val="006B0855"/>
    <w:rsid w:val="006B0E44"/>
    <w:rsid w:val="006B12CB"/>
    <w:rsid w:val="006B174F"/>
    <w:rsid w:val="006B20B4"/>
    <w:rsid w:val="006B2511"/>
    <w:rsid w:val="006B30B6"/>
    <w:rsid w:val="006B311E"/>
    <w:rsid w:val="006B32B1"/>
    <w:rsid w:val="006B34EE"/>
    <w:rsid w:val="006B364F"/>
    <w:rsid w:val="006B42F9"/>
    <w:rsid w:val="006B4FCC"/>
    <w:rsid w:val="006B53A6"/>
    <w:rsid w:val="006B58AB"/>
    <w:rsid w:val="006B5C06"/>
    <w:rsid w:val="006B6311"/>
    <w:rsid w:val="006B75B1"/>
    <w:rsid w:val="006B7958"/>
    <w:rsid w:val="006C0910"/>
    <w:rsid w:val="006C0A1B"/>
    <w:rsid w:val="006C1DC9"/>
    <w:rsid w:val="006C1FB4"/>
    <w:rsid w:val="006C21AB"/>
    <w:rsid w:val="006C25A9"/>
    <w:rsid w:val="006C2925"/>
    <w:rsid w:val="006C2BB2"/>
    <w:rsid w:val="006C33F2"/>
    <w:rsid w:val="006C3BE9"/>
    <w:rsid w:val="006C4849"/>
    <w:rsid w:val="006C4BA9"/>
    <w:rsid w:val="006C5146"/>
    <w:rsid w:val="006C6CA1"/>
    <w:rsid w:val="006C7715"/>
    <w:rsid w:val="006C799C"/>
    <w:rsid w:val="006C7A6C"/>
    <w:rsid w:val="006C7D09"/>
    <w:rsid w:val="006D007F"/>
    <w:rsid w:val="006D091C"/>
    <w:rsid w:val="006D1222"/>
    <w:rsid w:val="006D14EE"/>
    <w:rsid w:val="006D19CC"/>
    <w:rsid w:val="006D2552"/>
    <w:rsid w:val="006D282D"/>
    <w:rsid w:val="006D2DC6"/>
    <w:rsid w:val="006D328F"/>
    <w:rsid w:val="006D36BA"/>
    <w:rsid w:val="006D3A2F"/>
    <w:rsid w:val="006D4095"/>
    <w:rsid w:val="006D46E3"/>
    <w:rsid w:val="006D4B96"/>
    <w:rsid w:val="006D5726"/>
    <w:rsid w:val="006D5945"/>
    <w:rsid w:val="006D5C60"/>
    <w:rsid w:val="006D5E60"/>
    <w:rsid w:val="006D7534"/>
    <w:rsid w:val="006D794F"/>
    <w:rsid w:val="006D798F"/>
    <w:rsid w:val="006D7B40"/>
    <w:rsid w:val="006E08CB"/>
    <w:rsid w:val="006E15BD"/>
    <w:rsid w:val="006E18A7"/>
    <w:rsid w:val="006E2E06"/>
    <w:rsid w:val="006E3AB4"/>
    <w:rsid w:val="006E4904"/>
    <w:rsid w:val="006E4976"/>
    <w:rsid w:val="006E4CFB"/>
    <w:rsid w:val="006E540E"/>
    <w:rsid w:val="006E55B1"/>
    <w:rsid w:val="006E5879"/>
    <w:rsid w:val="006E5C46"/>
    <w:rsid w:val="006E5DB4"/>
    <w:rsid w:val="006E73DC"/>
    <w:rsid w:val="006E7DEE"/>
    <w:rsid w:val="006F00E9"/>
    <w:rsid w:val="006F05B1"/>
    <w:rsid w:val="006F1A2F"/>
    <w:rsid w:val="006F1D1A"/>
    <w:rsid w:val="006F2C63"/>
    <w:rsid w:val="006F3237"/>
    <w:rsid w:val="006F43DE"/>
    <w:rsid w:val="006F4417"/>
    <w:rsid w:val="006F44CF"/>
    <w:rsid w:val="006F4A53"/>
    <w:rsid w:val="006F586D"/>
    <w:rsid w:val="006F5AD4"/>
    <w:rsid w:val="006F6909"/>
    <w:rsid w:val="006F74BB"/>
    <w:rsid w:val="006F7ADE"/>
    <w:rsid w:val="006F7B9C"/>
    <w:rsid w:val="006F7E8E"/>
    <w:rsid w:val="00700127"/>
    <w:rsid w:val="00700EA5"/>
    <w:rsid w:val="0070112B"/>
    <w:rsid w:val="0070112F"/>
    <w:rsid w:val="00701CCF"/>
    <w:rsid w:val="007030F1"/>
    <w:rsid w:val="00703A01"/>
    <w:rsid w:val="00703D55"/>
    <w:rsid w:val="00704149"/>
    <w:rsid w:val="00704300"/>
    <w:rsid w:val="007043F6"/>
    <w:rsid w:val="00704694"/>
    <w:rsid w:val="00704869"/>
    <w:rsid w:val="0070495D"/>
    <w:rsid w:val="00705866"/>
    <w:rsid w:val="00705D60"/>
    <w:rsid w:val="00705DFB"/>
    <w:rsid w:val="00706198"/>
    <w:rsid w:val="00706364"/>
    <w:rsid w:val="007063FA"/>
    <w:rsid w:val="007071B9"/>
    <w:rsid w:val="00707316"/>
    <w:rsid w:val="007074FE"/>
    <w:rsid w:val="00711EBB"/>
    <w:rsid w:val="00712031"/>
    <w:rsid w:val="00712CFF"/>
    <w:rsid w:val="00712E8E"/>
    <w:rsid w:val="007130DC"/>
    <w:rsid w:val="00713214"/>
    <w:rsid w:val="00713816"/>
    <w:rsid w:val="00713AE6"/>
    <w:rsid w:val="00713DC2"/>
    <w:rsid w:val="00713E49"/>
    <w:rsid w:val="0071400D"/>
    <w:rsid w:val="0071446E"/>
    <w:rsid w:val="00714E52"/>
    <w:rsid w:val="00715333"/>
    <w:rsid w:val="0071563B"/>
    <w:rsid w:val="007158AD"/>
    <w:rsid w:val="0071613B"/>
    <w:rsid w:val="007165C8"/>
    <w:rsid w:val="00716D16"/>
    <w:rsid w:val="0071713D"/>
    <w:rsid w:val="00720136"/>
    <w:rsid w:val="00720867"/>
    <w:rsid w:val="007211BD"/>
    <w:rsid w:val="00721284"/>
    <w:rsid w:val="00721A2A"/>
    <w:rsid w:val="0072232E"/>
    <w:rsid w:val="007223FA"/>
    <w:rsid w:val="00722E31"/>
    <w:rsid w:val="007234F3"/>
    <w:rsid w:val="007247E8"/>
    <w:rsid w:val="00724B62"/>
    <w:rsid w:val="00724BBE"/>
    <w:rsid w:val="00724EB0"/>
    <w:rsid w:val="007250C6"/>
    <w:rsid w:val="007257F7"/>
    <w:rsid w:val="007259B0"/>
    <w:rsid w:val="00725C60"/>
    <w:rsid w:val="00725DEF"/>
    <w:rsid w:val="007262CB"/>
    <w:rsid w:val="007271A5"/>
    <w:rsid w:val="007271B8"/>
    <w:rsid w:val="007275A9"/>
    <w:rsid w:val="0073024E"/>
    <w:rsid w:val="00730697"/>
    <w:rsid w:val="0073135E"/>
    <w:rsid w:val="00731753"/>
    <w:rsid w:val="00731DE8"/>
    <w:rsid w:val="007325F7"/>
    <w:rsid w:val="00732D47"/>
    <w:rsid w:val="0073399C"/>
    <w:rsid w:val="00733E90"/>
    <w:rsid w:val="00734414"/>
    <w:rsid w:val="007344A8"/>
    <w:rsid w:val="00734D32"/>
    <w:rsid w:val="00736121"/>
    <w:rsid w:val="0073736E"/>
    <w:rsid w:val="0073758D"/>
    <w:rsid w:val="00737AFF"/>
    <w:rsid w:val="007406B7"/>
    <w:rsid w:val="0074085C"/>
    <w:rsid w:val="00741485"/>
    <w:rsid w:val="00741904"/>
    <w:rsid w:val="00741C3A"/>
    <w:rsid w:val="0074240E"/>
    <w:rsid w:val="007424D0"/>
    <w:rsid w:val="007427D7"/>
    <w:rsid w:val="0074284F"/>
    <w:rsid w:val="007438D8"/>
    <w:rsid w:val="00743D59"/>
    <w:rsid w:val="00743FA8"/>
    <w:rsid w:val="007443F3"/>
    <w:rsid w:val="0074467E"/>
    <w:rsid w:val="00744B85"/>
    <w:rsid w:val="00744D40"/>
    <w:rsid w:val="00744E08"/>
    <w:rsid w:val="007453CB"/>
    <w:rsid w:val="00745455"/>
    <w:rsid w:val="00745BB7"/>
    <w:rsid w:val="00747468"/>
    <w:rsid w:val="0074761B"/>
    <w:rsid w:val="00747D8A"/>
    <w:rsid w:val="00750A0D"/>
    <w:rsid w:val="00750DAB"/>
    <w:rsid w:val="007534B3"/>
    <w:rsid w:val="0075352F"/>
    <w:rsid w:val="00753681"/>
    <w:rsid w:val="00753CDC"/>
    <w:rsid w:val="00754A9B"/>
    <w:rsid w:val="007556CC"/>
    <w:rsid w:val="007557E7"/>
    <w:rsid w:val="00755D24"/>
    <w:rsid w:val="00756383"/>
    <w:rsid w:val="0075792B"/>
    <w:rsid w:val="00757A8E"/>
    <w:rsid w:val="00757E57"/>
    <w:rsid w:val="00757FAF"/>
    <w:rsid w:val="00760738"/>
    <w:rsid w:val="007609BA"/>
    <w:rsid w:val="00760D0F"/>
    <w:rsid w:val="00761414"/>
    <w:rsid w:val="00761B7D"/>
    <w:rsid w:val="0076234E"/>
    <w:rsid w:val="007623A4"/>
    <w:rsid w:val="00763532"/>
    <w:rsid w:val="00763D6A"/>
    <w:rsid w:val="0076408D"/>
    <w:rsid w:val="00764174"/>
    <w:rsid w:val="007641AF"/>
    <w:rsid w:val="007641F1"/>
    <w:rsid w:val="00764AA6"/>
    <w:rsid w:val="00764E5D"/>
    <w:rsid w:val="00764F08"/>
    <w:rsid w:val="0076539A"/>
    <w:rsid w:val="00765632"/>
    <w:rsid w:val="007668C1"/>
    <w:rsid w:val="00766B44"/>
    <w:rsid w:val="0077027A"/>
    <w:rsid w:val="00770D33"/>
    <w:rsid w:val="007718BB"/>
    <w:rsid w:val="00771E19"/>
    <w:rsid w:val="007722A9"/>
    <w:rsid w:val="00772D0A"/>
    <w:rsid w:val="00773AB8"/>
    <w:rsid w:val="0077425D"/>
    <w:rsid w:val="0077476C"/>
    <w:rsid w:val="00774C3B"/>
    <w:rsid w:val="007757F9"/>
    <w:rsid w:val="00775931"/>
    <w:rsid w:val="00775AEA"/>
    <w:rsid w:val="00775CE6"/>
    <w:rsid w:val="007760F6"/>
    <w:rsid w:val="00776AC1"/>
    <w:rsid w:val="00776BD8"/>
    <w:rsid w:val="00776F6F"/>
    <w:rsid w:val="00777A50"/>
    <w:rsid w:val="0078006D"/>
    <w:rsid w:val="00780575"/>
    <w:rsid w:val="00780B2A"/>
    <w:rsid w:val="007810CE"/>
    <w:rsid w:val="00781618"/>
    <w:rsid w:val="00782135"/>
    <w:rsid w:val="00782379"/>
    <w:rsid w:val="007825C2"/>
    <w:rsid w:val="007835AB"/>
    <w:rsid w:val="007838F9"/>
    <w:rsid w:val="00783A6C"/>
    <w:rsid w:val="00783FAF"/>
    <w:rsid w:val="00784499"/>
    <w:rsid w:val="00784568"/>
    <w:rsid w:val="007845B7"/>
    <w:rsid w:val="0078534D"/>
    <w:rsid w:val="00786B60"/>
    <w:rsid w:val="007872D6"/>
    <w:rsid w:val="00787DEA"/>
    <w:rsid w:val="00787E58"/>
    <w:rsid w:val="007907A6"/>
    <w:rsid w:val="00791153"/>
    <w:rsid w:val="00791718"/>
    <w:rsid w:val="00791A76"/>
    <w:rsid w:val="00791A92"/>
    <w:rsid w:val="00791B6A"/>
    <w:rsid w:val="00791DAB"/>
    <w:rsid w:val="007929F5"/>
    <w:rsid w:val="00792DB9"/>
    <w:rsid w:val="007933F9"/>
    <w:rsid w:val="007955AF"/>
    <w:rsid w:val="0079606B"/>
    <w:rsid w:val="007962E3"/>
    <w:rsid w:val="00796461"/>
    <w:rsid w:val="0079649F"/>
    <w:rsid w:val="00796AFC"/>
    <w:rsid w:val="0079704B"/>
    <w:rsid w:val="00797525"/>
    <w:rsid w:val="00797635"/>
    <w:rsid w:val="007A0251"/>
    <w:rsid w:val="007A047E"/>
    <w:rsid w:val="007A1475"/>
    <w:rsid w:val="007A18F5"/>
    <w:rsid w:val="007A1D4F"/>
    <w:rsid w:val="007A1D5D"/>
    <w:rsid w:val="007A2067"/>
    <w:rsid w:val="007A29AA"/>
    <w:rsid w:val="007A2B00"/>
    <w:rsid w:val="007A328D"/>
    <w:rsid w:val="007A34DD"/>
    <w:rsid w:val="007A3A27"/>
    <w:rsid w:val="007A3E46"/>
    <w:rsid w:val="007A3E71"/>
    <w:rsid w:val="007A3F81"/>
    <w:rsid w:val="007A405F"/>
    <w:rsid w:val="007A649A"/>
    <w:rsid w:val="007A6C5D"/>
    <w:rsid w:val="007A718B"/>
    <w:rsid w:val="007A71A6"/>
    <w:rsid w:val="007A76AC"/>
    <w:rsid w:val="007A76DA"/>
    <w:rsid w:val="007A7CE0"/>
    <w:rsid w:val="007B0967"/>
    <w:rsid w:val="007B0A3C"/>
    <w:rsid w:val="007B0A9B"/>
    <w:rsid w:val="007B14DA"/>
    <w:rsid w:val="007B1553"/>
    <w:rsid w:val="007B17C5"/>
    <w:rsid w:val="007B1D45"/>
    <w:rsid w:val="007B2997"/>
    <w:rsid w:val="007B2A88"/>
    <w:rsid w:val="007B49CF"/>
    <w:rsid w:val="007B5829"/>
    <w:rsid w:val="007B6E52"/>
    <w:rsid w:val="007B6ED6"/>
    <w:rsid w:val="007B70A3"/>
    <w:rsid w:val="007B71D8"/>
    <w:rsid w:val="007B722F"/>
    <w:rsid w:val="007B791B"/>
    <w:rsid w:val="007B7CC7"/>
    <w:rsid w:val="007C0AB3"/>
    <w:rsid w:val="007C0ADC"/>
    <w:rsid w:val="007C12F3"/>
    <w:rsid w:val="007C1994"/>
    <w:rsid w:val="007C19BE"/>
    <w:rsid w:val="007C1B04"/>
    <w:rsid w:val="007C23D0"/>
    <w:rsid w:val="007C2FBE"/>
    <w:rsid w:val="007C31CB"/>
    <w:rsid w:val="007C35F9"/>
    <w:rsid w:val="007C4C7F"/>
    <w:rsid w:val="007C54FE"/>
    <w:rsid w:val="007C5F11"/>
    <w:rsid w:val="007C6856"/>
    <w:rsid w:val="007C74B7"/>
    <w:rsid w:val="007C7EF0"/>
    <w:rsid w:val="007D0094"/>
    <w:rsid w:val="007D019F"/>
    <w:rsid w:val="007D0362"/>
    <w:rsid w:val="007D04CC"/>
    <w:rsid w:val="007D0CB1"/>
    <w:rsid w:val="007D0E2D"/>
    <w:rsid w:val="007D1684"/>
    <w:rsid w:val="007D1B95"/>
    <w:rsid w:val="007D2153"/>
    <w:rsid w:val="007D38A6"/>
    <w:rsid w:val="007D3E08"/>
    <w:rsid w:val="007D3F0B"/>
    <w:rsid w:val="007D415A"/>
    <w:rsid w:val="007D4570"/>
    <w:rsid w:val="007D4594"/>
    <w:rsid w:val="007D4EDC"/>
    <w:rsid w:val="007D50DB"/>
    <w:rsid w:val="007D547F"/>
    <w:rsid w:val="007D568C"/>
    <w:rsid w:val="007D5862"/>
    <w:rsid w:val="007D61C3"/>
    <w:rsid w:val="007D687C"/>
    <w:rsid w:val="007D711A"/>
    <w:rsid w:val="007D75A3"/>
    <w:rsid w:val="007E0463"/>
    <w:rsid w:val="007E0C03"/>
    <w:rsid w:val="007E0D11"/>
    <w:rsid w:val="007E131A"/>
    <w:rsid w:val="007E1922"/>
    <w:rsid w:val="007E1D24"/>
    <w:rsid w:val="007E21F6"/>
    <w:rsid w:val="007E2D0A"/>
    <w:rsid w:val="007E3217"/>
    <w:rsid w:val="007E3313"/>
    <w:rsid w:val="007E359A"/>
    <w:rsid w:val="007E35A1"/>
    <w:rsid w:val="007E3821"/>
    <w:rsid w:val="007E3F2A"/>
    <w:rsid w:val="007E40FE"/>
    <w:rsid w:val="007E4174"/>
    <w:rsid w:val="007E429E"/>
    <w:rsid w:val="007E48E2"/>
    <w:rsid w:val="007E5470"/>
    <w:rsid w:val="007E59F3"/>
    <w:rsid w:val="007E5C4F"/>
    <w:rsid w:val="007E5EBC"/>
    <w:rsid w:val="007E69E8"/>
    <w:rsid w:val="007E7803"/>
    <w:rsid w:val="007F09A2"/>
    <w:rsid w:val="007F17F4"/>
    <w:rsid w:val="007F1856"/>
    <w:rsid w:val="007F1E5D"/>
    <w:rsid w:val="007F2011"/>
    <w:rsid w:val="007F2046"/>
    <w:rsid w:val="007F20FD"/>
    <w:rsid w:val="007F24E7"/>
    <w:rsid w:val="007F2673"/>
    <w:rsid w:val="007F2DFB"/>
    <w:rsid w:val="007F3222"/>
    <w:rsid w:val="007F381F"/>
    <w:rsid w:val="007F4201"/>
    <w:rsid w:val="007F420E"/>
    <w:rsid w:val="007F42BE"/>
    <w:rsid w:val="007F4B49"/>
    <w:rsid w:val="007F4D59"/>
    <w:rsid w:val="007F666E"/>
    <w:rsid w:val="007F6681"/>
    <w:rsid w:val="007F6CF6"/>
    <w:rsid w:val="007F7705"/>
    <w:rsid w:val="007F7CD9"/>
    <w:rsid w:val="007F7E1F"/>
    <w:rsid w:val="008001AE"/>
    <w:rsid w:val="0080071D"/>
    <w:rsid w:val="008013FA"/>
    <w:rsid w:val="00801702"/>
    <w:rsid w:val="00801B05"/>
    <w:rsid w:val="00801B71"/>
    <w:rsid w:val="008023B9"/>
    <w:rsid w:val="00803A6B"/>
    <w:rsid w:val="00803A81"/>
    <w:rsid w:val="00803B98"/>
    <w:rsid w:val="008045D1"/>
    <w:rsid w:val="0080491E"/>
    <w:rsid w:val="00804981"/>
    <w:rsid w:val="00804FEC"/>
    <w:rsid w:val="00805845"/>
    <w:rsid w:val="008058D4"/>
    <w:rsid w:val="00805BEF"/>
    <w:rsid w:val="008063BA"/>
    <w:rsid w:val="00806792"/>
    <w:rsid w:val="00806B0C"/>
    <w:rsid w:val="008107AF"/>
    <w:rsid w:val="00810D52"/>
    <w:rsid w:val="00810ED5"/>
    <w:rsid w:val="00811767"/>
    <w:rsid w:val="00811BE5"/>
    <w:rsid w:val="008122C8"/>
    <w:rsid w:val="0081262F"/>
    <w:rsid w:val="00813853"/>
    <w:rsid w:val="0081488F"/>
    <w:rsid w:val="00814C15"/>
    <w:rsid w:val="00814CAC"/>
    <w:rsid w:val="00815136"/>
    <w:rsid w:val="0081546C"/>
    <w:rsid w:val="008155A9"/>
    <w:rsid w:val="00815ACD"/>
    <w:rsid w:val="008161EF"/>
    <w:rsid w:val="00816512"/>
    <w:rsid w:val="00817121"/>
    <w:rsid w:val="0081726B"/>
    <w:rsid w:val="008176A7"/>
    <w:rsid w:val="0082027D"/>
    <w:rsid w:val="0082102E"/>
    <w:rsid w:val="00821332"/>
    <w:rsid w:val="00821407"/>
    <w:rsid w:val="00821A78"/>
    <w:rsid w:val="00821DA6"/>
    <w:rsid w:val="00821E92"/>
    <w:rsid w:val="00822141"/>
    <w:rsid w:val="00822214"/>
    <w:rsid w:val="008231BC"/>
    <w:rsid w:val="008233E2"/>
    <w:rsid w:val="00823E73"/>
    <w:rsid w:val="00824BFD"/>
    <w:rsid w:val="00825310"/>
    <w:rsid w:val="00825854"/>
    <w:rsid w:val="00825DCB"/>
    <w:rsid w:val="00826559"/>
    <w:rsid w:val="008266C5"/>
    <w:rsid w:val="00826AA3"/>
    <w:rsid w:val="00827B85"/>
    <w:rsid w:val="00827DFE"/>
    <w:rsid w:val="00827E71"/>
    <w:rsid w:val="008306E2"/>
    <w:rsid w:val="00831211"/>
    <w:rsid w:val="00831276"/>
    <w:rsid w:val="00831578"/>
    <w:rsid w:val="0083183C"/>
    <w:rsid w:val="008318C6"/>
    <w:rsid w:val="00831B2E"/>
    <w:rsid w:val="00831CF1"/>
    <w:rsid w:val="008322F2"/>
    <w:rsid w:val="008335A2"/>
    <w:rsid w:val="00833999"/>
    <w:rsid w:val="00834112"/>
    <w:rsid w:val="0083448F"/>
    <w:rsid w:val="00834990"/>
    <w:rsid w:val="00834A69"/>
    <w:rsid w:val="00834C69"/>
    <w:rsid w:val="00834D5D"/>
    <w:rsid w:val="00834F06"/>
    <w:rsid w:val="00834FAA"/>
    <w:rsid w:val="008353F8"/>
    <w:rsid w:val="0083549F"/>
    <w:rsid w:val="0083569F"/>
    <w:rsid w:val="00835A23"/>
    <w:rsid w:val="00835FD3"/>
    <w:rsid w:val="008361A9"/>
    <w:rsid w:val="008363D9"/>
    <w:rsid w:val="008364FB"/>
    <w:rsid w:val="00836781"/>
    <w:rsid w:val="00836A86"/>
    <w:rsid w:val="008371A4"/>
    <w:rsid w:val="00837D1B"/>
    <w:rsid w:val="008402C5"/>
    <w:rsid w:val="00840751"/>
    <w:rsid w:val="008409C7"/>
    <w:rsid w:val="00840B74"/>
    <w:rsid w:val="00840EAB"/>
    <w:rsid w:val="0084114C"/>
    <w:rsid w:val="00841924"/>
    <w:rsid w:val="00842358"/>
    <w:rsid w:val="008423AE"/>
    <w:rsid w:val="00842CCF"/>
    <w:rsid w:val="008434CD"/>
    <w:rsid w:val="008442D3"/>
    <w:rsid w:val="00844328"/>
    <w:rsid w:val="0084496D"/>
    <w:rsid w:val="00844F06"/>
    <w:rsid w:val="00845024"/>
    <w:rsid w:val="008453C6"/>
    <w:rsid w:val="0084574A"/>
    <w:rsid w:val="00845BD8"/>
    <w:rsid w:val="00845D7C"/>
    <w:rsid w:val="00846724"/>
    <w:rsid w:val="00846B90"/>
    <w:rsid w:val="00846D05"/>
    <w:rsid w:val="008471E1"/>
    <w:rsid w:val="00847288"/>
    <w:rsid w:val="0084751E"/>
    <w:rsid w:val="00847600"/>
    <w:rsid w:val="00847ED0"/>
    <w:rsid w:val="008506B0"/>
    <w:rsid w:val="00851684"/>
    <w:rsid w:val="00851E00"/>
    <w:rsid w:val="00852053"/>
    <w:rsid w:val="0085246C"/>
    <w:rsid w:val="008532B5"/>
    <w:rsid w:val="008538C2"/>
    <w:rsid w:val="00853CCC"/>
    <w:rsid w:val="00853E48"/>
    <w:rsid w:val="00853F63"/>
    <w:rsid w:val="0085585A"/>
    <w:rsid w:val="00855B1D"/>
    <w:rsid w:val="00855BF7"/>
    <w:rsid w:val="00855E87"/>
    <w:rsid w:val="008563D0"/>
    <w:rsid w:val="00856A67"/>
    <w:rsid w:val="00856D24"/>
    <w:rsid w:val="008572C8"/>
    <w:rsid w:val="00857C5E"/>
    <w:rsid w:val="00857DAC"/>
    <w:rsid w:val="0086022C"/>
    <w:rsid w:val="008603B9"/>
    <w:rsid w:val="00860671"/>
    <w:rsid w:val="0086088F"/>
    <w:rsid w:val="008608D0"/>
    <w:rsid w:val="00860ACF"/>
    <w:rsid w:val="00861E13"/>
    <w:rsid w:val="00861E39"/>
    <w:rsid w:val="0086229D"/>
    <w:rsid w:val="00862515"/>
    <w:rsid w:val="00862CF1"/>
    <w:rsid w:val="008634E7"/>
    <w:rsid w:val="008639BE"/>
    <w:rsid w:val="00863DF3"/>
    <w:rsid w:val="008643FE"/>
    <w:rsid w:val="0086623A"/>
    <w:rsid w:val="00866993"/>
    <w:rsid w:val="00866D7E"/>
    <w:rsid w:val="00866DBC"/>
    <w:rsid w:val="00866DEC"/>
    <w:rsid w:val="0086729F"/>
    <w:rsid w:val="008673F9"/>
    <w:rsid w:val="00867E12"/>
    <w:rsid w:val="008703B6"/>
    <w:rsid w:val="00870562"/>
    <w:rsid w:val="00870676"/>
    <w:rsid w:val="0087067D"/>
    <w:rsid w:val="008708DD"/>
    <w:rsid w:val="00871324"/>
    <w:rsid w:val="008714F3"/>
    <w:rsid w:val="008717FB"/>
    <w:rsid w:val="00871B3D"/>
    <w:rsid w:val="00872018"/>
    <w:rsid w:val="008720D5"/>
    <w:rsid w:val="0087211E"/>
    <w:rsid w:val="00872785"/>
    <w:rsid w:val="0087281F"/>
    <w:rsid w:val="00872A6F"/>
    <w:rsid w:val="00872EA8"/>
    <w:rsid w:val="00873201"/>
    <w:rsid w:val="008741C2"/>
    <w:rsid w:val="00874432"/>
    <w:rsid w:val="00874439"/>
    <w:rsid w:val="00874A9B"/>
    <w:rsid w:val="00874E20"/>
    <w:rsid w:val="00874F11"/>
    <w:rsid w:val="00874FDF"/>
    <w:rsid w:val="00875E9A"/>
    <w:rsid w:val="0087601C"/>
    <w:rsid w:val="00877BCE"/>
    <w:rsid w:val="00877EFC"/>
    <w:rsid w:val="00880419"/>
    <w:rsid w:val="00881146"/>
    <w:rsid w:val="00881251"/>
    <w:rsid w:val="008812A9"/>
    <w:rsid w:val="0088149D"/>
    <w:rsid w:val="00881844"/>
    <w:rsid w:val="00881E8A"/>
    <w:rsid w:val="00881EE0"/>
    <w:rsid w:val="008828EE"/>
    <w:rsid w:val="008833A7"/>
    <w:rsid w:val="008836AF"/>
    <w:rsid w:val="00883A75"/>
    <w:rsid w:val="00883E66"/>
    <w:rsid w:val="00884087"/>
    <w:rsid w:val="008842A3"/>
    <w:rsid w:val="0088488C"/>
    <w:rsid w:val="00885276"/>
    <w:rsid w:val="008852C3"/>
    <w:rsid w:val="008858B3"/>
    <w:rsid w:val="00885B8B"/>
    <w:rsid w:val="00885DE2"/>
    <w:rsid w:val="00886D20"/>
    <w:rsid w:val="0089033F"/>
    <w:rsid w:val="00890C65"/>
    <w:rsid w:val="00890D4F"/>
    <w:rsid w:val="00891571"/>
    <w:rsid w:val="008919FF"/>
    <w:rsid w:val="00891E19"/>
    <w:rsid w:val="0089216D"/>
    <w:rsid w:val="00892243"/>
    <w:rsid w:val="00893126"/>
    <w:rsid w:val="00893D49"/>
    <w:rsid w:val="00893D4A"/>
    <w:rsid w:val="0089500E"/>
    <w:rsid w:val="008950DA"/>
    <w:rsid w:val="0089527C"/>
    <w:rsid w:val="008954A9"/>
    <w:rsid w:val="008959E6"/>
    <w:rsid w:val="00896111"/>
    <w:rsid w:val="00896153"/>
    <w:rsid w:val="008962E1"/>
    <w:rsid w:val="00896C9D"/>
    <w:rsid w:val="00896EFD"/>
    <w:rsid w:val="00897B31"/>
    <w:rsid w:val="00897BA8"/>
    <w:rsid w:val="00897C49"/>
    <w:rsid w:val="008A017A"/>
    <w:rsid w:val="008A0201"/>
    <w:rsid w:val="008A1C25"/>
    <w:rsid w:val="008A1FF7"/>
    <w:rsid w:val="008A27B5"/>
    <w:rsid w:val="008A2A32"/>
    <w:rsid w:val="008A2B01"/>
    <w:rsid w:val="008A3576"/>
    <w:rsid w:val="008A3F29"/>
    <w:rsid w:val="008A43BB"/>
    <w:rsid w:val="008A4AF3"/>
    <w:rsid w:val="008A4F67"/>
    <w:rsid w:val="008A56A2"/>
    <w:rsid w:val="008A590C"/>
    <w:rsid w:val="008A63C5"/>
    <w:rsid w:val="008A6441"/>
    <w:rsid w:val="008A69FF"/>
    <w:rsid w:val="008A7263"/>
    <w:rsid w:val="008A73DB"/>
    <w:rsid w:val="008A774D"/>
    <w:rsid w:val="008A7C67"/>
    <w:rsid w:val="008B00DB"/>
    <w:rsid w:val="008B0A95"/>
    <w:rsid w:val="008B0FB1"/>
    <w:rsid w:val="008B17CD"/>
    <w:rsid w:val="008B2F8B"/>
    <w:rsid w:val="008B2FE0"/>
    <w:rsid w:val="008B3815"/>
    <w:rsid w:val="008B3C81"/>
    <w:rsid w:val="008B3CBE"/>
    <w:rsid w:val="008B3CFD"/>
    <w:rsid w:val="008B3EDB"/>
    <w:rsid w:val="008B49FF"/>
    <w:rsid w:val="008B589A"/>
    <w:rsid w:val="008B5B3A"/>
    <w:rsid w:val="008B5DEF"/>
    <w:rsid w:val="008B6250"/>
    <w:rsid w:val="008B691B"/>
    <w:rsid w:val="008B6B03"/>
    <w:rsid w:val="008B6CE8"/>
    <w:rsid w:val="008B6DE5"/>
    <w:rsid w:val="008B6F22"/>
    <w:rsid w:val="008B74CA"/>
    <w:rsid w:val="008B779A"/>
    <w:rsid w:val="008C0BD1"/>
    <w:rsid w:val="008C1105"/>
    <w:rsid w:val="008C20B9"/>
    <w:rsid w:val="008C2A27"/>
    <w:rsid w:val="008C2AE2"/>
    <w:rsid w:val="008C2DD4"/>
    <w:rsid w:val="008C3141"/>
    <w:rsid w:val="008C4776"/>
    <w:rsid w:val="008C4DC6"/>
    <w:rsid w:val="008C5AFB"/>
    <w:rsid w:val="008C6990"/>
    <w:rsid w:val="008C7F42"/>
    <w:rsid w:val="008D0BD9"/>
    <w:rsid w:val="008D0BFA"/>
    <w:rsid w:val="008D0C4D"/>
    <w:rsid w:val="008D13BC"/>
    <w:rsid w:val="008D1AD3"/>
    <w:rsid w:val="008D2596"/>
    <w:rsid w:val="008D3192"/>
    <w:rsid w:val="008D3510"/>
    <w:rsid w:val="008D398C"/>
    <w:rsid w:val="008D3B85"/>
    <w:rsid w:val="008D3FFB"/>
    <w:rsid w:val="008D4554"/>
    <w:rsid w:val="008D4C04"/>
    <w:rsid w:val="008D4FC1"/>
    <w:rsid w:val="008D511F"/>
    <w:rsid w:val="008D568C"/>
    <w:rsid w:val="008D6049"/>
    <w:rsid w:val="008D62AC"/>
    <w:rsid w:val="008D668C"/>
    <w:rsid w:val="008D6963"/>
    <w:rsid w:val="008D69D4"/>
    <w:rsid w:val="008D6CEB"/>
    <w:rsid w:val="008D6FD7"/>
    <w:rsid w:val="008D7309"/>
    <w:rsid w:val="008E0415"/>
    <w:rsid w:val="008E04BF"/>
    <w:rsid w:val="008E07DC"/>
    <w:rsid w:val="008E1412"/>
    <w:rsid w:val="008E2314"/>
    <w:rsid w:val="008E2315"/>
    <w:rsid w:val="008E2470"/>
    <w:rsid w:val="008E2EB2"/>
    <w:rsid w:val="008E35DB"/>
    <w:rsid w:val="008E4109"/>
    <w:rsid w:val="008E4917"/>
    <w:rsid w:val="008E64BF"/>
    <w:rsid w:val="008F04D9"/>
    <w:rsid w:val="008F16B0"/>
    <w:rsid w:val="008F1F0D"/>
    <w:rsid w:val="008F2580"/>
    <w:rsid w:val="008F365C"/>
    <w:rsid w:val="008F3E65"/>
    <w:rsid w:val="008F3F45"/>
    <w:rsid w:val="008F4ABD"/>
    <w:rsid w:val="008F520D"/>
    <w:rsid w:val="008F5910"/>
    <w:rsid w:val="008F5F6A"/>
    <w:rsid w:val="008F743B"/>
    <w:rsid w:val="00901E1B"/>
    <w:rsid w:val="0090265A"/>
    <w:rsid w:val="00903C2B"/>
    <w:rsid w:val="00903D0C"/>
    <w:rsid w:val="00903F66"/>
    <w:rsid w:val="00904277"/>
    <w:rsid w:val="00904AB7"/>
    <w:rsid w:val="0090569B"/>
    <w:rsid w:val="0090576E"/>
    <w:rsid w:val="00905923"/>
    <w:rsid w:val="0090599D"/>
    <w:rsid w:val="00905C7C"/>
    <w:rsid w:val="00905F02"/>
    <w:rsid w:val="0090671F"/>
    <w:rsid w:val="00906B68"/>
    <w:rsid w:val="00906CBD"/>
    <w:rsid w:val="00907597"/>
    <w:rsid w:val="009109AA"/>
    <w:rsid w:val="00910C2C"/>
    <w:rsid w:val="00910CF5"/>
    <w:rsid w:val="009110FE"/>
    <w:rsid w:val="00911387"/>
    <w:rsid w:val="009118AE"/>
    <w:rsid w:val="009122E2"/>
    <w:rsid w:val="009125B0"/>
    <w:rsid w:val="0091299E"/>
    <w:rsid w:val="00912E2B"/>
    <w:rsid w:val="0091318C"/>
    <w:rsid w:val="00913532"/>
    <w:rsid w:val="009142B3"/>
    <w:rsid w:val="00914E9C"/>
    <w:rsid w:val="00915482"/>
    <w:rsid w:val="00915629"/>
    <w:rsid w:val="009156D5"/>
    <w:rsid w:val="00915885"/>
    <w:rsid w:val="00916111"/>
    <w:rsid w:val="00916242"/>
    <w:rsid w:val="009167C0"/>
    <w:rsid w:val="00916865"/>
    <w:rsid w:val="009172B6"/>
    <w:rsid w:val="00917833"/>
    <w:rsid w:val="00917B44"/>
    <w:rsid w:val="00917BC7"/>
    <w:rsid w:val="00917CAD"/>
    <w:rsid w:val="00917F9B"/>
    <w:rsid w:val="00920A1F"/>
    <w:rsid w:val="00920EF4"/>
    <w:rsid w:val="009210EB"/>
    <w:rsid w:val="00921592"/>
    <w:rsid w:val="00921BED"/>
    <w:rsid w:val="00921C27"/>
    <w:rsid w:val="00921E7A"/>
    <w:rsid w:val="0092239A"/>
    <w:rsid w:val="009227C4"/>
    <w:rsid w:val="00922E65"/>
    <w:rsid w:val="009233F1"/>
    <w:rsid w:val="009242BF"/>
    <w:rsid w:val="00924597"/>
    <w:rsid w:val="00924B27"/>
    <w:rsid w:val="00924E48"/>
    <w:rsid w:val="009255CA"/>
    <w:rsid w:val="009261B5"/>
    <w:rsid w:val="00927015"/>
    <w:rsid w:val="009275FC"/>
    <w:rsid w:val="00927882"/>
    <w:rsid w:val="00927FDD"/>
    <w:rsid w:val="00930CD5"/>
    <w:rsid w:val="0093116B"/>
    <w:rsid w:val="00931FA2"/>
    <w:rsid w:val="00931FA5"/>
    <w:rsid w:val="009322AA"/>
    <w:rsid w:val="009324E6"/>
    <w:rsid w:val="00932582"/>
    <w:rsid w:val="00932B48"/>
    <w:rsid w:val="00932DF0"/>
    <w:rsid w:val="009339CE"/>
    <w:rsid w:val="00933D87"/>
    <w:rsid w:val="009340C3"/>
    <w:rsid w:val="00934424"/>
    <w:rsid w:val="009353E4"/>
    <w:rsid w:val="0093560C"/>
    <w:rsid w:val="0093600B"/>
    <w:rsid w:val="00936C57"/>
    <w:rsid w:val="00937002"/>
    <w:rsid w:val="00937391"/>
    <w:rsid w:val="0093772D"/>
    <w:rsid w:val="00937946"/>
    <w:rsid w:val="00937B89"/>
    <w:rsid w:val="00937D25"/>
    <w:rsid w:val="00940780"/>
    <w:rsid w:val="00940C08"/>
    <w:rsid w:val="00940DAB"/>
    <w:rsid w:val="009410F4"/>
    <w:rsid w:val="009412EF"/>
    <w:rsid w:val="0094160B"/>
    <w:rsid w:val="00942638"/>
    <w:rsid w:val="00943442"/>
    <w:rsid w:val="009434AE"/>
    <w:rsid w:val="00944579"/>
    <w:rsid w:val="00944EA8"/>
    <w:rsid w:val="00945126"/>
    <w:rsid w:val="00945931"/>
    <w:rsid w:val="0094668E"/>
    <w:rsid w:val="00947A75"/>
    <w:rsid w:val="00947A9C"/>
    <w:rsid w:val="00950122"/>
    <w:rsid w:val="009502B8"/>
    <w:rsid w:val="009504D1"/>
    <w:rsid w:val="0095073D"/>
    <w:rsid w:val="00950921"/>
    <w:rsid w:val="009509F3"/>
    <w:rsid w:val="00950B4E"/>
    <w:rsid w:val="00950FB6"/>
    <w:rsid w:val="009511B1"/>
    <w:rsid w:val="00952FDE"/>
    <w:rsid w:val="00953127"/>
    <w:rsid w:val="00953191"/>
    <w:rsid w:val="00954499"/>
    <w:rsid w:val="0095497B"/>
    <w:rsid w:val="00954D39"/>
    <w:rsid w:val="00954D4B"/>
    <w:rsid w:val="00955764"/>
    <w:rsid w:val="0095591E"/>
    <w:rsid w:val="009559E3"/>
    <w:rsid w:val="00955F92"/>
    <w:rsid w:val="00956922"/>
    <w:rsid w:val="00956B5E"/>
    <w:rsid w:val="0095704B"/>
    <w:rsid w:val="0095739F"/>
    <w:rsid w:val="00961180"/>
    <w:rsid w:val="00961391"/>
    <w:rsid w:val="009615C3"/>
    <w:rsid w:val="00961BFB"/>
    <w:rsid w:val="00962487"/>
    <w:rsid w:val="00962B62"/>
    <w:rsid w:val="00962B9A"/>
    <w:rsid w:val="00962FB5"/>
    <w:rsid w:val="00963EF7"/>
    <w:rsid w:val="009640DB"/>
    <w:rsid w:val="00964295"/>
    <w:rsid w:val="00964637"/>
    <w:rsid w:val="00964DA7"/>
    <w:rsid w:val="0096646C"/>
    <w:rsid w:val="00966FB3"/>
    <w:rsid w:val="00967157"/>
    <w:rsid w:val="00970EA9"/>
    <w:rsid w:val="00970F29"/>
    <w:rsid w:val="0097115E"/>
    <w:rsid w:val="00972229"/>
    <w:rsid w:val="0097348B"/>
    <w:rsid w:val="0097351A"/>
    <w:rsid w:val="0097386D"/>
    <w:rsid w:val="00973AF8"/>
    <w:rsid w:val="00973C4E"/>
    <w:rsid w:val="00974020"/>
    <w:rsid w:val="009743E7"/>
    <w:rsid w:val="009749C6"/>
    <w:rsid w:val="009754E6"/>
    <w:rsid w:val="0097764A"/>
    <w:rsid w:val="0098034C"/>
    <w:rsid w:val="0098040B"/>
    <w:rsid w:val="009805F7"/>
    <w:rsid w:val="009826C0"/>
    <w:rsid w:val="009829BC"/>
    <w:rsid w:val="00982B14"/>
    <w:rsid w:val="00982C9D"/>
    <w:rsid w:val="00982E09"/>
    <w:rsid w:val="00982E59"/>
    <w:rsid w:val="00982FEE"/>
    <w:rsid w:val="0098337B"/>
    <w:rsid w:val="00983820"/>
    <w:rsid w:val="0098401F"/>
    <w:rsid w:val="00984E22"/>
    <w:rsid w:val="00984EC8"/>
    <w:rsid w:val="009854A0"/>
    <w:rsid w:val="00985522"/>
    <w:rsid w:val="0098579E"/>
    <w:rsid w:val="00985F02"/>
    <w:rsid w:val="009864BB"/>
    <w:rsid w:val="00986CD2"/>
    <w:rsid w:val="00986D8C"/>
    <w:rsid w:val="00986D94"/>
    <w:rsid w:val="00986F1F"/>
    <w:rsid w:val="009874FD"/>
    <w:rsid w:val="00987738"/>
    <w:rsid w:val="009877AD"/>
    <w:rsid w:val="0098793C"/>
    <w:rsid w:val="00987946"/>
    <w:rsid w:val="00987C39"/>
    <w:rsid w:val="00987CE6"/>
    <w:rsid w:val="009906DC"/>
    <w:rsid w:val="00990881"/>
    <w:rsid w:val="00990F86"/>
    <w:rsid w:val="009924BB"/>
    <w:rsid w:val="00992A3A"/>
    <w:rsid w:val="009938D6"/>
    <w:rsid w:val="00993DAD"/>
    <w:rsid w:val="00994106"/>
    <w:rsid w:val="00994112"/>
    <w:rsid w:val="00994187"/>
    <w:rsid w:val="0099439D"/>
    <w:rsid w:val="009945D1"/>
    <w:rsid w:val="0099526A"/>
    <w:rsid w:val="009970A8"/>
    <w:rsid w:val="00997314"/>
    <w:rsid w:val="00997656"/>
    <w:rsid w:val="009976CA"/>
    <w:rsid w:val="00997AD3"/>
    <w:rsid w:val="00997EFF"/>
    <w:rsid w:val="00997F58"/>
    <w:rsid w:val="009A04E3"/>
    <w:rsid w:val="009A04F2"/>
    <w:rsid w:val="009A056F"/>
    <w:rsid w:val="009A0928"/>
    <w:rsid w:val="009A0FFE"/>
    <w:rsid w:val="009A10C0"/>
    <w:rsid w:val="009A14CB"/>
    <w:rsid w:val="009A15B6"/>
    <w:rsid w:val="009A1A62"/>
    <w:rsid w:val="009A2FFC"/>
    <w:rsid w:val="009A32B7"/>
    <w:rsid w:val="009A36B4"/>
    <w:rsid w:val="009A36F4"/>
    <w:rsid w:val="009A3909"/>
    <w:rsid w:val="009A3EC8"/>
    <w:rsid w:val="009A45EF"/>
    <w:rsid w:val="009A4DCA"/>
    <w:rsid w:val="009A532D"/>
    <w:rsid w:val="009A5F6A"/>
    <w:rsid w:val="009A643C"/>
    <w:rsid w:val="009A7180"/>
    <w:rsid w:val="009A7CAA"/>
    <w:rsid w:val="009A7E9B"/>
    <w:rsid w:val="009B033E"/>
    <w:rsid w:val="009B0582"/>
    <w:rsid w:val="009B083B"/>
    <w:rsid w:val="009B0D21"/>
    <w:rsid w:val="009B14DE"/>
    <w:rsid w:val="009B1CDE"/>
    <w:rsid w:val="009B1F17"/>
    <w:rsid w:val="009B21EE"/>
    <w:rsid w:val="009B2609"/>
    <w:rsid w:val="009B2693"/>
    <w:rsid w:val="009B2D14"/>
    <w:rsid w:val="009B33BD"/>
    <w:rsid w:val="009B48BC"/>
    <w:rsid w:val="009B511D"/>
    <w:rsid w:val="009B52C9"/>
    <w:rsid w:val="009B53AA"/>
    <w:rsid w:val="009B549C"/>
    <w:rsid w:val="009B55C8"/>
    <w:rsid w:val="009B5774"/>
    <w:rsid w:val="009B5D66"/>
    <w:rsid w:val="009B5F69"/>
    <w:rsid w:val="009B690E"/>
    <w:rsid w:val="009B6A0C"/>
    <w:rsid w:val="009B6EC8"/>
    <w:rsid w:val="009B6EF6"/>
    <w:rsid w:val="009B6F43"/>
    <w:rsid w:val="009B7665"/>
    <w:rsid w:val="009B7955"/>
    <w:rsid w:val="009C00AC"/>
    <w:rsid w:val="009C01A1"/>
    <w:rsid w:val="009C0303"/>
    <w:rsid w:val="009C0D6D"/>
    <w:rsid w:val="009C17E6"/>
    <w:rsid w:val="009C1EC2"/>
    <w:rsid w:val="009C2097"/>
    <w:rsid w:val="009C2546"/>
    <w:rsid w:val="009C338B"/>
    <w:rsid w:val="009C3A6A"/>
    <w:rsid w:val="009C400A"/>
    <w:rsid w:val="009C462B"/>
    <w:rsid w:val="009C5459"/>
    <w:rsid w:val="009C68A4"/>
    <w:rsid w:val="009C6B20"/>
    <w:rsid w:val="009C6CBB"/>
    <w:rsid w:val="009C6DAB"/>
    <w:rsid w:val="009C73A0"/>
    <w:rsid w:val="009C798F"/>
    <w:rsid w:val="009C7E9B"/>
    <w:rsid w:val="009D0149"/>
    <w:rsid w:val="009D0753"/>
    <w:rsid w:val="009D1AC1"/>
    <w:rsid w:val="009D220B"/>
    <w:rsid w:val="009D2A0C"/>
    <w:rsid w:val="009D2AD8"/>
    <w:rsid w:val="009D2C3B"/>
    <w:rsid w:val="009D2D46"/>
    <w:rsid w:val="009D3169"/>
    <w:rsid w:val="009D3411"/>
    <w:rsid w:val="009D3944"/>
    <w:rsid w:val="009D3CFF"/>
    <w:rsid w:val="009D42C9"/>
    <w:rsid w:val="009D4CD7"/>
    <w:rsid w:val="009D50F1"/>
    <w:rsid w:val="009D5149"/>
    <w:rsid w:val="009D5227"/>
    <w:rsid w:val="009D554D"/>
    <w:rsid w:val="009D5F9F"/>
    <w:rsid w:val="009D62AE"/>
    <w:rsid w:val="009D647E"/>
    <w:rsid w:val="009D6567"/>
    <w:rsid w:val="009D693E"/>
    <w:rsid w:val="009D6D10"/>
    <w:rsid w:val="009D727E"/>
    <w:rsid w:val="009D742D"/>
    <w:rsid w:val="009D7619"/>
    <w:rsid w:val="009E1017"/>
    <w:rsid w:val="009E10CD"/>
    <w:rsid w:val="009E16CB"/>
    <w:rsid w:val="009E19DF"/>
    <w:rsid w:val="009E1A65"/>
    <w:rsid w:val="009E1B3F"/>
    <w:rsid w:val="009E359E"/>
    <w:rsid w:val="009E377A"/>
    <w:rsid w:val="009E378E"/>
    <w:rsid w:val="009E3EAB"/>
    <w:rsid w:val="009E4ABD"/>
    <w:rsid w:val="009E5859"/>
    <w:rsid w:val="009E5955"/>
    <w:rsid w:val="009E5C9D"/>
    <w:rsid w:val="009E6DD7"/>
    <w:rsid w:val="009E6ECD"/>
    <w:rsid w:val="009E729C"/>
    <w:rsid w:val="009E7936"/>
    <w:rsid w:val="009E7948"/>
    <w:rsid w:val="009E7965"/>
    <w:rsid w:val="009F04F7"/>
    <w:rsid w:val="009F0D68"/>
    <w:rsid w:val="009F17FD"/>
    <w:rsid w:val="009F1B62"/>
    <w:rsid w:val="009F1C5F"/>
    <w:rsid w:val="009F256F"/>
    <w:rsid w:val="009F2BC2"/>
    <w:rsid w:val="009F33A3"/>
    <w:rsid w:val="009F39A3"/>
    <w:rsid w:val="009F3CB0"/>
    <w:rsid w:val="009F4266"/>
    <w:rsid w:val="009F45CD"/>
    <w:rsid w:val="009F4D71"/>
    <w:rsid w:val="009F4E67"/>
    <w:rsid w:val="009F5635"/>
    <w:rsid w:val="009F5772"/>
    <w:rsid w:val="009F70DA"/>
    <w:rsid w:val="009F79B5"/>
    <w:rsid w:val="009F79C2"/>
    <w:rsid w:val="009F7C85"/>
    <w:rsid w:val="00A00332"/>
    <w:rsid w:val="00A005EC"/>
    <w:rsid w:val="00A01366"/>
    <w:rsid w:val="00A014FC"/>
    <w:rsid w:val="00A018B5"/>
    <w:rsid w:val="00A019D7"/>
    <w:rsid w:val="00A02C20"/>
    <w:rsid w:val="00A032B9"/>
    <w:rsid w:val="00A03397"/>
    <w:rsid w:val="00A03A2A"/>
    <w:rsid w:val="00A04107"/>
    <w:rsid w:val="00A0448B"/>
    <w:rsid w:val="00A04844"/>
    <w:rsid w:val="00A05050"/>
    <w:rsid w:val="00A055FE"/>
    <w:rsid w:val="00A05949"/>
    <w:rsid w:val="00A059EC"/>
    <w:rsid w:val="00A05AB5"/>
    <w:rsid w:val="00A06004"/>
    <w:rsid w:val="00A107F9"/>
    <w:rsid w:val="00A10839"/>
    <w:rsid w:val="00A10C88"/>
    <w:rsid w:val="00A123D5"/>
    <w:rsid w:val="00A13558"/>
    <w:rsid w:val="00A135CD"/>
    <w:rsid w:val="00A13C04"/>
    <w:rsid w:val="00A13C28"/>
    <w:rsid w:val="00A13E12"/>
    <w:rsid w:val="00A14B30"/>
    <w:rsid w:val="00A14B4F"/>
    <w:rsid w:val="00A14D21"/>
    <w:rsid w:val="00A14DE0"/>
    <w:rsid w:val="00A14EF7"/>
    <w:rsid w:val="00A14FBE"/>
    <w:rsid w:val="00A15516"/>
    <w:rsid w:val="00A1558C"/>
    <w:rsid w:val="00A15B7C"/>
    <w:rsid w:val="00A15D41"/>
    <w:rsid w:val="00A15D68"/>
    <w:rsid w:val="00A15E38"/>
    <w:rsid w:val="00A15E61"/>
    <w:rsid w:val="00A15EF2"/>
    <w:rsid w:val="00A16F86"/>
    <w:rsid w:val="00A172CB"/>
    <w:rsid w:val="00A2060C"/>
    <w:rsid w:val="00A20F78"/>
    <w:rsid w:val="00A22D26"/>
    <w:rsid w:val="00A2376A"/>
    <w:rsid w:val="00A23B2A"/>
    <w:rsid w:val="00A23CE0"/>
    <w:rsid w:val="00A24059"/>
    <w:rsid w:val="00A24427"/>
    <w:rsid w:val="00A24F6C"/>
    <w:rsid w:val="00A25D11"/>
    <w:rsid w:val="00A27730"/>
    <w:rsid w:val="00A27ADD"/>
    <w:rsid w:val="00A30D5F"/>
    <w:rsid w:val="00A30F23"/>
    <w:rsid w:val="00A316FA"/>
    <w:rsid w:val="00A31A75"/>
    <w:rsid w:val="00A31CB5"/>
    <w:rsid w:val="00A32C04"/>
    <w:rsid w:val="00A333D3"/>
    <w:rsid w:val="00A33595"/>
    <w:rsid w:val="00A33D83"/>
    <w:rsid w:val="00A33DB8"/>
    <w:rsid w:val="00A33EDD"/>
    <w:rsid w:val="00A340F3"/>
    <w:rsid w:val="00A34D87"/>
    <w:rsid w:val="00A357B0"/>
    <w:rsid w:val="00A35AE0"/>
    <w:rsid w:val="00A35EBB"/>
    <w:rsid w:val="00A35F23"/>
    <w:rsid w:val="00A368FC"/>
    <w:rsid w:val="00A3706E"/>
    <w:rsid w:val="00A37171"/>
    <w:rsid w:val="00A37239"/>
    <w:rsid w:val="00A374D5"/>
    <w:rsid w:val="00A375CB"/>
    <w:rsid w:val="00A3763A"/>
    <w:rsid w:val="00A40365"/>
    <w:rsid w:val="00A40927"/>
    <w:rsid w:val="00A40EA3"/>
    <w:rsid w:val="00A41012"/>
    <w:rsid w:val="00A4161B"/>
    <w:rsid w:val="00A417D0"/>
    <w:rsid w:val="00A418C9"/>
    <w:rsid w:val="00A41AA1"/>
    <w:rsid w:val="00A4205D"/>
    <w:rsid w:val="00A42397"/>
    <w:rsid w:val="00A42A92"/>
    <w:rsid w:val="00A42C34"/>
    <w:rsid w:val="00A42CCA"/>
    <w:rsid w:val="00A42EB8"/>
    <w:rsid w:val="00A432BE"/>
    <w:rsid w:val="00A433FD"/>
    <w:rsid w:val="00A43948"/>
    <w:rsid w:val="00A43A01"/>
    <w:rsid w:val="00A44775"/>
    <w:rsid w:val="00A44778"/>
    <w:rsid w:val="00A45648"/>
    <w:rsid w:val="00A472D2"/>
    <w:rsid w:val="00A4769B"/>
    <w:rsid w:val="00A5157C"/>
    <w:rsid w:val="00A51955"/>
    <w:rsid w:val="00A51A5B"/>
    <w:rsid w:val="00A51D22"/>
    <w:rsid w:val="00A51D49"/>
    <w:rsid w:val="00A522DF"/>
    <w:rsid w:val="00A52759"/>
    <w:rsid w:val="00A5276D"/>
    <w:rsid w:val="00A529E9"/>
    <w:rsid w:val="00A52BF8"/>
    <w:rsid w:val="00A52C33"/>
    <w:rsid w:val="00A52EA9"/>
    <w:rsid w:val="00A5322B"/>
    <w:rsid w:val="00A534B2"/>
    <w:rsid w:val="00A5350C"/>
    <w:rsid w:val="00A54258"/>
    <w:rsid w:val="00A544AF"/>
    <w:rsid w:val="00A55969"/>
    <w:rsid w:val="00A55C50"/>
    <w:rsid w:val="00A56396"/>
    <w:rsid w:val="00A56826"/>
    <w:rsid w:val="00A57407"/>
    <w:rsid w:val="00A579E7"/>
    <w:rsid w:val="00A57DD5"/>
    <w:rsid w:val="00A60924"/>
    <w:rsid w:val="00A60BAA"/>
    <w:rsid w:val="00A60C5A"/>
    <w:rsid w:val="00A614F9"/>
    <w:rsid w:val="00A61603"/>
    <w:rsid w:val="00A61662"/>
    <w:rsid w:val="00A6239C"/>
    <w:rsid w:val="00A6257E"/>
    <w:rsid w:val="00A625E9"/>
    <w:rsid w:val="00A62F01"/>
    <w:rsid w:val="00A62F1D"/>
    <w:rsid w:val="00A64FC0"/>
    <w:rsid w:val="00A65075"/>
    <w:rsid w:val="00A65078"/>
    <w:rsid w:val="00A66B0F"/>
    <w:rsid w:val="00A67395"/>
    <w:rsid w:val="00A67D80"/>
    <w:rsid w:val="00A67DE8"/>
    <w:rsid w:val="00A67F47"/>
    <w:rsid w:val="00A71A78"/>
    <w:rsid w:val="00A72F3C"/>
    <w:rsid w:val="00A74C67"/>
    <w:rsid w:val="00A74ED2"/>
    <w:rsid w:val="00A762D4"/>
    <w:rsid w:val="00A76314"/>
    <w:rsid w:val="00A763D9"/>
    <w:rsid w:val="00A7657B"/>
    <w:rsid w:val="00A765AA"/>
    <w:rsid w:val="00A770E8"/>
    <w:rsid w:val="00A77874"/>
    <w:rsid w:val="00A77F6B"/>
    <w:rsid w:val="00A80295"/>
    <w:rsid w:val="00A804E6"/>
    <w:rsid w:val="00A829BE"/>
    <w:rsid w:val="00A8358E"/>
    <w:rsid w:val="00A84436"/>
    <w:rsid w:val="00A85255"/>
    <w:rsid w:val="00A85453"/>
    <w:rsid w:val="00A85DE1"/>
    <w:rsid w:val="00A85EDC"/>
    <w:rsid w:val="00A863EA"/>
    <w:rsid w:val="00A871BC"/>
    <w:rsid w:val="00A8751B"/>
    <w:rsid w:val="00A876F3"/>
    <w:rsid w:val="00A87982"/>
    <w:rsid w:val="00A87B10"/>
    <w:rsid w:val="00A87B8E"/>
    <w:rsid w:val="00A90133"/>
    <w:rsid w:val="00A9111A"/>
    <w:rsid w:val="00A91696"/>
    <w:rsid w:val="00A923A9"/>
    <w:rsid w:val="00A92A07"/>
    <w:rsid w:val="00A93588"/>
    <w:rsid w:val="00A93689"/>
    <w:rsid w:val="00A93920"/>
    <w:rsid w:val="00A9393E"/>
    <w:rsid w:val="00A93980"/>
    <w:rsid w:val="00A93BB7"/>
    <w:rsid w:val="00A93CB5"/>
    <w:rsid w:val="00A93DB1"/>
    <w:rsid w:val="00A9513E"/>
    <w:rsid w:val="00A95798"/>
    <w:rsid w:val="00A96248"/>
    <w:rsid w:val="00A962DC"/>
    <w:rsid w:val="00A969EE"/>
    <w:rsid w:val="00A972B5"/>
    <w:rsid w:val="00AA134B"/>
    <w:rsid w:val="00AA2E51"/>
    <w:rsid w:val="00AA34A9"/>
    <w:rsid w:val="00AA3564"/>
    <w:rsid w:val="00AA35BD"/>
    <w:rsid w:val="00AA36C9"/>
    <w:rsid w:val="00AA39EE"/>
    <w:rsid w:val="00AA3CB9"/>
    <w:rsid w:val="00AA4AB4"/>
    <w:rsid w:val="00AA4B18"/>
    <w:rsid w:val="00AA4F81"/>
    <w:rsid w:val="00AA51C4"/>
    <w:rsid w:val="00AA5440"/>
    <w:rsid w:val="00AA613E"/>
    <w:rsid w:val="00AA7000"/>
    <w:rsid w:val="00AA7ABB"/>
    <w:rsid w:val="00AA7ADD"/>
    <w:rsid w:val="00AA7C7C"/>
    <w:rsid w:val="00AA7F14"/>
    <w:rsid w:val="00AB0013"/>
    <w:rsid w:val="00AB002D"/>
    <w:rsid w:val="00AB09B1"/>
    <w:rsid w:val="00AB1180"/>
    <w:rsid w:val="00AB2314"/>
    <w:rsid w:val="00AB2777"/>
    <w:rsid w:val="00AB2C1E"/>
    <w:rsid w:val="00AB2D57"/>
    <w:rsid w:val="00AB303C"/>
    <w:rsid w:val="00AB3AF4"/>
    <w:rsid w:val="00AB4579"/>
    <w:rsid w:val="00AB4C91"/>
    <w:rsid w:val="00AB4F01"/>
    <w:rsid w:val="00AB53EF"/>
    <w:rsid w:val="00AB573D"/>
    <w:rsid w:val="00AB5873"/>
    <w:rsid w:val="00AB5FB9"/>
    <w:rsid w:val="00AB63B1"/>
    <w:rsid w:val="00AB6BA1"/>
    <w:rsid w:val="00AB7451"/>
    <w:rsid w:val="00AB7671"/>
    <w:rsid w:val="00AB77D4"/>
    <w:rsid w:val="00AC0136"/>
    <w:rsid w:val="00AC09FE"/>
    <w:rsid w:val="00AC186C"/>
    <w:rsid w:val="00AC19AD"/>
    <w:rsid w:val="00AC1C4E"/>
    <w:rsid w:val="00AC2D96"/>
    <w:rsid w:val="00AC35FF"/>
    <w:rsid w:val="00AC45D1"/>
    <w:rsid w:val="00AC48C7"/>
    <w:rsid w:val="00AC49E4"/>
    <w:rsid w:val="00AC4DB7"/>
    <w:rsid w:val="00AC5874"/>
    <w:rsid w:val="00AC5BE7"/>
    <w:rsid w:val="00AC5CC5"/>
    <w:rsid w:val="00AC5E9C"/>
    <w:rsid w:val="00AC5F0C"/>
    <w:rsid w:val="00AC5F46"/>
    <w:rsid w:val="00AC6449"/>
    <w:rsid w:val="00AC67FA"/>
    <w:rsid w:val="00AC71D6"/>
    <w:rsid w:val="00AC725B"/>
    <w:rsid w:val="00AD0A90"/>
    <w:rsid w:val="00AD12F1"/>
    <w:rsid w:val="00AD1702"/>
    <w:rsid w:val="00AD20BE"/>
    <w:rsid w:val="00AD2353"/>
    <w:rsid w:val="00AD2415"/>
    <w:rsid w:val="00AD3313"/>
    <w:rsid w:val="00AD3411"/>
    <w:rsid w:val="00AD3451"/>
    <w:rsid w:val="00AD3A57"/>
    <w:rsid w:val="00AD458B"/>
    <w:rsid w:val="00AD46B4"/>
    <w:rsid w:val="00AD4F61"/>
    <w:rsid w:val="00AD61AF"/>
    <w:rsid w:val="00AD66B0"/>
    <w:rsid w:val="00AD7984"/>
    <w:rsid w:val="00AD7D2D"/>
    <w:rsid w:val="00AE0062"/>
    <w:rsid w:val="00AE082A"/>
    <w:rsid w:val="00AE0844"/>
    <w:rsid w:val="00AE0B04"/>
    <w:rsid w:val="00AE0E7E"/>
    <w:rsid w:val="00AE0E88"/>
    <w:rsid w:val="00AE1535"/>
    <w:rsid w:val="00AE1BA4"/>
    <w:rsid w:val="00AE1E4F"/>
    <w:rsid w:val="00AE220E"/>
    <w:rsid w:val="00AE2356"/>
    <w:rsid w:val="00AE24D1"/>
    <w:rsid w:val="00AE26BE"/>
    <w:rsid w:val="00AE26D7"/>
    <w:rsid w:val="00AE3276"/>
    <w:rsid w:val="00AE3501"/>
    <w:rsid w:val="00AE4952"/>
    <w:rsid w:val="00AE4C1E"/>
    <w:rsid w:val="00AE582B"/>
    <w:rsid w:val="00AE60D3"/>
    <w:rsid w:val="00AE6493"/>
    <w:rsid w:val="00AE654C"/>
    <w:rsid w:val="00AE6CAA"/>
    <w:rsid w:val="00AE6CD5"/>
    <w:rsid w:val="00AE7472"/>
    <w:rsid w:val="00AE7AE4"/>
    <w:rsid w:val="00AF0032"/>
    <w:rsid w:val="00AF01AD"/>
    <w:rsid w:val="00AF0595"/>
    <w:rsid w:val="00AF0888"/>
    <w:rsid w:val="00AF0A94"/>
    <w:rsid w:val="00AF13DC"/>
    <w:rsid w:val="00AF1815"/>
    <w:rsid w:val="00AF1AFF"/>
    <w:rsid w:val="00AF1E93"/>
    <w:rsid w:val="00AF2D9E"/>
    <w:rsid w:val="00AF2DB3"/>
    <w:rsid w:val="00AF3169"/>
    <w:rsid w:val="00AF34A6"/>
    <w:rsid w:val="00AF35D8"/>
    <w:rsid w:val="00AF3B9F"/>
    <w:rsid w:val="00AF3D04"/>
    <w:rsid w:val="00AF41A5"/>
    <w:rsid w:val="00AF41E5"/>
    <w:rsid w:val="00AF454C"/>
    <w:rsid w:val="00AF5CC8"/>
    <w:rsid w:val="00AF65E8"/>
    <w:rsid w:val="00AF6735"/>
    <w:rsid w:val="00AF68F1"/>
    <w:rsid w:val="00AF6F4B"/>
    <w:rsid w:val="00AF7AD5"/>
    <w:rsid w:val="00AF7C8C"/>
    <w:rsid w:val="00B00B04"/>
    <w:rsid w:val="00B00B46"/>
    <w:rsid w:val="00B00EFD"/>
    <w:rsid w:val="00B00F57"/>
    <w:rsid w:val="00B02052"/>
    <w:rsid w:val="00B028C6"/>
    <w:rsid w:val="00B032E7"/>
    <w:rsid w:val="00B04329"/>
    <w:rsid w:val="00B0463E"/>
    <w:rsid w:val="00B04652"/>
    <w:rsid w:val="00B04E3C"/>
    <w:rsid w:val="00B04E83"/>
    <w:rsid w:val="00B0530F"/>
    <w:rsid w:val="00B05C7D"/>
    <w:rsid w:val="00B05D89"/>
    <w:rsid w:val="00B06AC2"/>
    <w:rsid w:val="00B06C4A"/>
    <w:rsid w:val="00B0736B"/>
    <w:rsid w:val="00B07E31"/>
    <w:rsid w:val="00B102C4"/>
    <w:rsid w:val="00B10D4A"/>
    <w:rsid w:val="00B1162A"/>
    <w:rsid w:val="00B11A5C"/>
    <w:rsid w:val="00B11CCD"/>
    <w:rsid w:val="00B11E84"/>
    <w:rsid w:val="00B11ECB"/>
    <w:rsid w:val="00B12AF6"/>
    <w:rsid w:val="00B134E4"/>
    <w:rsid w:val="00B13A00"/>
    <w:rsid w:val="00B13CF3"/>
    <w:rsid w:val="00B13F79"/>
    <w:rsid w:val="00B1485C"/>
    <w:rsid w:val="00B14E11"/>
    <w:rsid w:val="00B152DE"/>
    <w:rsid w:val="00B153A6"/>
    <w:rsid w:val="00B15480"/>
    <w:rsid w:val="00B15AF5"/>
    <w:rsid w:val="00B15CFF"/>
    <w:rsid w:val="00B160B3"/>
    <w:rsid w:val="00B16179"/>
    <w:rsid w:val="00B178AA"/>
    <w:rsid w:val="00B179D9"/>
    <w:rsid w:val="00B2011A"/>
    <w:rsid w:val="00B20DC9"/>
    <w:rsid w:val="00B20E44"/>
    <w:rsid w:val="00B218B3"/>
    <w:rsid w:val="00B2298D"/>
    <w:rsid w:val="00B229C1"/>
    <w:rsid w:val="00B22BAC"/>
    <w:rsid w:val="00B22C25"/>
    <w:rsid w:val="00B22DF1"/>
    <w:rsid w:val="00B22DF6"/>
    <w:rsid w:val="00B245D3"/>
    <w:rsid w:val="00B248F3"/>
    <w:rsid w:val="00B24E1F"/>
    <w:rsid w:val="00B24F5F"/>
    <w:rsid w:val="00B253DF"/>
    <w:rsid w:val="00B25529"/>
    <w:rsid w:val="00B2552B"/>
    <w:rsid w:val="00B258C4"/>
    <w:rsid w:val="00B25B08"/>
    <w:rsid w:val="00B268FA"/>
    <w:rsid w:val="00B27C56"/>
    <w:rsid w:val="00B27E41"/>
    <w:rsid w:val="00B3028F"/>
    <w:rsid w:val="00B30AAC"/>
    <w:rsid w:val="00B30AE5"/>
    <w:rsid w:val="00B30E02"/>
    <w:rsid w:val="00B3130E"/>
    <w:rsid w:val="00B3133B"/>
    <w:rsid w:val="00B314EC"/>
    <w:rsid w:val="00B31CF0"/>
    <w:rsid w:val="00B3246C"/>
    <w:rsid w:val="00B32B3F"/>
    <w:rsid w:val="00B32CE8"/>
    <w:rsid w:val="00B33C4D"/>
    <w:rsid w:val="00B348E1"/>
    <w:rsid w:val="00B34A86"/>
    <w:rsid w:val="00B34ADB"/>
    <w:rsid w:val="00B34BA4"/>
    <w:rsid w:val="00B34CA5"/>
    <w:rsid w:val="00B34D4F"/>
    <w:rsid w:val="00B353E5"/>
    <w:rsid w:val="00B357E2"/>
    <w:rsid w:val="00B35A88"/>
    <w:rsid w:val="00B35CC4"/>
    <w:rsid w:val="00B36C2B"/>
    <w:rsid w:val="00B37DAB"/>
    <w:rsid w:val="00B37FAE"/>
    <w:rsid w:val="00B40535"/>
    <w:rsid w:val="00B40754"/>
    <w:rsid w:val="00B4092F"/>
    <w:rsid w:val="00B40A7D"/>
    <w:rsid w:val="00B41210"/>
    <w:rsid w:val="00B4169F"/>
    <w:rsid w:val="00B4188B"/>
    <w:rsid w:val="00B418D3"/>
    <w:rsid w:val="00B4250E"/>
    <w:rsid w:val="00B428A7"/>
    <w:rsid w:val="00B42CF4"/>
    <w:rsid w:val="00B42D54"/>
    <w:rsid w:val="00B43FF3"/>
    <w:rsid w:val="00B441E3"/>
    <w:rsid w:val="00B44D1B"/>
    <w:rsid w:val="00B44FCD"/>
    <w:rsid w:val="00B45AFF"/>
    <w:rsid w:val="00B46E91"/>
    <w:rsid w:val="00B473C1"/>
    <w:rsid w:val="00B47BD5"/>
    <w:rsid w:val="00B50111"/>
    <w:rsid w:val="00B50160"/>
    <w:rsid w:val="00B50B41"/>
    <w:rsid w:val="00B5104F"/>
    <w:rsid w:val="00B511D5"/>
    <w:rsid w:val="00B517FB"/>
    <w:rsid w:val="00B518B9"/>
    <w:rsid w:val="00B53411"/>
    <w:rsid w:val="00B53841"/>
    <w:rsid w:val="00B539EF"/>
    <w:rsid w:val="00B53D67"/>
    <w:rsid w:val="00B53EC8"/>
    <w:rsid w:val="00B54003"/>
    <w:rsid w:val="00B54C48"/>
    <w:rsid w:val="00B54D7D"/>
    <w:rsid w:val="00B54F30"/>
    <w:rsid w:val="00B55027"/>
    <w:rsid w:val="00B55EEF"/>
    <w:rsid w:val="00B565E5"/>
    <w:rsid w:val="00B56676"/>
    <w:rsid w:val="00B56747"/>
    <w:rsid w:val="00B56C9E"/>
    <w:rsid w:val="00B5751E"/>
    <w:rsid w:val="00B57EDA"/>
    <w:rsid w:val="00B608D8"/>
    <w:rsid w:val="00B60CC9"/>
    <w:rsid w:val="00B6101C"/>
    <w:rsid w:val="00B6130C"/>
    <w:rsid w:val="00B622E1"/>
    <w:rsid w:val="00B62A28"/>
    <w:rsid w:val="00B62CFD"/>
    <w:rsid w:val="00B6321B"/>
    <w:rsid w:val="00B6384F"/>
    <w:rsid w:val="00B63AF7"/>
    <w:rsid w:val="00B63FCB"/>
    <w:rsid w:val="00B64FA9"/>
    <w:rsid w:val="00B65105"/>
    <w:rsid w:val="00B65713"/>
    <w:rsid w:val="00B65A5C"/>
    <w:rsid w:val="00B65ADA"/>
    <w:rsid w:val="00B65F2A"/>
    <w:rsid w:val="00B660E1"/>
    <w:rsid w:val="00B66150"/>
    <w:rsid w:val="00B6775E"/>
    <w:rsid w:val="00B67B23"/>
    <w:rsid w:val="00B67BD3"/>
    <w:rsid w:val="00B67F51"/>
    <w:rsid w:val="00B70310"/>
    <w:rsid w:val="00B70505"/>
    <w:rsid w:val="00B70578"/>
    <w:rsid w:val="00B70695"/>
    <w:rsid w:val="00B71386"/>
    <w:rsid w:val="00B713B3"/>
    <w:rsid w:val="00B71E16"/>
    <w:rsid w:val="00B71F31"/>
    <w:rsid w:val="00B7325C"/>
    <w:rsid w:val="00B7340A"/>
    <w:rsid w:val="00B7348D"/>
    <w:rsid w:val="00B73658"/>
    <w:rsid w:val="00B7371C"/>
    <w:rsid w:val="00B73C44"/>
    <w:rsid w:val="00B73E7D"/>
    <w:rsid w:val="00B742D2"/>
    <w:rsid w:val="00B7522B"/>
    <w:rsid w:val="00B7577B"/>
    <w:rsid w:val="00B75ED7"/>
    <w:rsid w:val="00B762C9"/>
    <w:rsid w:val="00B76BE6"/>
    <w:rsid w:val="00B76D70"/>
    <w:rsid w:val="00B76F80"/>
    <w:rsid w:val="00B76FE5"/>
    <w:rsid w:val="00B775DE"/>
    <w:rsid w:val="00B7789B"/>
    <w:rsid w:val="00B77E4E"/>
    <w:rsid w:val="00B80637"/>
    <w:rsid w:val="00B80F64"/>
    <w:rsid w:val="00B81766"/>
    <w:rsid w:val="00B81813"/>
    <w:rsid w:val="00B81A73"/>
    <w:rsid w:val="00B8274A"/>
    <w:rsid w:val="00B82963"/>
    <w:rsid w:val="00B829A5"/>
    <w:rsid w:val="00B82C8B"/>
    <w:rsid w:val="00B82E99"/>
    <w:rsid w:val="00B838A8"/>
    <w:rsid w:val="00B84658"/>
    <w:rsid w:val="00B84B5A"/>
    <w:rsid w:val="00B84D68"/>
    <w:rsid w:val="00B84F74"/>
    <w:rsid w:val="00B8558B"/>
    <w:rsid w:val="00B85B59"/>
    <w:rsid w:val="00B87663"/>
    <w:rsid w:val="00B87927"/>
    <w:rsid w:val="00B87A9A"/>
    <w:rsid w:val="00B87B99"/>
    <w:rsid w:val="00B90379"/>
    <w:rsid w:val="00B904E3"/>
    <w:rsid w:val="00B905DE"/>
    <w:rsid w:val="00B9065A"/>
    <w:rsid w:val="00B90870"/>
    <w:rsid w:val="00B90D1F"/>
    <w:rsid w:val="00B90D85"/>
    <w:rsid w:val="00B90F14"/>
    <w:rsid w:val="00B91007"/>
    <w:rsid w:val="00B91D49"/>
    <w:rsid w:val="00B92251"/>
    <w:rsid w:val="00B923AD"/>
    <w:rsid w:val="00B924F4"/>
    <w:rsid w:val="00B9296C"/>
    <w:rsid w:val="00B92AA2"/>
    <w:rsid w:val="00B93004"/>
    <w:rsid w:val="00B93DC2"/>
    <w:rsid w:val="00B945B8"/>
    <w:rsid w:val="00B951A8"/>
    <w:rsid w:val="00B95AF0"/>
    <w:rsid w:val="00B961E6"/>
    <w:rsid w:val="00B96A94"/>
    <w:rsid w:val="00B96F5F"/>
    <w:rsid w:val="00BA0E49"/>
    <w:rsid w:val="00BA1457"/>
    <w:rsid w:val="00BA275E"/>
    <w:rsid w:val="00BA2FA0"/>
    <w:rsid w:val="00BA3AF7"/>
    <w:rsid w:val="00BA3F3D"/>
    <w:rsid w:val="00BA5435"/>
    <w:rsid w:val="00BA5D88"/>
    <w:rsid w:val="00BA5E46"/>
    <w:rsid w:val="00BA613D"/>
    <w:rsid w:val="00BA6802"/>
    <w:rsid w:val="00BA6DE5"/>
    <w:rsid w:val="00BA7A92"/>
    <w:rsid w:val="00BB0182"/>
    <w:rsid w:val="00BB1140"/>
    <w:rsid w:val="00BB2298"/>
    <w:rsid w:val="00BB24A1"/>
    <w:rsid w:val="00BB28DE"/>
    <w:rsid w:val="00BB31DB"/>
    <w:rsid w:val="00BB4E2D"/>
    <w:rsid w:val="00BB5877"/>
    <w:rsid w:val="00BB5AA9"/>
    <w:rsid w:val="00BB6634"/>
    <w:rsid w:val="00BB6C63"/>
    <w:rsid w:val="00BB7285"/>
    <w:rsid w:val="00BB7470"/>
    <w:rsid w:val="00BB7997"/>
    <w:rsid w:val="00BC09F1"/>
    <w:rsid w:val="00BC148F"/>
    <w:rsid w:val="00BC15F0"/>
    <w:rsid w:val="00BC1680"/>
    <w:rsid w:val="00BC1F96"/>
    <w:rsid w:val="00BC2477"/>
    <w:rsid w:val="00BC2770"/>
    <w:rsid w:val="00BC2E60"/>
    <w:rsid w:val="00BC30FD"/>
    <w:rsid w:val="00BC31DB"/>
    <w:rsid w:val="00BC3516"/>
    <w:rsid w:val="00BC3517"/>
    <w:rsid w:val="00BC387F"/>
    <w:rsid w:val="00BC3E42"/>
    <w:rsid w:val="00BC4A7F"/>
    <w:rsid w:val="00BC5159"/>
    <w:rsid w:val="00BC51F5"/>
    <w:rsid w:val="00BC53C2"/>
    <w:rsid w:val="00BC5406"/>
    <w:rsid w:val="00BC56D2"/>
    <w:rsid w:val="00BC6162"/>
    <w:rsid w:val="00BC72EB"/>
    <w:rsid w:val="00BC797B"/>
    <w:rsid w:val="00BC7F6D"/>
    <w:rsid w:val="00BD1193"/>
    <w:rsid w:val="00BD2526"/>
    <w:rsid w:val="00BD2607"/>
    <w:rsid w:val="00BD28AA"/>
    <w:rsid w:val="00BD3996"/>
    <w:rsid w:val="00BD3BE2"/>
    <w:rsid w:val="00BD3CB7"/>
    <w:rsid w:val="00BD3D85"/>
    <w:rsid w:val="00BD43CA"/>
    <w:rsid w:val="00BD4694"/>
    <w:rsid w:val="00BD47EB"/>
    <w:rsid w:val="00BD4BAE"/>
    <w:rsid w:val="00BD4D0B"/>
    <w:rsid w:val="00BD53B6"/>
    <w:rsid w:val="00BD57CB"/>
    <w:rsid w:val="00BD5E3A"/>
    <w:rsid w:val="00BD6250"/>
    <w:rsid w:val="00BD6355"/>
    <w:rsid w:val="00BD706D"/>
    <w:rsid w:val="00BD72D0"/>
    <w:rsid w:val="00BD7302"/>
    <w:rsid w:val="00BD754A"/>
    <w:rsid w:val="00BD7EE1"/>
    <w:rsid w:val="00BE05F3"/>
    <w:rsid w:val="00BE0AFE"/>
    <w:rsid w:val="00BE2066"/>
    <w:rsid w:val="00BE218A"/>
    <w:rsid w:val="00BE2358"/>
    <w:rsid w:val="00BE24E2"/>
    <w:rsid w:val="00BE26D9"/>
    <w:rsid w:val="00BE273A"/>
    <w:rsid w:val="00BE2B40"/>
    <w:rsid w:val="00BE2BBF"/>
    <w:rsid w:val="00BE2E01"/>
    <w:rsid w:val="00BE2EFD"/>
    <w:rsid w:val="00BE2F62"/>
    <w:rsid w:val="00BE3361"/>
    <w:rsid w:val="00BE3387"/>
    <w:rsid w:val="00BE33ED"/>
    <w:rsid w:val="00BE3663"/>
    <w:rsid w:val="00BE40EF"/>
    <w:rsid w:val="00BE45C7"/>
    <w:rsid w:val="00BE49B2"/>
    <w:rsid w:val="00BE5135"/>
    <w:rsid w:val="00BE56A8"/>
    <w:rsid w:val="00BE5C64"/>
    <w:rsid w:val="00BE67B0"/>
    <w:rsid w:val="00BE6F10"/>
    <w:rsid w:val="00BF0713"/>
    <w:rsid w:val="00BF0F7A"/>
    <w:rsid w:val="00BF11A6"/>
    <w:rsid w:val="00BF158E"/>
    <w:rsid w:val="00BF2474"/>
    <w:rsid w:val="00BF3062"/>
    <w:rsid w:val="00BF3180"/>
    <w:rsid w:val="00BF31EA"/>
    <w:rsid w:val="00BF3299"/>
    <w:rsid w:val="00BF332B"/>
    <w:rsid w:val="00BF3579"/>
    <w:rsid w:val="00BF3AEF"/>
    <w:rsid w:val="00BF462A"/>
    <w:rsid w:val="00BF4671"/>
    <w:rsid w:val="00BF48AC"/>
    <w:rsid w:val="00BF4D2C"/>
    <w:rsid w:val="00BF51E2"/>
    <w:rsid w:val="00BF5667"/>
    <w:rsid w:val="00BF5BC0"/>
    <w:rsid w:val="00BF6E34"/>
    <w:rsid w:val="00BF79D3"/>
    <w:rsid w:val="00BF7B8C"/>
    <w:rsid w:val="00BF7BCD"/>
    <w:rsid w:val="00BF7C9E"/>
    <w:rsid w:val="00C000B1"/>
    <w:rsid w:val="00C0091C"/>
    <w:rsid w:val="00C00F90"/>
    <w:rsid w:val="00C01CC6"/>
    <w:rsid w:val="00C020B3"/>
    <w:rsid w:val="00C02186"/>
    <w:rsid w:val="00C0220A"/>
    <w:rsid w:val="00C03456"/>
    <w:rsid w:val="00C03D3B"/>
    <w:rsid w:val="00C03DD3"/>
    <w:rsid w:val="00C047FA"/>
    <w:rsid w:val="00C04A88"/>
    <w:rsid w:val="00C04E2B"/>
    <w:rsid w:val="00C0568E"/>
    <w:rsid w:val="00C05AA1"/>
    <w:rsid w:val="00C06C77"/>
    <w:rsid w:val="00C07383"/>
    <w:rsid w:val="00C07390"/>
    <w:rsid w:val="00C07B6D"/>
    <w:rsid w:val="00C1003E"/>
    <w:rsid w:val="00C1003F"/>
    <w:rsid w:val="00C112F8"/>
    <w:rsid w:val="00C114C6"/>
    <w:rsid w:val="00C12B32"/>
    <w:rsid w:val="00C12CDD"/>
    <w:rsid w:val="00C1347A"/>
    <w:rsid w:val="00C13641"/>
    <w:rsid w:val="00C14241"/>
    <w:rsid w:val="00C15845"/>
    <w:rsid w:val="00C1675E"/>
    <w:rsid w:val="00C16860"/>
    <w:rsid w:val="00C16E7A"/>
    <w:rsid w:val="00C16F3C"/>
    <w:rsid w:val="00C17EA7"/>
    <w:rsid w:val="00C201B3"/>
    <w:rsid w:val="00C2043E"/>
    <w:rsid w:val="00C20B25"/>
    <w:rsid w:val="00C21630"/>
    <w:rsid w:val="00C21BFA"/>
    <w:rsid w:val="00C22614"/>
    <w:rsid w:val="00C22E0B"/>
    <w:rsid w:val="00C23065"/>
    <w:rsid w:val="00C234E9"/>
    <w:rsid w:val="00C23504"/>
    <w:rsid w:val="00C2364B"/>
    <w:rsid w:val="00C23DCE"/>
    <w:rsid w:val="00C23FE2"/>
    <w:rsid w:val="00C257E6"/>
    <w:rsid w:val="00C265B1"/>
    <w:rsid w:val="00C26910"/>
    <w:rsid w:val="00C27356"/>
    <w:rsid w:val="00C27CCA"/>
    <w:rsid w:val="00C27F92"/>
    <w:rsid w:val="00C30170"/>
    <w:rsid w:val="00C30DE7"/>
    <w:rsid w:val="00C30E5A"/>
    <w:rsid w:val="00C317D3"/>
    <w:rsid w:val="00C31837"/>
    <w:rsid w:val="00C320B4"/>
    <w:rsid w:val="00C32243"/>
    <w:rsid w:val="00C3251D"/>
    <w:rsid w:val="00C327B3"/>
    <w:rsid w:val="00C32ADE"/>
    <w:rsid w:val="00C33708"/>
    <w:rsid w:val="00C343C2"/>
    <w:rsid w:val="00C34727"/>
    <w:rsid w:val="00C34B4B"/>
    <w:rsid w:val="00C34FBE"/>
    <w:rsid w:val="00C3555E"/>
    <w:rsid w:val="00C35787"/>
    <w:rsid w:val="00C35935"/>
    <w:rsid w:val="00C35A97"/>
    <w:rsid w:val="00C36943"/>
    <w:rsid w:val="00C36D5D"/>
    <w:rsid w:val="00C37EB2"/>
    <w:rsid w:val="00C406C6"/>
    <w:rsid w:val="00C40784"/>
    <w:rsid w:val="00C40A4C"/>
    <w:rsid w:val="00C40EDF"/>
    <w:rsid w:val="00C41EF8"/>
    <w:rsid w:val="00C41F5C"/>
    <w:rsid w:val="00C42023"/>
    <w:rsid w:val="00C4231F"/>
    <w:rsid w:val="00C428F3"/>
    <w:rsid w:val="00C42DA1"/>
    <w:rsid w:val="00C42E7D"/>
    <w:rsid w:val="00C42ED3"/>
    <w:rsid w:val="00C43183"/>
    <w:rsid w:val="00C433E5"/>
    <w:rsid w:val="00C442EA"/>
    <w:rsid w:val="00C449EB"/>
    <w:rsid w:val="00C45173"/>
    <w:rsid w:val="00C45793"/>
    <w:rsid w:val="00C45AFF"/>
    <w:rsid w:val="00C4649A"/>
    <w:rsid w:val="00C4676D"/>
    <w:rsid w:val="00C474E2"/>
    <w:rsid w:val="00C476CC"/>
    <w:rsid w:val="00C4793A"/>
    <w:rsid w:val="00C47C1B"/>
    <w:rsid w:val="00C47CE5"/>
    <w:rsid w:val="00C47E3E"/>
    <w:rsid w:val="00C50510"/>
    <w:rsid w:val="00C50745"/>
    <w:rsid w:val="00C50833"/>
    <w:rsid w:val="00C512AF"/>
    <w:rsid w:val="00C520D6"/>
    <w:rsid w:val="00C53283"/>
    <w:rsid w:val="00C543E0"/>
    <w:rsid w:val="00C5475E"/>
    <w:rsid w:val="00C54C79"/>
    <w:rsid w:val="00C54F87"/>
    <w:rsid w:val="00C55049"/>
    <w:rsid w:val="00C55070"/>
    <w:rsid w:val="00C55FC6"/>
    <w:rsid w:val="00C56236"/>
    <w:rsid w:val="00C5643B"/>
    <w:rsid w:val="00C567EE"/>
    <w:rsid w:val="00C56CC3"/>
    <w:rsid w:val="00C57024"/>
    <w:rsid w:val="00C57799"/>
    <w:rsid w:val="00C577C1"/>
    <w:rsid w:val="00C60003"/>
    <w:rsid w:val="00C603EF"/>
    <w:rsid w:val="00C60504"/>
    <w:rsid w:val="00C60924"/>
    <w:rsid w:val="00C60A81"/>
    <w:rsid w:val="00C60E2E"/>
    <w:rsid w:val="00C6122C"/>
    <w:rsid w:val="00C61C25"/>
    <w:rsid w:val="00C62342"/>
    <w:rsid w:val="00C62857"/>
    <w:rsid w:val="00C63579"/>
    <w:rsid w:val="00C637E1"/>
    <w:rsid w:val="00C637FE"/>
    <w:rsid w:val="00C63AD9"/>
    <w:rsid w:val="00C642C6"/>
    <w:rsid w:val="00C6455E"/>
    <w:rsid w:val="00C64A27"/>
    <w:rsid w:val="00C6512F"/>
    <w:rsid w:val="00C65637"/>
    <w:rsid w:val="00C65EBA"/>
    <w:rsid w:val="00C65F7C"/>
    <w:rsid w:val="00C66DD4"/>
    <w:rsid w:val="00C67BEF"/>
    <w:rsid w:val="00C704C1"/>
    <w:rsid w:val="00C70F47"/>
    <w:rsid w:val="00C71201"/>
    <w:rsid w:val="00C712C9"/>
    <w:rsid w:val="00C716FA"/>
    <w:rsid w:val="00C71923"/>
    <w:rsid w:val="00C71ED2"/>
    <w:rsid w:val="00C7200A"/>
    <w:rsid w:val="00C7207B"/>
    <w:rsid w:val="00C7240A"/>
    <w:rsid w:val="00C727D7"/>
    <w:rsid w:val="00C72A34"/>
    <w:rsid w:val="00C72B6C"/>
    <w:rsid w:val="00C73156"/>
    <w:rsid w:val="00C7329C"/>
    <w:rsid w:val="00C740A2"/>
    <w:rsid w:val="00C743FB"/>
    <w:rsid w:val="00C74AD8"/>
    <w:rsid w:val="00C75296"/>
    <w:rsid w:val="00C7568E"/>
    <w:rsid w:val="00C75E60"/>
    <w:rsid w:val="00C760A6"/>
    <w:rsid w:val="00C768F3"/>
    <w:rsid w:val="00C76B6B"/>
    <w:rsid w:val="00C77649"/>
    <w:rsid w:val="00C77C1E"/>
    <w:rsid w:val="00C80677"/>
    <w:rsid w:val="00C80B78"/>
    <w:rsid w:val="00C80DBA"/>
    <w:rsid w:val="00C80F12"/>
    <w:rsid w:val="00C80F9C"/>
    <w:rsid w:val="00C815A0"/>
    <w:rsid w:val="00C81617"/>
    <w:rsid w:val="00C81906"/>
    <w:rsid w:val="00C821AE"/>
    <w:rsid w:val="00C82614"/>
    <w:rsid w:val="00C828B3"/>
    <w:rsid w:val="00C83967"/>
    <w:rsid w:val="00C848D4"/>
    <w:rsid w:val="00C84C88"/>
    <w:rsid w:val="00C84DEC"/>
    <w:rsid w:val="00C85633"/>
    <w:rsid w:val="00C85861"/>
    <w:rsid w:val="00C8592F"/>
    <w:rsid w:val="00C85C85"/>
    <w:rsid w:val="00C85EFD"/>
    <w:rsid w:val="00C86DD3"/>
    <w:rsid w:val="00C86E48"/>
    <w:rsid w:val="00C87348"/>
    <w:rsid w:val="00C87C0D"/>
    <w:rsid w:val="00C9288A"/>
    <w:rsid w:val="00C92FCC"/>
    <w:rsid w:val="00C940E3"/>
    <w:rsid w:val="00C94126"/>
    <w:rsid w:val="00C94CC0"/>
    <w:rsid w:val="00C95429"/>
    <w:rsid w:val="00C959E6"/>
    <w:rsid w:val="00C9646D"/>
    <w:rsid w:val="00C97E3D"/>
    <w:rsid w:val="00CA0749"/>
    <w:rsid w:val="00CA07FB"/>
    <w:rsid w:val="00CA0887"/>
    <w:rsid w:val="00CA0EA9"/>
    <w:rsid w:val="00CA2078"/>
    <w:rsid w:val="00CA22D3"/>
    <w:rsid w:val="00CA2CA8"/>
    <w:rsid w:val="00CA32EB"/>
    <w:rsid w:val="00CA32F8"/>
    <w:rsid w:val="00CA33E4"/>
    <w:rsid w:val="00CA3A8C"/>
    <w:rsid w:val="00CA3E49"/>
    <w:rsid w:val="00CA4036"/>
    <w:rsid w:val="00CA4C9E"/>
    <w:rsid w:val="00CA51EE"/>
    <w:rsid w:val="00CA5376"/>
    <w:rsid w:val="00CA5B6A"/>
    <w:rsid w:val="00CA6A29"/>
    <w:rsid w:val="00CA6BEE"/>
    <w:rsid w:val="00CA70CC"/>
    <w:rsid w:val="00CA71FB"/>
    <w:rsid w:val="00CA74E4"/>
    <w:rsid w:val="00CA769D"/>
    <w:rsid w:val="00CA7CBE"/>
    <w:rsid w:val="00CB002D"/>
    <w:rsid w:val="00CB0440"/>
    <w:rsid w:val="00CB08ED"/>
    <w:rsid w:val="00CB095C"/>
    <w:rsid w:val="00CB0B64"/>
    <w:rsid w:val="00CB1128"/>
    <w:rsid w:val="00CB1663"/>
    <w:rsid w:val="00CB1D5C"/>
    <w:rsid w:val="00CB1DCC"/>
    <w:rsid w:val="00CB2399"/>
    <w:rsid w:val="00CB279A"/>
    <w:rsid w:val="00CB28E8"/>
    <w:rsid w:val="00CB2A8E"/>
    <w:rsid w:val="00CB3B6D"/>
    <w:rsid w:val="00CB3CE6"/>
    <w:rsid w:val="00CB4B09"/>
    <w:rsid w:val="00CB4E93"/>
    <w:rsid w:val="00CB532B"/>
    <w:rsid w:val="00CB5828"/>
    <w:rsid w:val="00CB5B4A"/>
    <w:rsid w:val="00CB5BB8"/>
    <w:rsid w:val="00CB638B"/>
    <w:rsid w:val="00CB639E"/>
    <w:rsid w:val="00CB66BE"/>
    <w:rsid w:val="00CB6703"/>
    <w:rsid w:val="00CB6DB1"/>
    <w:rsid w:val="00CB6EEC"/>
    <w:rsid w:val="00CB7E37"/>
    <w:rsid w:val="00CC04BC"/>
    <w:rsid w:val="00CC143B"/>
    <w:rsid w:val="00CC1796"/>
    <w:rsid w:val="00CC1A25"/>
    <w:rsid w:val="00CC1B7A"/>
    <w:rsid w:val="00CC1C4C"/>
    <w:rsid w:val="00CC1C87"/>
    <w:rsid w:val="00CC2410"/>
    <w:rsid w:val="00CC2529"/>
    <w:rsid w:val="00CC2AC3"/>
    <w:rsid w:val="00CC2C2D"/>
    <w:rsid w:val="00CC353E"/>
    <w:rsid w:val="00CC3E15"/>
    <w:rsid w:val="00CC3FD7"/>
    <w:rsid w:val="00CC47E0"/>
    <w:rsid w:val="00CC5518"/>
    <w:rsid w:val="00CC564A"/>
    <w:rsid w:val="00CC5828"/>
    <w:rsid w:val="00CC5C38"/>
    <w:rsid w:val="00CC5CB2"/>
    <w:rsid w:val="00CC5E83"/>
    <w:rsid w:val="00CC5F34"/>
    <w:rsid w:val="00CC64F2"/>
    <w:rsid w:val="00CC7B99"/>
    <w:rsid w:val="00CC7EB9"/>
    <w:rsid w:val="00CD02B1"/>
    <w:rsid w:val="00CD0B1F"/>
    <w:rsid w:val="00CD0EA7"/>
    <w:rsid w:val="00CD1B40"/>
    <w:rsid w:val="00CD1C5A"/>
    <w:rsid w:val="00CD1F2F"/>
    <w:rsid w:val="00CD1FFD"/>
    <w:rsid w:val="00CD2667"/>
    <w:rsid w:val="00CD27D6"/>
    <w:rsid w:val="00CD3B70"/>
    <w:rsid w:val="00CD4353"/>
    <w:rsid w:val="00CD53CF"/>
    <w:rsid w:val="00CD5545"/>
    <w:rsid w:val="00CD5786"/>
    <w:rsid w:val="00CD586E"/>
    <w:rsid w:val="00CD5DF4"/>
    <w:rsid w:val="00CD6B0E"/>
    <w:rsid w:val="00CD77D4"/>
    <w:rsid w:val="00CD7B4A"/>
    <w:rsid w:val="00CE0BB7"/>
    <w:rsid w:val="00CE0E6C"/>
    <w:rsid w:val="00CE0E8F"/>
    <w:rsid w:val="00CE0EF5"/>
    <w:rsid w:val="00CE1A40"/>
    <w:rsid w:val="00CE2356"/>
    <w:rsid w:val="00CE2EA7"/>
    <w:rsid w:val="00CE31BA"/>
    <w:rsid w:val="00CE3279"/>
    <w:rsid w:val="00CE46BA"/>
    <w:rsid w:val="00CE4DE9"/>
    <w:rsid w:val="00CE502B"/>
    <w:rsid w:val="00CE5034"/>
    <w:rsid w:val="00CE5160"/>
    <w:rsid w:val="00CE57E6"/>
    <w:rsid w:val="00CE5AA9"/>
    <w:rsid w:val="00CE69A8"/>
    <w:rsid w:val="00CE72D7"/>
    <w:rsid w:val="00CE7591"/>
    <w:rsid w:val="00CE7BAB"/>
    <w:rsid w:val="00CF0890"/>
    <w:rsid w:val="00CF0C3A"/>
    <w:rsid w:val="00CF0DA3"/>
    <w:rsid w:val="00CF1406"/>
    <w:rsid w:val="00CF15DC"/>
    <w:rsid w:val="00CF18DF"/>
    <w:rsid w:val="00CF1A7C"/>
    <w:rsid w:val="00CF1DC3"/>
    <w:rsid w:val="00CF23B5"/>
    <w:rsid w:val="00CF24C7"/>
    <w:rsid w:val="00CF39BF"/>
    <w:rsid w:val="00CF48CD"/>
    <w:rsid w:val="00CF5439"/>
    <w:rsid w:val="00CF555E"/>
    <w:rsid w:val="00CF55D1"/>
    <w:rsid w:val="00CF612F"/>
    <w:rsid w:val="00CF69C3"/>
    <w:rsid w:val="00CF700E"/>
    <w:rsid w:val="00D001BE"/>
    <w:rsid w:val="00D00A3A"/>
    <w:rsid w:val="00D00EC3"/>
    <w:rsid w:val="00D00F66"/>
    <w:rsid w:val="00D010F7"/>
    <w:rsid w:val="00D01B0F"/>
    <w:rsid w:val="00D02C29"/>
    <w:rsid w:val="00D03045"/>
    <w:rsid w:val="00D032AA"/>
    <w:rsid w:val="00D0350E"/>
    <w:rsid w:val="00D03C04"/>
    <w:rsid w:val="00D0451C"/>
    <w:rsid w:val="00D050DE"/>
    <w:rsid w:val="00D05864"/>
    <w:rsid w:val="00D064C8"/>
    <w:rsid w:val="00D06935"/>
    <w:rsid w:val="00D07225"/>
    <w:rsid w:val="00D0783B"/>
    <w:rsid w:val="00D07960"/>
    <w:rsid w:val="00D07AEE"/>
    <w:rsid w:val="00D07B3D"/>
    <w:rsid w:val="00D07C38"/>
    <w:rsid w:val="00D111AB"/>
    <w:rsid w:val="00D11B33"/>
    <w:rsid w:val="00D12119"/>
    <w:rsid w:val="00D12190"/>
    <w:rsid w:val="00D12202"/>
    <w:rsid w:val="00D12CE3"/>
    <w:rsid w:val="00D130AD"/>
    <w:rsid w:val="00D130FF"/>
    <w:rsid w:val="00D135BD"/>
    <w:rsid w:val="00D13929"/>
    <w:rsid w:val="00D13CE2"/>
    <w:rsid w:val="00D14850"/>
    <w:rsid w:val="00D14C64"/>
    <w:rsid w:val="00D14E18"/>
    <w:rsid w:val="00D1548F"/>
    <w:rsid w:val="00D15CF2"/>
    <w:rsid w:val="00D1635A"/>
    <w:rsid w:val="00D166D3"/>
    <w:rsid w:val="00D168AF"/>
    <w:rsid w:val="00D17280"/>
    <w:rsid w:val="00D17366"/>
    <w:rsid w:val="00D2043E"/>
    <w:rsid w:val="00D2145A"/>
    <w:rsid w:val="00D21533"/>
    <w:rsid w:val="00D2205D"/>
    <w:rsid w:val="00D221A1"/>
    <w:rsid w:val="00D223F7"/>
    <w:rsid w:val="00D22A90"/>
    <w:rsid w:val="00D22C2C"/>
    <w:rsid w:val="00D22DCA"/>
    <w:rsid w:val="00D23CBB"/>
    <w:rsid w:val="00D24B0F"/>
    <w:rsid w:val="00D24D04"/>
    <w:rsid w:val="00D2626E"/>
    <w:rsid w:val="00D26566"/>
    <w:rsid w:val="00D26706"/>
    <w:rsid w:val="00D3024A"/>
    <w:rsid w:val="00D3084A"/>
    <w:rsid w:val="00D310A0"/>
    <w:rsid w:val="00D317EB"/>
    <w:rsid w:val="00D337EB"/>
    <w:rsid w:val="00D33DBA"/>
    <w:rsid w:val="00D34243"/>
    <w:rsid w:val="00D34953"/>
    <w:rsid w:val="00D352AB"/>
    <w:rsid w:val="00D35602"/>
    <w:rsid w:val="00D356BF"/>
    <w:rsid w:val="00D3582F"/>
    <w:rsid w:val="00D35897"/>
    <w:rsid w:val="00D35A56"/>
    <w:rsid w:val="00D35ADD"/>
    <w:rsid w:val="00D3651C"/>
    <w:rsid w:val="00D36B47"/>
    <w:rsid w:val="00D36DB6"/>
    <w:rsid w:val="00D37C14"/>
    <w:rsid w:val="00D401BB"/>
    <w:rsid w:val="00D40E38"/>
    <w:rsid w:val="00D41211"/>
    <w:rsid w:val="00D415FE"/>
    <w:rsid w:val="00D42501"/>
    <w:rsid w:val="00D43DA6"/>
    <w:rsid w:val="00D445D0"/>
    <w:rsid w:val="00D452BD"/>
    <w:rsid w:val="00D45B7A"/>
    <w:rsid w:val="00D4601C"/>
    <w:rsid w:val="00D463AA"/>
    <w:rsid w:val="00D46580"/>
    <w:rsid w:val="00D47026"/>
    <w:rsid w:val="00D470BE"/>
    <w:rsid w:val="00D475F5"/>
    <w:rsid w:val="00D4761B"/>
    <w:rsid w:val="00D47792"/>
    <w:rsid w:val="00D50458"/>
    <w:rsid w:val="00D50726"/>
    <w:rsid w:val="00D5075C"/>
    <w:rsid w:val="00D50874"/>
    <w:rsid w:val="00D510C7"/>
    <w:rsid w:val="00D51C30"/>
    <w:rsid w:val="00D51C6A"/>
    <w:rsid w:val="00D51E19"/>
    <w:rsid w:val="00D52215"/>
    <w:rsid w:val="00D52292"/>
    <w:rsid w:val="00D52AB2"/>
    <w:rsid w:val="00D5353C"/>
    <w:rsid w:val="00D53F4A"/>
    <w:rsid w:val="00D540A9"/>
    <w:rsid w:val="00D540FE"/>
    <w:rsid w:val="00D5411E"/>
    <w:rsid w:val="00D545E0"/>
    <w:rsid w:val="00D54765"/>
    <w:rsid w:val="00D551B8"/>
    <w:rsid w:val="00D560BC"/>
    <w:rsid w:val="00D56722"/>
    <w:rsid w:val="00D56DBF"/>
    <w:rsid w:val="00D57235"/>
    <w:rsid w:val="00D6013B"/>
    <w:rsid w:val="00D60CDB"/>
    <w:rsid w:val="00D61024"/>
    <w:rsid w:val="00D61182"/>
    <w:rsid w:val="00D620C3"/>
    <w:rsid w:val="00D631BC"/>
    <w:rsid w:val="00D63431"/>
    <w:rsid w:val="00D651AB"/>
    <w:rsid w:val="00D65B0C"/>
    <w:rsid w:val="00D65F6D"/>
    <w:rsid w:val="00D67715"/>
    <w:rsid w:val="00D67793"/>
    <w:rsid w:val="00D6782F"/>
    <w:rsid w:val="00D700B8"/>
    <w:rsid w:val="00D71239"/>
    <w:rsid w:val="00D7131A"/>
    <w:rsid w:val="00D71768"/>
    <w:rsid w:val="00D71A32"/>
    <w:rsid w:val="00D71AAB"/>
    <w:rsid w:val="00D71C86"/>
    <w:rsid w:val="00D720C7"/>
    <w:rsid w:val="00D72872"/>
    <w:rsid w:val="00D729B6"/>
    <w:rsid w:val="00D72A42"/>
    <w:rsid w:val="00D72E67"/>
    <w:rsid w:val="00D73057"/>
    <w:rsid w:val="00D730C3"/>
    <w:rsid w:val="00D737D4"/>
    <w:rsid w:val="00D73D63"/>
    <w:rsid w:val="00D74007"/>
    <w:rsid w:val="00D743DC"/>
    <w:rsid w:val="00D75779"/>
    <w:rsid w:val="00D75CB2"/>
    <w:rsid w:val="00D761CD"/>
    <w:rsid w:val="00D7622F"/>
    <w:rsid w:val="00D7757F"/>
    <w:rsid w:val="00D7769D"/>
    <w:rsid w:val="00D806D1"/>
    <w:rsid w:val="00D8088B"/>
    <w:rsid w:val="00D80BFA"/>
    <w:rsid w:val="00D81089"/>
    <w:rsid w:val="00D81195"/>
    <w:rsid w:val="00D81CFC"/>
    <w:rsid w:val="00D831F9"/>
    <w:rsid w:val="00D835C6"/>
    <w:rsid w:val="00D836C7"/>
    <w:rsid w:val="00D83D21"/>
    <w:rsid w:val="00D83D5B"/>
    <w:rsid w:val="00D84355"/>
    <w:rsid w:val="00D8437C"/>
    <w:rsid w:val="00D844E6"/>
    <w:rsid w:val="00D84607"/>
    <w:rsid w:val="00D84667"/>
    <w:rsid w:val="00D8469D"/>
    <w:rsid w:val="00D84B24"/>
    <w:rsid w:val="00D84D5D"/>
    <w:rsid w:val="00D84F17"/>
    <w:rsid w:val="00D8555D"/>
    <w:rsid w:val="00D85F2F"/>
    <w:rsid w:val="00D86765"/>
    <w:rsid w:val="00D86BAB"/>
    <w:rsid w:val="00D87332"/>
    <w:rsid w:val="00D87704"/>
    <w:rsid w:val="00D90042"/>
    <w:rsid w:val="00D908C9"/>
    <w:rsid w:val="00D9117E"/>
    <w:rsid w:val="00D91708"/>
    <w:rsid w:val="00D91A23"/>
    <w:rsid w:val="00D92035"/>
    <w:rsid w:val="00D92167"/>
    <w:rsid w:val="00D92859"/>
    <w:rsid w:val="00D93528"/>
    <w:rsid w:val="00D93ADB"/>
    <w:rsid w:val="00D93C1E"/>
    <w:rsid w:val="00D95469"/>
    <w:rsid w:val="00D95FDA"/>
    <w:rsid w:val="00D966B8"/>
    <w:rsid w:val="00D96F50"/>
    <w:rsid w:val="00D97595"/>
    <w:rsid w:val="00D976ED"/>
    <w:rsid w:val="00D97A66"/>
    <w:rsid w:val="00D97A6A"/>
    <w:rsid w:val="00DA0462"/>
    <w:rsid w:val="00DA06CA"/>
    <w:rsid w:val="00DA07BE"/>
    <w:rsid w:val="00DA09E6"/>
    <w:rsid w:val="00DA0FE3"/>
    <w:rsid w:val="00DA1107"/>
    <w:rsid w:val="00DA13C0"/>
    <w:rsid w:val="00DA193F"/>
    <w:rsid w:val="00DA1A6E"/>
    <w:rsid w:val="00DA271C"/>
    <w:rsid w:val="00DA3B3B"/>
    <w:rsid w:val="00DA3F85"/>
    <w:rsid w:val="00DA4318"/>
    <w:rsid w:val="00DA567C"/>
    <w:rsid w:val="00DA56FE"/>
    <w:rsid w:val="00DA6457"/>
    <w:rsid w:val="00DA6813"/>
    <w:rsid w:val="00DA7006"/>
    <w:rsid w:val="00DA7148"/>
    <w:rsid w:val="00DA714A"/>
    <w:rsid w:val="00DA714D"/>
    <w:rsid w:val="00DA732C"/>
    <w:rsid w:val="00DB0B79"/>
    <w:rsid w:val="00DB16CF"/>
    <w:rsid w:val="00DB1779"/>
    <w:rsid w:val="00DB1D20"/>
    <w:rsid w:val="00DB2872"/>
    <w:rsid w:val="00DB343F"/>
    <w:rsid w:val="00DB3604"/>
    <w:rsid w:val="00DB3680"/>
    <w:rsid w:val="00DB38DC"/>
    <w:rsid w:val="00DB3CFE"/>
    <w:rsid w:val="00DB3DDA"/>
    <w:rsid w:val="00DB4A30"/>
    <w:rsid w:val="00DB5BDA"/>
    <w:rsid w:val="00DB5DE1"/>
    <w:rsid w:val="00DB5EB8"/>
    <w:rsid w:val="00DB68D4"/>
    <w:rsid w:val="00DB702A"/>
    <w:rsid w:val="00DB702F"/>
    <w:rsid w:val="00DB770D"/>
    <w:rsid w:val="00DB7BFE"/>
    <w:rsid w:val="00DC0A26"/>
    <w:rsid w:val="00DC0B77"/>
    <w:rsid w:val="00DC0DA6"/>
    <w:rsid w:val="00DC0DEE"/>
    <w:rsid w:val="00DC16C8"/>
    <w:rsid w:val="00DC18F1"/>
    <w:rsid w:val="00DC20C6"/>
    <w:rsid w:val="00DC2BA3"/>
    <w:rsid w:val="00DC3BAB"/>
    <w:rsid w:val="00DC3EF0"/>
    <w:rsid w:val="00DC4BD4"/>
    <w:rsid w:val="00DC4F54"/>
    <w:rsid w:val="00DC5246"/>
    <w:rsid w:val="00DC5358"/>
    <w:rsid w:val="00DC56C4"/>
    <w:rsid w:val="00DC5997"/>
    <w:rsid w:val="00DC5B32"/>
    <w:rsid w:val="00DC610A"/>
    <w:rsid w:val="00DC67D1"/>
    <w:rsid w:val="00DC7237"/>
    <w:rsid w:val="00DC7481"/>
    <w:rsid w:val="00DC7873"/>
    <w:rsid w:val="00DC7F17"/>
    <w:rsid w:val="00DD0202"/>
    <w:rsid w:val="00DD05A9"/>
    <w:rsid w:val="00DD0D85"/>
    <w:rsid w:val="00DD1110"/>
    <w:rsid w:val="00DD1231"/>
    <w:rsid w:val="00DD167E"/>
    <w:rsid w:val="00DD19C2"/>
    <w:rsid w:val="00DD234B"/>
    <w:rsid w:val="00DD25E6"/>
    <w:rsid w:val="00DD2701"/>
    <w:rsid w:val="00DD3657"/>
    <w:rsid w:val="00DD3E96"/>
    <w:rsid w:val="00DD44D5"/>
    <w:rsid w:val="00DD44EC"/>
    <w:rsid w:val="00DD4D93"/>
    <w:rsid w:val="00DD4F39"/>
    <w:rsid w:val="00DD4FF5"/>
    <w:rsid w:val="00DD5084"/>
    <w:rsid w:val="00DD5793"/>
    <w:rsid w:val="00DD581A"/>
    <w:rsid w:val="00DD6483"/>
    <w:rsid w:val="00DD74D0"/>
    <w:rsid w:val="00DD7CFC"/>
    <w:rsid w:val="00DE0479"/>
    <w:rsid w:val="00DE04B9"/>
    <w:rsid w:val="00DE05E2"/>
    <w:rsid w:val="00DE1022"/>
    <w:rsid w:val="00DE10CB"/>
    <w:rsid w:val="00DE1307"/>
    <w:rsid w:val="00DE1397"/>
    <w:rsid w:val="00DE2B4F"/>
    <w:rsid w:val="00DE320E"/>
    <w:rsid w:val="00DE358C"/>
    <w:rsid w:val="00DE36C7"/>
    <w:rsid w:val="00DE3713"/>
    <w:rsid w:val="00DE3F07"/>
    <w:rsid w:val="00DE4A0E"/>
    <w:rsid w:val="00DE51F6"/>
    <w:rsid w:val="00DE5B42"/>
    <w:rsid w:val="00DE645B"/>
    <w:rsid w:val="00DE6497"/>
    <w:rsid w:val="00DE76CD"/>
    <w:rsid w:val="00DF0230"/>
    <w:rsid w:val="00DF0BB0"/>
    <w:rsid w:val="00DF14D8"/>
    <w:rsid w:val="00DF1766"/>
    <w:rsid w:val="00DF1BF5"/>
    <w:rsid w:val="00DF25C7"/>
    <w:rsid w:val="00DF28E8"/>
    <w:rsid w:val="00DF2949"/>
    <w:rsid w:val="00DF31DF"/>
    <w:rsid w:val="00DF3C65"/>
    <w:rsid w:val="00DF51ED"/>
    <w:rsid w:val="00DF5A0E"/>
    <w:rsid w:val="00DF5B2B"/>
    <w:rsid w:val="00DF75BE"/>
    <w:rsid w:val="00DF7A9B"/>
    <w:rsid w:val="00E0025D"/>
    <w:rsid w:val="00E0059D"/>
    <w:rsid w:val="00E00944"/>
    <w:rsid w:val="00E009BC"/>
    <w:rsid w:val="00E00CE0"/>
    <w:rsid w:val="00E02921"/>
    <w:rsid w:val="00E02E1B"/>
    <w:rsid w:val="00E03617"/>
    <w:rsid w:val="00E03D9B"/>
    <w:rsid w:val="00E04186"/>
    <w:rsid w:val="00E045E1"/>
    <w:rsid w:val="00E04768"/>
    <w:rsid w:val="00E04998"/>
    <w:rsid w:val="00E050A1"/>
    <w:rsid w:val="00E05CC5"/>
    <w:rsid w:val="00E05CEE"/>
    <w:rsid w:val="00E06521"/>
    <w:rsid w:val="00E06D91"/>
    <w:rsid w:val="00E06F3F"/>
    <w:rsid w:val="00E06F45"/>
    <w:rsid w:val="00E074B3"/>
    <w:rsid w:val="00E1050F"/>
    <w:rsid w:val="00E10AFD"/>
    <w:rsid w:val="00E10BF9"/>
    <w:rsid w:val="00E111FE"/>
    <w:rsid w:val="00E112D9"/>
    <w:rsid w:val="00E121D9"/>
    <w:rsid w:val="00E12406"/>
    <w:rsid w:val="00E12613"/>
    <w:rsid w:val="00E12616"/>
    <w:rsid w:val="00E130EE"/>
    <w:rsid w:val="00E13A22"/>
    <w:rsid w:val="00E14068"/>
    <w:rsid w:val="00E14614"/>
    <w:rsid w:val="00E14ABA"/>
    <w:rsid w:val="00E1542D"/>
    <w:rsid w:val="00E1550A"/>
    <w:rsid w:val="00E15723"/>
    <w:rsid w:val="00E15A15"/>
    <w:rsid w:val="00E15CAE"/>
    <w:rsid w:val="00E15F72"/>
    <w:rsid w:val="00E16213"/>
    <w:rsid w:val="00E16CB3"/>
    <w:rsid w:val="00E16D7F"/>
    <w:rsid w:val="00E17803"/>
    <w:rsid w:val="00E17A86"/>
    <w:rsid w:val="00E17C81"/>
    <w:rsid w:val="00E17F77"/>
    <w:rsid w:val="00E203A5"/>
    <w:rsid w:val="00E20D6C"/>
    <w:rsid w:val="00E21112"/>
    <w:rsid w:val="00E21209"/>
    <w:rsid w:val="00E217F2"/>
    <w:rsid w:val="00E21907"/>
    <w:rsid w:val="00E21CFA"/>
    <w:rsid w:val="00E22B65"/>
    <w:rsid w:val="00E22EBF"/>
    <w:rsid w:val="00E22F28"/>
    <w:rsid w:val="00E231E8"/>
    <w:rsid w:val="00E2343D"/>
    <w:rsid w:val="00E2392A"/>
    <w:rsid w:val="00E23D31"/>
    <w:rsid w:val="00E23E5A"/>
    <w:rsid w:val="00E242B0"/>
    <w:rsid w:val="00E24702"/>
    <w:rsid w:val="00E24A8D"/>
    <w:rsid w:val="00E254A9"/>
    <w:rsid w:val="00E26184"/>
    <w:rsid w:val="00E27B90"/>
    <w:rsid w:val="00E3020A"/>
    <w:rsid w:val="00E30669"/>
    <w:rsid w:val="00E3072E"/>
    <w:rsid w:val="00E30E8E"/>
    <w:rsid w:val="00E31483"/>
    <w:rsid w:val="00E315D5"/>
    <w:rsid w:val="00E32D0D"/>
    <w:rsid w:val="00E32DDA"/>
    <w:rsid w:val="00E334AF"/>
    <w:rsid w:val="00E33B36"/>
    <w:rsid w:val="00E35368"/>
    <w:rsid w:val="00E358E2"/>
    <w:rsid w:val="00E36C8E"/>
    <w:rsid w:val="00E36F6F"/>
    <w:rsid w:val="00E370FB"/>
    <w:rsid w:val="00E3746D"/>
    <w:rsid w:val="00E378B5"/>
    <w:rsid w:val="00E37B62"/>
    <w:rsid w:val="00E37C56"/>
    <w:rsid w:val="00E37D28"/>
    <w:rsid w:val="00E403D6"/>
    <w:rsid w:val="00E40E39"/>
    <w:rsid w:val="00E40E63"/>
    <w:rsid w:val="00E42323"/>
    <w:rsid w:val="00E427CD"/>
    <w:rsid w:val="00E4326B"/>
    <w:rsid w:val="00E4374F"/>
    <w:rsid w:val="00E43DFD"/>
    <w:rsid w:val="00E440F4"/>
    <w:rsid w:val="00E44398"/>
    <w:rsid w:val="00E457F6"/>
    <w:rsid w:val="00E45965"/>
    <w:rsid w:val="00E45B83"/>
    <w:rsid w:val="00E45FD6"/>
    <w:rsid w:val="00E461AD"/>
    <w:rsid w:val="00E463DD"/>
    <w:rsid w:val="00E468E1"/>
    <w:rsid w:val="00E46CD1"/>
    <w:rsid w:val="00E472F3"/>
    <w:rsid w:val="00E47682"/>
    <w:rsid w:val="00E47AD3"/>
    <w:rsid w:val="00E509BC"/>
    <w:rsid w:val="00E50C0D"/>
    <w:rsid w:val="00E50EAF"/>
    <w:rsid w:val="00E50F2C"/>
    <w:rsid w:val="00E50F69"/>
    <w:rsid w:val="00E51097"/>
    <w:rsid w:val="00E510AB"/>
    <w:rsid w:val="00E510C1"/>
    <w:rsid w:val="00E5130C"/>
    <w:rsid w:val="00E51AE2"/>
    <w:rsid w:val="00E524C0"/>
    <w:rsid w:val="00E52A37"/>
    <w:rsid w:val="00E52AC5"/>
    <w:rsid w:val="00E53913"/>
    <w:rsid w:val="00E5407C"/>
    <w:rsid w:val="00E5433E"/>
    <w:rsid w:val="00E543A7"/>
    <w:rsid w:val="00E54609"/>
    <w:rsid w:val="00E54624"/>
    <w:rsid w:val="00E561CD"/>
    <w:rsid w:val="00E56736"/>
    <w:rsid w:val="00E56842"/>
    <w:rsid w:val="00E5713A"/>
    <w:rsid w:val="00E5747E"/>
    <w:rsid w:val="00E5777A"/>
    <w:rsid w:val="00E57F7F"/>
    <w:rsid w:val="00E60051"/>
    <w:rsid w:val="00E60056"/>
    <w:rsid w:val="00E60406"/>
    <w:rsid w:val="00E60441"/>
    <w:rsid w:val="00E60B36"/>
    <w:rsid w:val="00E60DD6"/>
    <w:rsid w:val="00E613D1"/>
    <w:rsid w:val="00E614BA"/>
    <w:rsid w:val="00E62593"/>
    <w:rsid w:val="00E62A91"/>
    <w:rsid w:val="00E6349C"/>
    <w:rsid w:val="00E63761"/>
    <w:rsid w:val="00E63D12"/>
    <w:rsid w:val="00E64407"/>
    <w:rsid w:val="00E6560E"/>
    <w:rsid w:val="00E67749"/>
    <w:rsid w:val="00E708B6"/>
    <w:rsid w:val="00E70935"/>
    <w:rsid w:val="00E70BB5"/>
    <w:rsid w:val="00E70F81"/>
    <w:rsid w:val="00E7146A"/>
    <w:rsid w:val="00E71A95"/>
    <w:rsid w:val="00E72242"/>
    <w:rsid w:val="00E7249A"/>
    <w:rsid w:val="00E7369B"/>
    <w:rsid w:val="00E742C2"/>
    <w:rsid w:val="00E744CB"/>
    <w:rsid w:val="00E74CE6"/>
    <w:rsid w:val="00E75F62"/>
    <w:rsid w:val="00E7663D"/>
    <w:rsid w:val="00E77A83"/>
    <w:rsid w:val="00E805F0"/>
    <w:rsid w:val="00E80BED"/>
    <w:rsid w:val="00E81DC8"/>
    <w:rsid w:val="00E820E0"/>
    <w:rsid w:val="00E82E22"/>
    <w:rsid w:val="00E838DD"/>
    <w:rsid w:val="00E84459"/>
    <w:rsid w:val="00E845E0"/>
    <w:rsid w:val="00E84B0B"/>
    <w:rsid w:val="00E84BDF"/>
    <w:rsid w:val="00E84DAA"/>
    <w:rsid w:val="00E8547E"/>
    <w:rsid w:val="00E85676"/>
    <w:rsid w:val="00E85CF3"/>
    <w:rsid w:val="00E86FFA"/>
    <w:rsid w:val="00E8719B"/>
    <w:rsid w:val="00E876E2"/>
    <w:rsid w:val="00E87905"/>
    <w:rsid w:val="00E87AF4"/>
    <w:rsid w:val="00E87CCE"/>
    <w:rsid w:val="00E900F6"/>
    <w:rsid w:val="00E90733"/>
    <w:rsid w:val="00E914AB"/>
    <w:rsid w:val="00E91566"/>
    <w:rsid w:val="00E91C54"/>
    <w:rsid w:val="00E92871"/>
    <w:rsid w:val="00E92BF6"/>
    <w:rsid w:val="00E93E24"/>
    <w:rsid w:val="00E9538B"/>
    <w:rsid w:val="00E95B8D"/>
    <w:rsid w:val="00E96336"/>
    <w:rsid w:val="00E967AF"/>
    <w:rsid w:val="00E97090"/>
    <w:rsid w:val="00E975F3"/>
    <w:rsid w:val="00E97F91"/>
    <w:rsid w:val="00EA11B3"/>
    <w:rsid w:val="00EA1823"/>
    <w:rsid w:val="00EA1AB5"/>
    <w:rsid w:val="00EA2064"/>
    <w:rsid w:val="00EA2080"/>
    <w:rsid w:val="00EA2389"/>
    <w:rsid w:val="00EA2588"/>
    <w:rsid w:val="00EA2998"/>
    <w:rsid w:val="00EA3094"/>
    <w:rsid w:val="00EA31DE"/>
    <w:rsid w:val="00EA38F8"/>
    <w:rsid w:val="00EA4616"/>
    <w:rsid w:val="00EA51BB"/>
    <w:rsid w:val="00EA5DCC"/>
    <w:rsid w:val="00EA5EFE"/>
    <w:rsid w:val="00EA5FFC"/>
    <w:rsid w:val="00EA6B89"/>
    <w:rsid w:val="00EA717C"/>
    <w:rsid w:val="00EA726D"/>
    <w:rsid w:val="00EA7788"/>
    <w:rsid w:val="00EA7B3F"/>
    <w:rsid w:val="00EA7EDB"/>
    <w:rsid w:val="00EB020C"/>
    <w:rsid w:val="00EB1215"/>
    <w:rsid w:val="00EB12B6"/>
    <w:rsid w:val="00EB1DCE"/>
    <w:rsid w:val="00EB1EBF"/>
    <w:rsid w:val="00EB261B"/>
    <w:rsid w:val="00EB298B"/>
    <w:rsid w:val="00EB3400"/>
    <w:rsid w:val="00EB3ADF"/>
    <w:rsid w:val="00EB44DD"/>
    <w:rsid w:val="00EB4AD1"/>
    <w:rsid w:val="00EB505A"/>
    <w:rsid w:val="00EB50B2"/>
    <w:rsid w:val="00EB5563"/>
    <w:rsid w:val="00EB58C0"/>
    <w:rsid w:val="00EB62E7"/>
    <w:rsid w:val="00EB666D"/>
    <w:rsid w:val="00EB6A6A"/>
    <w:rsid w:val="00EB7154"/>
    <w:rsid w:val="00EB7403"/>
    <w:rsid w:val="00EB7565"/>
    <w:rsid w:val="00EB78C1"/>
    <w:rsid w:val="00EB7D25"/>
    <w:rsid w:val="00EC0486"/>
    <w:rsid w:val="00EC0B14"/>
    <w:rsid w:val="00EC1019"/>
    <w:rsid w:val="00EC1089"/>
    <w:rsid w:val="00EC15AC"/>
    <w:rsid w:val="00EC1C8B"/>
    <w:rsid w:val="00EC23C0"/>
    <w:rsid w:val="00EC271A"/>
    <w:rsid w:val="00EC2851"/>
    <w:rsid w:val="00EC2BE3"/>
    <w:rsid w:val="00EC2F97"/>
    <w:rsid w:val="00EC3107"/>
    <w:rsid w:val="00EC31A6"/>
    <w:rsid w:val="00EC3420"/>
    <w:rsid w:val="00EC34C1"/>
    <w:rsid w:val="00EC356F"/>
    <w:rsid w:val="00EC4F48"/>
    <w:rsid w:val="00EC5A2A"/>
    <w:rsid w:val="00EC606E"/>
    <w:rsid w:val="00EC639E"/>
    <w:rsid w:val="00EC668D"/>
    <w:rsid w:val="00EC6719"/>
    <w:rsid w:val="00EC6E77"/>
    <w:rsid w:val="00EC7FC7"/>
    <w:rsid w:val="00ED0461"/>
    <w:rsid w:val="00ED1115"/>
    <w:rsid w:val="00ED13FB"/>
    <w:rsid w:val="00ED1420"/>
    <w:rsid w:val="00ED1489"/>
    <w:rsid w:val="00ED170A"/>
    <w:rsid w:val="00ED2633"/>
    <w:rsid w:val="00ED2AA0"/>
    <w:rsid w:val="00ED2FC2"/>
    <w:rsid w:val="00ED3307"/>
    <w:rsid w:val="00ED34B3"/>
    <w:rsid w:val="00ED3659"/>
    <w:rsid w:val="00ED376A"/>
    <w:rsid w:val="00ED40FD"/>
    <w:rsid w:val="00ED44A5"/>
    <w:rsid w:val="00ED587A"/>
    <w:rsid w:val="00ED6F0F"/>
    <w:rsid w:val="00ED6FA4"/>
    <w:rsid w:val="00ED71E2"/>
    <w:rsid w:val="00ED75EE"/>
    <w:rsid w:val="00EE042C"/>
    <w:rsid w:val="00EE0AB2"/>
    <w:rsid w:val="00EE0AC0"/>
    <w:rsid w:val="00EE0C85"/>
    <w:rsid w:val="00EE12F4"/>
    <w:rsid w:val="00EE1859"/>
    <w:rsid w:val="00EE2073"/>
    <w:rsid w:val="00EE2144"/>
    <w:rsid w:val="00EE2529"/>
    <w:rsid w:val="00EE257A"/>
    <w:rsid w:val="00EE2E18"/>
    <w:rsid w:val="00EE2F52"/>
    <w:rsid w:val="00EE3B66"/>
    <w:rsid w:val="00EE403A"/>
    <w:rsid w:val="00EE475A"/>
    <w:rsid w:val="00EE506B"/>
    <w:rsid w:val="00EE5113"/>
    <w:rsid w:val="00EE5B29"/>
    <w:rsid w:val="00EE63A6"/>
    <w:rsid w:val="00EE67B8"/>
    <w:rsid w:val="00EE6C11"/>
    <w:rsid w:val="00EE6EA2"/>
    <w:rsid w:val="00EF098E"/>
    <w:rsid w:val="00EF0BC5"/>
    <w:rsid w:val="00EF17E2"/>
    <w:rsid w:val="00EF23BB"/>
    <w:rsid w:val="00EF274E"/>
    <w:rsid w:val="00EF2E4A"/>
    <w:rsid w:val="00EF3434"/>
    <w:rsid w:val="00EF3A2B"/>
    <w:rsid w:val="00EF3C24"/>
    <w:rsid w:val="00EF3E0A"/>
    <w:rsid w:val="00EF3F7F"/>
    <w:rsid w:val="00EF3FC1"/>
    <w:rsid w:val="00EF4AB5"/>
    <w:rsid w:val="00EF4DC2"/>
    <w:rsid w:val="00EF572A"/>
    <w:rsid w:val="00EF61D2"/>
    <w:rsid w:val="00EF6D97"/>
    <w:rsid w:val="00F00735"/>
    <w:rsid w:val="00F007E0"/>
    <w:rsid w:val="00F00981"/>
    <w:rsid w:val="00F00B4F"/>
    <w:rsid w:val="00F01CBA"/>
    <w:rsid w:val="00F01D91"/>
    <w:rsid w:val="00F025D8"/>
    <w:rsid w:val="00F0307A"/>
    <w:rsid w:val="00F033BD"/>
    <w:rsid w:val="00F035E0"/>
    <w:rsid w:val="00F03B99"/>
    <w:rsid w:val="00F03CFA"/>
    <w:rsid w:val="00F03F99"/>
    <w:rsid w:val="00F03FF1"/>
    <w:rsid w:val="00F0409C"/>
    <w:rsid w:val="00F05F3D"/>
    <w:rsid w:val="00F0621D"/>
    <w:rsid w:val="00F0727D"/>
    <w:rsid w:val="00F07541"/>
    <w:rsid w:val="00F07D18"/>
    <w:rsid w:val="00F07F49"/>
    <w:rsid w:val="00F07FE8"/>
    <w:rsid w:val="00F10146"/>
    <w:rsid w:val="00F1031F"/>
    <w:rsid w:val="00F10A81"/>
    <w:rsid w:val="00F11203"/>
    <w:rsid w:val="00F1129B"/>
    <w:rsid w:val="00F1162E"/>
    <w:rsid w:val="00F11DFD"/>
    <w:rsid w:val="00F12330"/>
    <w:rsid w:val="00F133B9"/>
    <w:rsid w:val="00F135BC"/>
    <w:rsid w:val="00F1393C"/>
    <w:rsid w:val="00F139E8"/>
    <w:rsid w:val="00F149FF"/>
    <w:rsid w:val="00F14C18"/>
    <w:rsid w:val="00F14D66"/>
    <w:rsid w:val="00F16285"/>
    <w:rsid w:val="00F162B8"/>
    <w:rsid w:val="00F16DD6"/>
    <w:rsid w:val="00F17980"/>
    <w:rsid w:val="00F17C1B"/>
    <w:rsid w:val="00F20134"/>
    <w:rsid w:val="00F20496"/>
    <w:rsid w:val="00F20F9F"/>
    <w:rsid w:val="00F21E06"/>
    <w:rsid w:val="00F2218C"/>
    <w:rsid w:val="00F22B6B"/>
    <w:rsid w:val="00F23592"/>
    <w:rsid w:val="00F23772"/>
    <w:rsid w:val="00F24140"/>
    <w:rsid w:val="00F24264"/>
    <w:rsid w:val="00F24471"/>
    <w:rsid w:val="00F253FA"/>
    <w:rsid w:val="00F25A22"/>
    <w:rsid w:val="00F25D42"/>
    <w:rsid w:val="00F25FBA"/>
    <w:rsid w:val="00F267C2"/>
    <w:rsid w:val="00F26C5F"/>
    <w:rsid w:val="00F2740D"/>
    <w:rsid w:val="00F27832"/>
    <w:rsid w:val="00F278D7"/>
    <w:rsid w:val="00F30215"/>
    <w:rsid w:val="00F305FD"/>
    <w:rsid w:val="00F30F40"/>
    <w:rsid w:val="00F31BC1"/>
    <w:rsid w:val="00F321B6"/>
    <w:rsid w:val="00F32820"/>
    <w:rsid w:val="00F32BB3"/>
    <w:rsid w:val="00F330B1"/>
    <w:rsid w:val="00F333A6"/>
    <w:rsid w:val="00F333E3"/>
    <w:rsid w:val="00F334DC"/>
    <w:rsid w:val="00F3388D"/>
    <w:rsid w:val="00F3392C"/>
    <w:rsid w:val="00F33E32"/>
    <w:rsid w:val="00F3402A"/>
    <w:rsid w:val="00F34B3C"/>
    <w:rsid w:val="00F34BBE"/>
    <w:rsid w:val="00F34CFF"/>
    <w:rsid w:val="00F35038"/>
    <w:rsid w:val="00F35113"/>
    <w:rsid w:val="00F3595B"/>
    <w:rsid w:val="00F3599E"/>
    <w:rsid w:val="00F35FE3"/>
    <w:rsid w:val="00F36152"/>
    <w:rsid w:val="00F3646A"/>
    <w:rsid w:val="00F369AA"/>
    <w:rsid w:val="00F37071"/>
    <w:rsid w:val="00F37276"/>
    <w:rsid w:val="00F37879"/>
    <w:rsid w:val="00F37BF3"/>
    <w:rsid w:val="00F40618"/>
    <w:rsid w:val="00F4074D"/>
    <w:rsid w:val="00F40B46"/>
    <w:rsid w:val="00F40B78"/>
    <w:rsid w:val="00F40C0A"/>
    <w:rsid w:val="00F40F84"/>
    <w:rsid w:val="00F4121B"/>
    <w:rsid w:val="00F41509"/>
    <w:rsid w:val="00F416F5"/>
    <w:rsid w:val="00F4178C"/>
    <w:rsid w:val="00F41EF1"/>
    <w:rsid w:val="00F420AB"/>
    <w:rsid w:val="00F426BD"/>
    <w:rsid w:val="00F428CF"/>
    <w:rsid w:val="00F42BFC"/>
    <w:rsid w:val="00F43131"/>
    <w:rsid w:val="00F43353"/>
    <w:rsid w:val="00F4354B"/>
    <w:rsid w:val="00F436D5"/>
    <w:rsid w:val="00F43C11"/>
    <w:rsid w:val="00F43E86"/>
    <w:rsid w:val="00F446B3"/>
    <w:rsid w:val="00F44C9B"/>
    <w:rsid w:val="00F45765"/>
    <w:rsid w:val="00F4608D"/>
    <w:rsid w:val="00F462E0"/>
    <w:rsid w:val="00F47129"/>
    <w:rsid w:val="00F471F6"/>
    <w:rsid w:val="00F47423"/>
    <w:rsid w:val="00F47E0E"/>
    <w:rsid w:val="00F5002B"/>
    <w:rsid w:val="00F50401"/>
    <w:rsid w:val="00F50461"/>
    <w:rsid w:val="00F50853"/>
    <w:rsid w:val="00F51759"/>
    <w:rsid w:val="00F51D82"/>
    <w:rsid w:val="00F52D48"/>
    <w:rsid w:val="00F539BE"/>
    <w:rsid w:val="00F541CE"/>
    <w:rsid w:val="00F545ED"/>
    <w:rsid w:val="00F54B5C"/>
    <w:rsid w:val="00F54CFA"/>
    <w:rsid w:val="00F55148"/>
    <w:rsid w:val="00F55605"/>
    <w:rsid w:val="00F55DF4"/>
    <w:rsid w:val="00F57488"/>
    <w:rsid w:val="00F616D3"/>
    <w:rsid w:val="00F62405"/>
    <w:rsid w:val="00F625FC"/>
    <w:rsid w:val="00F627CC"/>
    <w:rsid w:val="00F6328F"/>
    <w:rsid w:val="00F6337B"/>
    <w:rsid w:val="00F636E9"/>
    <w:rsid w:val="00F63D97"/>
    <w:rsid w:val="00F63F5F"/>
    <w:rsid w:val="00F642FF"/>
    <w:rsid w:val="00F64624"/>
    <w:rsid w:val="00F64914"/>
    <w:rsid w:val="00F649DC"/>
    <w:rsid w:val="00F64D9A"/>
    <w:rsid w:val="00F64DF5"/>
    <w:rsid w:val="00F65145"/>
    <w:rsid w:val="00F657C9"/>
    <w:rsid w:val="00F65CF6"/>
    <w:rsid w:val="00F65DC0"/>
    <w:rsid w:val="00F6648F"/>
    <w:rsid w:val="00F7155F"/>
    <w:rsid w:val="00F715C4"/>
    <w:rsid w:val="00F7193E"/>
    <w:rsid w:val="00F719CA"/>
    <w:rsid w:val="00F71F53"/>
    <w:rsid w:val="00F72633"/>
    <w:rsid w:val="00F72F3F"/>
    <w:rsid w:val="00F730C1"/>
    <w:rsid w:val="00F7344D"/>
    <w:rsid w:val="00F73568"/>
    <w:rsid w:val="00F73EA6"/>
    <w:rsid w:val="00F75099"/>
    <w:rsid w:val="00F756DC"/>
    <w:rsid w:val="00F758D7"/>
    <w:rsid w:val="00F762B8"/>
    <w:rsid w:val="00F77DDD"/>
    <w:rsid w:val="00F80102"/>
    <w:rsid w:val="00F805E1"/>
    <w:rsid w:val="00F81284"/>
    <w:rsid w:val="00F820BA"/>
    <w:rsid w:val="00F825C3"/>
    <w:rsid w:val="00F82C9A"/>
    <w:rsid w:val="00F82E54"/>
    <w:rsid w:val="00F83268"/>
    <w:rsid w:val="00F83E6D"/>
    <w:rsid w:val="00F84401"/>
    <w:rsid w:val="00F847D0"/>
    <w:rsid w:val="00F85F0B"/>
    <w:rsid w:val="00F864CA"/>
    <w:rsid w:val="00F8684D"/>
    <w:rsid w:val="00F86C3A"/>
    <w:rsid w:val="00F87384"/>
    <w:rsid w:val="00F8772E"/>
    <w:rsid w:val="00F879D8"/>
    <w:rsid w:val="00F903C2"/>
    <w:rsid w:val="00F904FF"/>
    <w:rsid w:val="00F90673"/>
    <w:rsid w:val="00F906DE"/>
    <w:rsid w:val="00F90D12"/>
    <w:rsid w:val="00F9126B"/>
    <w:rsid w:val="00F9144D"/>
    <w:rsid w:val="00F919C4"/>
    <w:rsid w:val="00F91E4A"/>
    <w:rsid w:val="00F92076"/>
    <w:rsid w:val="00F92157"/>
    <w:rsid w:val="00F92165"/>
    <w:rsid w:val="00F92474"/>
    <w:rsid w:val="00F927CB"/>
    <w:rsid w:val="00F92D5C"/>
    <w:rsid w:val="00F933E6"/>
    <w:rsid w:val="00F93AFC"/>
    <w:rsid w:val="00F93C33"/>
    <w:rsid w:val="00F9589F"/>
    <w:rsid w:val="00F960CF"/>
    <w:rsid w:val="00F9679C"/>
    <w:rsid w:val="00F96814"/>
    <w:rsid w:val="00F97C8E"/>
    <w:rsid w:val="00F97E90"/>
    <w:rsid w:val="00F97ED4"/>
    <w:rsid w:val="00F97F30"/>
    <w:rsid w:val="00FA043A"/>
    <w:rsid w:val="00FA0C8E"/>
    <w:rsid w:val="00FA187A"/>
    <w:rsid w:val="00FA2602"/>
    <w:rsid w:val="00FA3B70"/>
    <w:rsid w:val="00FA3DBA"/>
    <w:rsid w:val="00FA4270"/>
    <w:rsid w:val="00FA4319"/>
    <w:rsid w:val="00FA4C26"/>
    <w:rsid w:val="00FA4C48"/>
    <w:rsid w:val="00FA51A4"/>
    <w:rsid w:val="00FA5F99"/>
    <w:rsid w:val="00FA6DB8"/>
    <w:rsid w:val="00FA7162"/>
    <w:rsid w:val="00FA7595"/>
    <w:rsid w:val="00FA7AC6"/>
    <w:rsid w:val="00FB039C"/>
    <w:rsid w:val="00FB0434"/>
    <w:rsid w:val="00FB04DC"/>
    <w:rsid w:val="00FB1151"/>
    <w:rsid w:val="00FB2CCA"/>
    <w:rsid w:val="00FB2DCE"/>
    <w:rsid w:val="00FB352C"/>
    <w:rsid w:val="00FB3BAE"/>
    <w:rsid w:val="00FB3F08"/>
    <w:rsid w:val="00FB6DCD"/>
    <w:rsid w:val="00FB6FF5"/>
    <w:rsid w:val="00FB75F0"/>
    <w:rsid w:val="00FB7C30"/>
    <w:rsid w:val="00FB7C91"/>
    <w:rsid w:val="00FC066B"/>
    <w:rsid w:val="00FC0880"/>
    <w:rsid w:val="00FC0CFC"/>
    <w:rsid w:val="00FC231C"/>
    <w:rsid w:val="00FC283E"/>
    <w:rsid w:val="00FC2C53"/>
    <w:rsid w:val="00FC335C"/>
    <w:rsid w:val="00FC337B"/>
    <w:rsid w:val="00FC3996"/>
    <w:rsid w:val="00FC3D60"/>
    <w:rsid w:val="00FC47E6"/>
    <w:rsid w:val="00FC4F15"/>
    <w:rsid w:val="00FC5C43"/>
    <w:rsid w:val="00FC6090"/>
    <w:rsid w:val="00FC64F3"/>
    <w:rsid w:val="00FC67DF"/>
    <w:rsid w:val="00FC6C13"/>
    <w:rsid w:val="00FC6CF4"/>
    <w:rsid w:val="00FC7A2E"/>
    <w:rsid w:val="00FD0215"/>
    <w:rsid w:val="00FD0541"/>
    <w:rsid w:val="00FD0A3D"/>
    <w:rsid w:val="00FD0AF8"/>
    <w:rsid w:val="00FD0C87"/>
    <w:rsid w:val="00FD0CB7"/>
    <w:rsid w:val="00FD13E0"/>
    <w:rsid w:val="00FD20A5"/>
    <w:rsid w:val="00FD309D"/>
    <w:rsid w:val="00FD3153"/>
    <w:rsid w:val="00FD3233"/>
    <w:rsid w:val="00FD33C4"/>
    <w:rsid w:val="00FD34FC"/>
    <w:rsid w:val="00FD3897"/>
    <w:rsid w:val="00FD38F9"/>
    <w:rsid w:val="00FD3B12"/>
    <w:rsid w:val="00FD3B90"/>
    <w:rsid w:val="00FD51E7"/>
    <w:rsid w:val="00FD58F6"/>
    <w:rsid w:val="00FD629B"/>
    <w:rsid w:val="00FD64B6"/>
    <w:rsid w:val="00FD676E"/>
    <w:rsid w:val="00FD75AC"/>
    <w:rsid w:val="00FE00C9"/>
    <w:rsid w:val="00FE0E4C"/>
    <w:rsid w:val="00FE0FA9"/>
    <w:rsid w:val="00FE15A7"/>
    <w:rsid w:val="00FE1B09"/>
    <w:rsid w:val="00FE2CE5"/>
    <w:rsid w:val="00FE2FB3"/>
    <w:rsid w:val="00FE329B"/>
    <w:rsid w:val="00FE355E"/>
    <w:rsid w:val="00FE38A8"/>
    <w:rsid w:val="00FE394D"/>
    <w:rsid w:val="00FE4A54"/>
    <w:rsid w:val="00FE4FCB"/>
    <w:rsid w:val="00FE5986"/>
    <w:rsid w:val="00FE63D3"/>
    <w:rsid w:val="00FE6425"/>
    <w:rsid w:val="00FE6E24"/>
    <w:rsid w:val="00FE7B6C"/>
    <w:rsid w:val="00FF0B32"/>
    <w:rsid w:val="00FF0CC0"/>
    <w:rsid w:val="00FF2AE8"/>
    <w:rsid w:val="00FF322A"/>
    <w:rsid w:val="00FF33D4"/>
    <w:rsid w:val="00FF376C"/>
    <w:rsid w:val="00FF4837"/>
    <w:rsid w:val="00FF4E53"/>
    <w:rsid w:val="00FF5746"/>
    <w:rsid w:val="00FF57E7"/>
    <w:rsid w:val="00FF620E"/>
    <w:rsid w:val="00FF6516"/>
    <w:rsid w:val="00FF6B00"/>
    <w:rsid w:val="00FF6F3B"/>
    <w:rsid w:val="00FF7393"/>
    <w:rsid w:val="00FF7937"/>
    <w:rsid w:val="00FF7B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D05D9"/>
  <w14:defaultImageDpi w14:val="300"/>
  <w15:docId w15:val="{EEBCFE0F-8DE4-A048-AFFC-468EF7E4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4F"/>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31BA"/>
    <w:pPr>
      <w:ind w:left="720"/>
      <w:contextualSpacing/>
    </w:pPr>
    <w:rPr>
      <w:rFonts w:ascii="Cambria" w:eastAsia="Cambria" w:hAnsi="Cambria"/>
      <w:sz w:val="20"/>
      <w:szCs w:val="20"/>
      <w:lang w:eastAsia="ja-JP"/>
    </w:rPr>
  </w:style>
  <w:style w:type="paragraph" w:customStyle="1" w:styleId="Bibliographie1">
    <w:name w:val="Bibliographie1"/>
    <w:basedOn w:val="Normal"/>
    <w:rsid w:val="00F26C5F"/>
    <w:pPr>
      <w:tabs>
        <w:tab w:val="left" w:pos="380"/>
      </w:tabs>
      <w:spacing w:after="240"/>
      <w:ind w:left="384" w:hanging="384"/>
    </w:pPr>
    <w:rPr>
      <w:rFonts w:ascii="Cambria" w:eastAsia="Cambria" w:hAnsi="Cambria"/>
      <w:sz w:val="20"/>
      <w:szCs w:val="20"/>
      <w:lang w:val="en-GB" w:eastAsia="ja-JP"/>
    </w:rPr>
  </w:style>
  <w:style w:type="paragraph" w:styleId="NormalWeb">
    <w:name w:val="Normal (Web)"/>
    <w:basedOn w:val="Normal"/>
    <w:uiPriority w:val="99"/>
    <w:unhideWhenUsed/>
    <w:rsid w:val="0002724D"/>
    <w:pPr>
      <w:spacing w:before="100" w:beforeAutospacing="1" w:after="100" w:afterAutospacing="1"/>
    </w:pPr>
  </w:style>
  <w:style w:type="paragraph" w:styleId="Header">
    <w:name w:val="header"/>
    <w:basedOn w:val="Normal"/>
    <w:link w:val="HeaderChar"/>
    <w:uiPriority w:val="99"/>
    <w:unhideWhenUsed/>
    <w:rsid w:val="002B4B81"/>
    <w:pPr>
      <w:tabs>
        <w:tab w:val="center" w:pos="4536"/>
        <w:tab w:val="right" w:pos="9072"/>
      </w:tabs>
    </w:pPr>
    <w:rPr>
      <w:rFonts w:ascii="Cambria" w:eastAsia="Cambria" w:hAnsi="Cambria"/>
      <w:sz w:val="20"/>
      <w:szCs w:val="20"/>
      <w:lang w:eastAsia="ja-JP"/>
    </w:rPr>
  </w:style>
  <w:style w:type="character" w:customStyle="1" w:styleId="HeaderChar">
    <w:name w:val="Header Char"/>
    <w:basedOn w:val="DefaultParagraphFont"/>
    <w:link w:val="Header"/>
    <w:uiPriority w:val="99"/>
    <w:rsid w:val="002B4B81"/>
    <w:rPr>
      <w:rFonts w:ascii="Cambria" w:eastAsia="Cambria" w:hAnsi="Cambria" w:cs="Times New Roman"/>
      <w:sz w:val="20"/>
      <w:szCs w:val="20"/>
    </w:rPr>
  </w:style>
  <w:style w:type="paragraph" w:styleId="Footer">
    <w:name w:val="footer"/>
    <w:basedOn w:val="Normal"/>
    <w:link w:val="FooterChar"/>
    <w:uiPriority w:val="99"/>
    <w:unhideWhenUsed/>
    <w:rsid w:val="002B4B81"/>
    <w:pPr>
      <w:tabs>
        <w:tab w:val="center" w:pos="4536"/>
        <w:tab w:val="right" w:pos="9072"/>
      </w:tabs>
    </w:pPr>
    <w:rPr>
      <w:rFonts w:ascii="Cambria" w:eastAsia="Cambria" w:hAnsi="Cambria"/>
      <w:sz w:val="20"/>
      <w:szCs w:val="20"/>
      <w:lang w:eastAsia="ja-JP"/>
    </w:rPr>
  </w:style>
  <w:style w:type="character" w:customStyle="1" w:styleId="FooterChar">
    <w:name w:val="Footer Char"/>
    <w:basedOn w:val="DefaultParagraphFont"/>
    <w:link w:val="Footer"/>
    <w:uiPriority w:val="99"/>
    <w:rsid w:val="002B4B81"/>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E46CD1"/>
    <w:rPr>
      <w:rFonts w:ascii="Lucida Grande" w:eastAsia="Cambr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E46CD1"/>
    <w:rPr>
      <w:rFonts w:ascii="Lucida Grande" w:eastAsia="Cambria" w:hAnsi="Lucida Grande" w:cs="Lucida Grande"/>
    </w:rPr>
  </w:style>
  <w:style w:type="character" w:styleId="CommentReference">
    <w:name w:val="annotation reference"/>
    <w:basedOn w:val="DefaultParagraphFont"/>
    <w:uiPriority w:val="99"/>
    <w:semiHidden/>
    <w:unhideWhenUsed/>
    <w:rsid w:val="00721A2A"/>
    <w:rPr>
      <w:sz w:val="16"/>
      <w:szCs w:val="16"/>
    </w:rPr>
  </w:style>
  <w:style w:type="paragraph" w:styleId="CommentText">
    <w:name w:val="annotation text"/>
    <w:basedOn w:val="Normal"/>
    <w:link w:val="CommentTextChar"/>
    <w:uiPriority w:val="99"/>
    <w:unhideWhenUsed/>
    <w:rsid w:val="00721A2A"/>
    <w:rPr>
      <w:rFonts w:ascii="Cambria" w:eastAsia="Cambria" w:hAnsi="Cambria"/>
      <w:sz w:val="20"/>
      <w:szCs w:val="20"/>
      <w:lang w:eastAsia="ja-JP"/>
    </w:rPr>
  </w:style>
  <w:style w:type="character" w:customStyle="1" w:styleId="CommentTextChar">
    <w:name w:val="Comment Text Char"/>
    <w:basedOn w:val="DefaultParagraphFont"/>
    <w:link w:val="CommentText"/>
    <w:uiPriority w:val="99"/>
    <w:rsid w:val="00721A2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21A2A"/>
    <w:rPr>
      <w:b/>
      <w:bCs/>
    </w:rPr>
  </w:style>
  <w:style w:type="character" w:customStyle="1" w:styleId="CommentSubjectChar">
    <w:name w:val="Comment Subject Char"/>
    <w:basedOn w:val="CommentTextChar"/>
    <w:link w:val="CommentSubject"/>
    <w:uiPriority w:val="99"/>
    <w:semiHidden/>
    <w:rsid w:val="00721A2A"/>
    <w:rPr>
      <w:rFonts w:ascii="Cambria" w:eastAsia="Cambria" w:hAnsi="Cambria" w:cs="Times New Roman"/>
      <w:b/>
      <w:bCs/>
      <w:sz w:val="20"/>
      <w:szCs w:val="20"/>
    </w:rPr>
  </w:style>
  <w:style w:type="table" w:styleId="TableGrid">
    <w:name w:val="Table Grid"/>
    <w:basedOn w:val="TableNormal"/>
    <w:uiPriority w:val="39"/>
    <w:rsid w:val="005012A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1F7555"/>
    <w:pPr>
      <w:autoSpaceDE w:val="0"/>
      <w:autoSpaceDN w:val="0"/>
      <w:adjustRightInd w:val="0"/>
      <w:spacing w:line="181" w:lineRule="atLeast"/>
    </w:pPr>
    <w:rPr>
      <w:rFonts w:eastAsiaTheme="minorEastAsia"/>
      <w:lang w:eastAsia="ja-JP"/>
    </w:rPr>
  </w:style>
  <w:style w:type="paragraph" w:customStyle="1" w:styleId="Pa13">
    <w:name w:val="Pa13"/>
    <w:basedOn w:val="Normal"/>
    <w:next w:val="Normal"/>
    <w:uiPriority w:val="99"/>
    <w:rsid w:val="001F7555"/>
    <w:pPr>
      <w:autoSpaceDE w:val="0"/>
      <w:autoSpaceDN w:val="0"/>
      <w:adjustRightInd w:val="0"/>
      <w:spacing w:line="181" w:lineRule="atLeast"/>
    </w:pPr>
    <w:rPr>
      <w:rFonts w:eastAsiaTheme="minorEastAsia"/>
      <w:lang w:eastAsia="ja-JP"/>
    </w:rPr>
  </w:style>
  <w:style w:type="paragraph" w:customStyle="1" w:styleId="Bibliographie2">
    <w:name w:val="Bibliographie2"/>
    <w:basedOn w:val="Normal"/>
    <w:link w:val="BibliographyCar"/>
    <w:rsid w:val="000B222B"/>
    <w:pPr>
      <w:tabs>
        <w:tab w:val="left" w:pos="380"/>
      </w:tabs>
      <w:ind w:left="384" w:hanging="384"/>
    </w:pPr>
    <w:rPr>
      <w:rFonts w:asciiTheme="majorHAnsi" w:eastAsia="Cambria" w:hAnsiTheme="majorHAnsi" w:cstheme="majorHAnsi"/>
      <w:lang w:val="en-GB" w:eastAsia="ja-JP"/>
    </w:rPr>
  </w:style>
  <w:style w:type="character" w:customStyle="1" w:styleId="BibliographyCar">
    <w:name w:val="Bibliography Car"/>
    <w:basedOn w:val="DefaultParagraphFont"/>
    <w:link w:val="Bibliographie2"/>
    <w:rsid w:val="000B222B"/>
    <w:rPr>
      <w:rFonts w:asciiTheme="majorHAnsi" w:eastAsia="Cambria" w:hAnsiTheme="majorHAnsi" w:cstheme="majorHAnsi"/>
      <w:sz w:val="24"/>
      <w:szCs w:val="24"/>
      <w:lang w:val="en-GB"/>
    </w:rPr>
  </w:style>
  <w:style w:type="character" w:customStyle="1" w:styleId="apple-converted-space">
    <w:name w:val="apple-converted-space"/>
    <w:basedOn w:val="DefaultParagraphFont"/>
    <w:rsid w:val="003E3DD9"/>
  </w:style>
  <w:style w:type="character" w:customStyle="1" w:styleId="highlight">
    <w:name w:val="highlight"/>
    <w:basedOn w:val="DefaultParagraphFont"/>
    <w:rsid w:val="003E3DD9"/>
  </w:style>
  <w:style w:type="paragraph" w:styleId="Revision">
    <w:name w:val="Revision"/>
    <w:hidden/>
    <w:uiPriority w:val="99"/>
    <w:semiHidden/>
    <w:rsid w:val="00AA613E"/>
    <w:rPr>
      <w:rFonts w:ascii="Cambria" w:eastAsia="Cambria" w:hAnsi="Cambria" w:cs="Times New Roman"/>
      <w:sz w:val="20"/>
      <w:szCs w:val="20"/>
    </w:rPr>
  </w:style>
  <w:style w:type="character" w:styleId="PageNumber">
    <w:name w:val="page number"/>
    <w:basedOn w:val="DefaultParagraphFont"/>
    <w:uiPriority w:val="99"/>
    <w:semiHidden/>
    <w:unhideWhenUsed/>
    <w:rsid w:val="0048256A"/>
  </w:style>
  <w:style w:type="character" w:styleId="LineNumber">
    <w:name w:val="line number"/>
    <w:basedOn w:val="DefaultParagraphFont"/>
    <w:uiPriority w:val="99"/>
    <w:semiHidden/>
    <w:unhideWhenUsed/>
    <w:rsid w:val="00F86C3A"/>
  </w:style>
  <w:style w:type="paragraph" w:customStyle="1" w:styleId="Bibliographie3">
    <w:name w:val="Bibliographie3"/>
    <w:basedOn w:val="Normal"/>
    <w:link w:val="BibliographyCar1"/>
    <w:rsid w:val="008D668C"/>
    <w:pPr>
      <w:tabs>
        <w:tab w:val="left" w:pos="380"/>
      </w:tabs>
      <w:ind w:left="384" w:hanging="384"/>
    </w:pPr>
    <w:rPr>
      <w:rFonts w:eastAsia="Cambria"/>
      <w:lang w:val="en-US" w:eastAsia="ja-JP"/>
    </w:rPr>
  </w:style>
  <w:style w:type="character" w:customStyle="1" w:styleId="BibliographyCar1">
    <w:name w:val="Bibliography Car1"/>
    <w:basedOn w:val="DefaultParagraphFont"/>
    <w:link w:val="Bibliographie3"/>
    <w:rsid w:val="008D668C"/>
    <w:rPr>
      <w:rFonts w:ascii="Times New Roman" w:eastAsia="Cambria" w:hAnsi="Times New Roman" w:cs="Times New Roman"/>
      <w:sz w:val="24"/>
      <w:szCs w:val="24"/>
      <w:lang w:val="en-US"/>
    </w:rPr>
  </w:style>
  <w:style w:type="paragraph" w:customStyle="1" w:styleId="Study">
    <w:name w:val="Study"/>
    <w:basedOn w:val="Normal"/>
    <w:link w:val="StudyCar"/>
    <w:qFormat/>
    <w:rsid w:val="00CC04BC"/>
  </w:style>
  <w:style w:type="paragraph" w:customStyle="1" w:styleId="Bibliographie4">
    <w:name w:val="Bibliographie4"/>
    <w:basedOn w:val="Normal"/>
    <w:link w:val="BibliographyCar2"/>
    <w:rsid w:val="00CF1A7C"/>
    <w:pPr>
      <w:tabs>
        <w:tab w:val="left" w:pos="380"/>
      </w:tabs>
      <w:spacing w:after="240"/>
      <w:ind w:left="384" w:right="866" w:hanging="384"/>
    </w:pPr>
    <w:rPr>
      <w:lang w:val="en-GB"/>
    </w:rPr>
  </w:style>
  <w:style w:type="character" w:customStyle="1" w:styleId="BibliographyCar2">
    <w:name w:val="Bibliography Car2"/>
    <w:basedOn w:val="DefaultParagraphFont"/>
    <w:link w:val="Bibliographie4"/>
    <w:rsid w:val="00CF1A7C"/>
    <w:rPr>
      <w:rFonts w:ascii="Times New Roman" w:eastAsia="Times New Roman" w:hAnsi="Times New Roman" w:cs="Times New Roman"/>
      <w:sz w:val="24"/>
      <w:szCs w:val="24"/>
      <w:lang w:val="en-GB" w:eastAsia="fr-FR"/>
    </w:rPr>
  </w:style>
  <w:style w:type="character" w:customStyle="1" w:styleId="StudyCar">
    <w:name w:val="Study Car"/>
    <w:basedOn w:val="DefaultParagraphFont"/>
    <w:link w:val="Study"/>
    <w:rsid w:val="00D00EC3"/>
    <w:rPr>
      <w:rFonts w:ascii="Times New Roman" w:eastAsia="Times New Roman" w:hAnsi="Times New Roman" w:cs="Times New Roman"/>
      <w:sz w:val="24"/>
      <w:szCs w:val="24"/>
      <w:lang w:eastAsia="fr-FR"/>
    </w:rPr>
  </w:style>
  <w:style w:type="character" w:customStyle="1" w:styleId="ListParagraphChar">
    <w:name w:val="List Paragraph Char"/>
    <w:basedOn w:val="DefaultParagraphFont"/>
    <w:link w:val="ListParagraph"/>
    <w:uiPriority w:val="34"/>
    <w:rsid w:val="0098793C"/>
    <w:rPr>
      <w:rFonts w:ascii="Cambria" w:eastAsia="Cambria"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349">
      <w:bodyDiv w:val="1"/>
      <w:marLeft w:val="0"/>
      <w:marRight w:val="0"/>
      <w:marTop w:val="0"/>
      <w:marBottom w:val="0"/>
      <w:divBdr>
        <w:top w:val="none" w:sz="0" w:space="0" w:color="auto"/>
        <w:left w:val="none" w:sz="0" w:space="0" w:color="auto"/>
        <w:bottom w:val="none" w:sz="0" w:space="0" w:color="auto"/>
        <w:right w:val="none" w:sz="0" w:space="0" w:color="auto"/>
      </w:divBdr>
      <w:divsChild>
        <w:div w:id="578252671">
          <w:marLeft w:val="0"/>
          <w:marRight w:val="0"/>
          <w:marTop w:val="0"/>
          <w:marBottom w:val="0"/>
          <w:divBdr>
            <w:top w:val="none" w:sz="0" w:space="0" w:color="auto"/>
            <w:left w:val="none" w:sz="0" w:space="0" w:color="auto"/>
            <w:bottom w:val="none" w:sz="0" w:space="0" w:color="auto"/>
            <w:right w:val="none" w:sz="0" w:space="0" w:color="auto"/>
          </w:divBdr>
          <w:divsChild>
            <w:div w:id="204945599">
              <w:marLeft w:val="0"/>
              <w:marRight w:val="0"/>
              <w:marTop w:val="0"/>
              <w:marBottom w:val="0"/>
              <w:divBdr>
                <w:top w:val="none" w:sz="0" w:space="0" w:color="auto"/>
                <w:left w:val="none" w:sz="0" w:space="0" w:color="auto"/>
                <w:bottom w:val="none" w:sz="0" w:space="0" w:color="auto"/>
                <w:right w:val="none" w:sz="0" w:space="0" w:color="auto"/>
              </w:divBdr>
              <w:divsChild>
                <w:div w:id="1282882121">
                  <w:marLeft w:val="0"/>
                  <w:marRight w:val="0"/>
                  <w:marTop w:val="0"/>
                  <w:marBottom w:val="0"/>
                  <w:divBdr>
                    <w:top w:val="none" w:sz="0" w:space="0" w:color="auto"/>
                    <w:left w:val="none" w:sz="0" w:space="0" w:color="auto"/>
                    <w:bottom w:val="none" w:sz="0" w:space="0" w:color="auto"/>
                    <w:right w:val="none" w:sz="0" w:space="0" w:color="auto"/>
                  </w:divBdr>
                  <w:divsChild>
                    <w:div w:id="14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0402">
      <w:bodyDiv w:val="1"/>
      <w:marLeft w:val="0"/>
      <w:marRight w:val="0"/>
      <w:marTop w:val="0"/>
      <w:marBottom w:val="0"/>
      <w:divBdr>
        <w:top w:val="none" w:sz="0" w:space="0" w:color="auto"/>
        <w:left w:val="none" w:sz="0" w:space="0" w:color="auto"/>
        <w:bottom w:val="none" w:sz="0" w:space="0" w:color="auto"/>
        <w:right w:val="none" w:sz="0" w:space="0" w:color="auto"/>
      </w:divBdr>
    </w:div>
    <w:div w:id="64762505">
      <w:bodyDiv w:val="1"/>
      <w:marLeft w:val="0"/>
      <w:marRight w:val="0"/>
      <w:marTop w:val="0"/>
      <w:marBottom w:val="0"/>
      <w:divBdr>
        <w:top w:val="none" w:sz="0" w:space="0" w:color="auto"/>
        <w:left w:val="none" w:sz="0" w:space="0" w:color="auto"/>
        <w:bottom w:val="none" w:sz="0" w:space="0" w:color="auto"/>
        <w:right w:val="none" w:sz="0" w:space="0" w:color="auto"/>
      </w:divBdr>
      <w:divsChild>
        <w:div w:id="137694582">
          <w:marLeft w:val="0"/>
          <w:marRight w:val="0"/>
          <w:marTop w:val="0"/>
          <w:marBottom w:val="0"/>
          <w:divBdr>
            <w:top w:val="none" w:sz="0" w:space="0" w:color="auto"/>
            <w:left w:val="none" w:sz="0" w:space="0" w:color="auto"/>
            <w:bottom w:val="none" w:sz="0" w:space="0" w:color="auto"/>
            <w:right w:val="none" w:sz="0" w:space="0" w:color="auto"/>
          </w:divBdr>
          <w:divsChild>
            <w:div w:id="36316843">
              <w:marLeft w:val="0"/>
              <w:marRight w:val="0"/>
              <w:marTop w:val="0"/>
              <w:marBottom w:val="0"/>
              <w:divBdr>
                <w:top w:val="none" w:sz="0" w:space="0" w:color="auto"/>
                <w:left w:val="none" w:sz="0" w:space="0" w:color="auto"/>
                <w:bottom w:val="none" w:sz="0" w:space="0" w:color="auto"/>
                <w:right w:val="none" w:sz="0" w:space="0" w:color="auto"/>
              </w:divBdr>
              <w:divsChild>
                <w:div w:id="15416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9275">
      <w:bodyDiv w:val="1"/>
      <w:marLeft w:val="0"/>
      <w:marRight w:val="0"/>
      <w:marTop w:val="0"/>
      <w:marBottom w:val="0"/>
      <w:divBdr>
        <w:top w:val="none" w:sz="0" w:space="0" w:color="auto"/>
        <w:left w:val="none" w:sz="0" w:space="0" w:color="auto"/>
        <w:bottom w:val="none" w:sz="0" w:space="0" w:color="auto"/>
        <w:right w:val="none" w:sz="0" w:space="0" w:color="auto"/>
      </w:divBdr>
      <w:divsChild>
        <w:div w:id="1830174731">
          <w:marLeft w:val="0"/>
          <w:marRight w:val="0"/>
          <w:marTop w:val="0"/>
          <w:marBottom w:val="0"/>
          <w:divBdr>
            <w:top w:val="none" w:sz="0" w:space="0" w:color="auto"/>
            <w:left w:val="none" w:sz="0" w:space="0" w:color="auto"/>
            <w:bottom w:val="none" w:sz="0" w:space="0" w:color="auto"/>
            <w:right w:val="none" w:sz="0" w:space="0" w:color="auto"/>
          </w:divBdr>
          <w:divsChild>
            <w:div w:id="1717856546">
              <w:marLeft w:val="0"/>
              <w:marRight w:val="0"/>
              <w:marTop w:val="0"/>
              <w:marBottom w:val="0"/>
              <w:divBdr>
                <w:top w:val="none" w:sz="0" w:space="0" w:color="auto"/>
                <w:left w:val="none" w:sz="0" w:space="0" w:color="auto"/>
                <w:bottom w:val="none" w:sz="0" w:space="0" w:color="auto"/>
                <w:right w:val="none" w:sz="0" w:space="0" w:color="auto"/>
              </w:divBdr>
              <w:divsChild>
                <w:div w:id="1626156421">
                  <w:marLeft w:val="0"/>
                  <w:marRight w:val="0"/>
                  <w:marTop w:val="0"/>
                  <w:marBottom w:val="0"/>
                  <w:divBdr>
                    <w:top w:val="none" w:sz="0" w:space="0" w:color="auto"/>
                    <w:left w:val="none" w:sz="0" w:space="0" w:color="auto"/>
                    <w:bottom w:val="none" w:sz="0" w:space="0" w:color="auto"/>
                    <w:right w:val="none" w:sz="0" w:space="0" w:color="auto"/>
                  </w:divBdr>
                  <w:divsChild>
                    <w:div w:id="5503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812">
      <w:bodyDiv w:val="1"/>
      <w:marLeft w:val="0"/>
      <w:marRight w:val="0"/>
      <w:marTop w:val="0"/>
      <w:marBottom w:val="0"/>
      <w:divBdr>
        <w:top w:val="none" w:sz="0" w:space="0" w:color="auto"/>
        <w:left w:val="none" w:sz="0" w:space="0" w:color="auto"/>
        <w:bottom w:val="none" w:sz="0" w:space="0" w:color="auto"/>
        <w:right w:val="none" w:sz="0" w:space="0" w:color="auto"/>
      </w:divBdr>
      <w:divsChild>
        <w:div w:id="1980457090">
          <w:marLeft w:val="0"/>
          <w:marRight w:val="0"/>
          <w:marTop w:val="0"/>
          <w:marBottom w:val="0"/>
          <w:divBdr>
            <w:top w:val="none" w:sz="0" w:space="0" w:color="auto"/>
            <w:left w:val="none" w:sz="0" w:space="0" w:color="auto"/>
            <w:bottom w:val="none" w:sz="0" w:space="0" w:color="auto"/>
            <w:right w:val="none" w:sz="0" w:space="0" w:color="auto"/>
          </w:divBdr>
          <w:divsChild>
            <w:div w:id="651982055">
              <w:marLeft w:val="0"/>
              <w:marRight w:val="0"/>
              <w:marTop w:val="0"/>
              <w:marBottom w:val="0"/>
              <w:divBdr>
                <w:top w:val="none" w:sz="0" w:space="0" w:color="auto"/>
                <w:left w:val="none" w:sz="0" w:space="0" w:color="auto"/>
                <w:bottom w:val="none" w:sz="0" w:space="0" w:color="auto"/>
                <w:right w:val="none" w:sz="0" w:space="0" w:color="auto"/>
              </w:divBdr>
              <w:divsChild>
                <w:div w:id="989097606">
                  <w:marLeft w:val="0"/>
                  <w:marRight w:val="0"/>
                  <w:marTop w:val="0"/>
                  <w:marBottom w:val="0"/>
                  <w:divBdr>
                    <w:top w:val="none" w:sz="0" w:space="0" w:color="auto"/>
                    <w:left w:val="none" w:sz="0" w:space="0" w:color="auto"/>
                    <w:bottom w:val="none" w:sz="0" w:space="0" w:color="auto"/>
                    <w:right w:val="none" w:sz="0" w:space="0" w:color="auto"/>
                  </w:divBdr>
                  <w:divsChild>
                    <w:div w:id="8020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9343">
      <w:bodyDiv w:val="1"/>
      <w:marLeft w:val="0"/>
      <w:marRight w:val="0"/>
      <w:marTop w:val="0"/>
      <w:marBottom w:val="0"/>
      <w:divBdr>
        <w:top w:val="none" w:sz="0" w:space="0" w:color="auto"/>
        <w:left w:val="none" w:sz="0" w:space="0" w:color="auto"/>
        <w:bottom w:val="none" w:sz="0" w:space="0" w:color="auto"/>
        <w:right w:val="none" w:sz="0" w:space="0" w:color="auto"/>
      </w:divBdr>
    </w:div>
    <w:div w:id="88161405">
      <w:bodyDiv w:val="1"/>
      <w:marLeft w:val="0"/>
      <w:marRight w:val="0"/>
      <w:marTop w:val="0"/>
      <w:marBottom w:val="0"/>
      <w:divBdr>
        <w:top w:val="none" w:sz="0" w:space="0" w:color="auto"/>
        <w:left w:val="none" w:sz="0" w:space="0" w:color="auto"/>
        <w:bottom w:val="none" w:sz="0" w:space="0" w:color="auto"/>
        <w:right w:val="none" w:sz="0" w:space="0" w:color="auto"/>
      </w:divBdr>
      <w:divsChild>
        <w:div w:id="1667198073">
          <w:marLeft w:val="0"/>
          <w:marRight w:val="0"/>
          <w:marTop w:val="0"/>
          <w:marBottom w:val="0"/>
          <w:divBdr>
            <w:top w:val="none" w:sz="0" w:space="0" w:color="auto"/>
            <w:left w:val="none" w:sz="0" w:space="0" w:color="auto"/>
            <w:bottom w:val="none" w:sz="0" w:space="0" w:color="auto"/>
            <w:right w:val="none" w:sz="0" w:space="0" w:color="auto"/>
          </w:divBdr>
          <w:divsChild>
            <w:div w:id="1268463212">
              <w:marLeft w:val="0"/>
              <w:marRight w:val="0"/>
              <w:marTop w:val="0"/>
              <w:marBottom w:val="0"/>
              <w:divBdr>
                <w:top w:val="none" w:sz="0" w:space="0" w:color="auto"/>
                <w:left w:val="none" w:sz="0" w:space="0" w:color="auto"/>
                <w:bottom w:val="none" w:sz="0" w:space="0" w:color="auto"/>
                <w:right w:val="none" w:sz="0" w:space="0" w:color="auto"/>
              </w:divBdr>
              <w:divsChild>
                <w:div w:id="14122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715">
      <w:bodyDiv w:val="1"/>
      <w:marLeft w:val="0"/>
      <w:marRight w:val="0"/>
      <w:marTop w:val="0"/>
      <w:marBottom w:val="0"/>
      <w:divBdr>
        <w:top w:val="none" w:sz="0" w:space="0" w:color="auto"/>
        <w:left w:val="none" w:sz="0" w:space="0" w:color="auto"/>
        <w:bottom w:val="none" w:sz="0" w:space="0" w:color="auto"/>
        <w:right w:val="none" w:sz="0" w:space="0" w:color="auto"/>
      </w:divBdr>
    </w:div>
    <w:div w:id="94717234">
      <w:bodyDiv w:val="1"/>
      <w:marLeft w:val="0"/>
      <w:marRight w:val="0"/>
      <w:marTop w:val="0"/>
      <w:marBottom w:val="0"/>
      <w:divBdr>
        <w:top w:val="none" w:sz="0" w:space="0" w:color="auto"/>
        <w:left w:val="none" w:sz="0" w:space="0" w:color="auto"/>
        <w:bottom w:val="none" w:sz="0" w:space="0" w:color="auto"/>
        <w:right w:val="none" w:sz="0" w:space="0" w:color="auto"/>
      </w:divBdr>
    </w:div>
    <w:div w:id="156850936">
      <w:bodyDiv w:val="1"/>
      <w:marLeft w:val="0"/>
      <w:marRight w:val="0"/>
      <w:marTop w:val="0"/>
      <w:marBottom w:val="0"/>
      <w:divBdr>
        <w:top w:val="none" w:sz="0" w:space="0" w:color="auto"/>
        <w:left w:val="none" w:sz="0" w:space="0" w:color="auto"/>
        <w:bottom w:val="none" w:sz="0" w:space="0" w:color="auto"/>
        <w:right w:val="none" w:sz="0" w:space="0" w:color="auto"/>
      </w:divBdr>
      <w:divsChild>
        <w:div w:id="277715">
          <w:marLeft w:val="0"/>
          <w:marRight w:val="0"/>
          <w:marTop w:val="0"/>
          <w:marBottom w:val="0"/>
          <w:divBdr>
            <w:top w:val="none" w:sz="0" w:space="0" w:color="auto"/>
            <w:left w:val="none" w:sz="0" w:space="0" w:color="auto"/>
            <w:bottom w:val="none" w:sz="0" w:space="0" w:color="auto"/>
            <w:right w:val="none" w:sz="0" w:space="0" w:color="auto"/>
          </w:divBdr>
          <w:divsChild>
            <w:div w:id="1826362029">
              <w:marLeft w:val="0"/>
              <w:marRight w:val="0"/>
              <w:marTop w:val="0"/>
              <w:marBottom w:val="0"/>
              <w:divBdr>
                <w:top w:val="none" w:sz="0" w:space="0" w:color="auto"/>
                <w:left w:val="none" w:sz="0" w:space="0" w:color="auto"/>
                <w:bottom w:val="none" w:sz="0" w:space="0" w:color="auto"/>
                <w:right w:val="none" w:sz="0" w:space="0" w:color="auto"/>
              </w:divBdr>
              <w:divsChild>
                <w:div w:id="14676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4859">
      <w:bodyDiv w:val="1"/>
      <w:marLeft w:val="0"/>
      <w:marRight w:val="0"/>
      <w:marTop w:val="0"/>
      <w:marBottom w:val="0"/>
      <w:divBdr>
        <w:top w:val="none" w:sz="0" w:space="0" w:color="auto"/>
        <w:left w:val="none" w:sz="0" w:space="0" w:color="auto"/>
        <w:bottom w:val="none" w:sz="0" w:space="0" w:color="auto"/>
        <w:right w:val="none" w:sz="0" w:space="0" w:color="auto"/>
      </w:divBdr>
    </w:div>
    <w:div w:id="197162047">
      <w:bodyDiv w:val="1"/>
      <w:marLeft w:val="0"/>
      <w:marRight w:val="0"/>
      <w:marTop w:val="0"/>
      <w:marBottom w:val="0"/>
      <w:divBdr>
        <w:top w:val="none" w:sz="0" w:space="0" w:color="auto"/>
        <w:left w:val="none" w:sz="0" w:space="0" w:color="auto"/>
        <w:bottom w:val="none" w:sz="0" w:space="0" w:color="auto"/>
        <w:right w:val="none" w:sz="0" w:space="0" w:color="auto"/>
      </w:divBdr>
    </w:div>
    <w:div w:id="199321597">
      <w:bodyDiv w:val="1"/>
      <w:marLeft w:val="0"/>
      <w:marRight w:val="0"/>
      <w:marTop w:val="0"/>
      <w:marBottom w:val="0"/>
      <w:divBdr>
        <w:top w:val="none" w:sz="0" w:space="0" w:color="auto"/>
        <w:left w:val="none" w:sz="0" w:space="0" w:color="auto"/>
        <w:bottom w:val="none" w:sz="0" w:space="0" w:color="auto"/>
        <w:right w:val="none" w:sz="0" w:space="0" w:color="auto"/>
      </w:divBdr>
      <w:divsChild>
        <w:div w:id="39672705">
          <w:marLeft w:val="0"/>
          <w:marRight w:val="0"/>
          <w:marTop w:val="0"/>
          <w:marBottom w:val="0"/>
          <w:divBdr>
            <w:top w:val="none" w:sz="0" w:space="0" w:color="auto"/>
            <w:left w:val="none" w:sz="0" w:space="0" w:color="auto"/>
            <w:bottom w:val="none" w:sz="0" w:space="0" w:color="auto"/>
            <w:right w:val="none" w:sz="0" w:space="0" w:color="auto"/>
          </w:divBdr>
          <w:divsChild>
            <w:div w:id="456459141">
              <w:marLeft w:val="0"/>
              <w:marRight w:val="0"/>
              <w:marTop w:val="0"/>
              <w:marBottom w:val="0"/>
              <w:divBdr>
                <w:top w:val="none" w:sz="0" w:space="0" w:color="auto"/>
                <w:left w:val="none" w:sz="0" w:space="0" w:color="auto"/>
                <w:bottom w:val="none" w:sz="0" w:space="0" w:color="auto"/>
                <w:right w:val="none" w:sz="0" w:space="0" w:color="auto"/>
              </w:divBdr>
              <w:divsChild>
                <w:div w:id="333802881">
                  <w:marLeft w:val="0"/>
                  <w:marRight w:val="0"/>
                  <w:marTop w:val="0"/>
                  <w:marBottom w:val="0"/>
                  <w:divBdr>
                    <w:top w:val="none" w:sz="0" w:space="0" w:color="auto"/>
                    <w:left w:val="none" w:sz="0" w:space="0" w:color="auto"/>
                    <w:bottom w:val="none" w:sz="0" w:space="0" w:color="auto"/>
                    <w:right w:val="none" w:sz="0" w:space="0" w:color="auto"/>
                  </w:divBdr>
                  <w:divsChild>
                    <w:div w:id="1830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7004">
      <w:bodyDiv w:val="1"/>
      <w:marLeft w:val="0"/>
      <w:marRight w:val="0"/>
      <w:marTop w:val="0"/>
      <w:marBottom w:val="0"/>
      <w:divBdr>
        <w:top w:val="none" w:sz="0" w:space="0" w:color="auto"/>
        <w:left w:val="none" w:sz="0" w:space="0" w:color="auto"/>
        <w:bottom w:val="none" w:sz="0" w:space="0" w:color="auto"/>
        <w:right w:val="none" w:sz="0" w:space="0" w:color="auto"/>
      </w:divBdr>
    </w:div>
    <w:div w:id="243339241">
      <w:bodyDiv w:val="1"/>
      <w:marLeft w:val="0"/>
      <w:marRight w:val="0"/>
      <w:marTop w:val="0"/>
      <w:marBottom w:val="0"/>
      <w:divBdr>
        <w:top w:val="none" w:sz="0" w:space="0" w:color="auto"/>
        <w:left w:val="none" w:sz="0" w:space="0" w:color="auto"/>
        <w:bottom w:val="none" w:sz="0" w:space="0" w:color="auto"/>
        <w:right w:val="none" w:sz="0" w:space="0" w:color="auto"/>
      </w:divBdr>
      <w:divsChild>
        <w:div w:id="1127747162">
          <w:marLeft w:val="0"/>
          <w:marRight w:val="0"/>
          <w:marTop w:val="0"/>
          <w:marBottom w:val="0"/>
          <w:divBdr>
            <w:top w:val="none" w:sz="0" w:space="0" w:color="auto"/>
            <w:left w:val="none" w:sz="0" w:space="0" w:color="auto"/>
            <w:bottom w:val="none" w:sz="0" w:space="0" w:color="auto"/>
            <w:right w:val="none" w:sz="0" w:space="0" w:color="auto"/>
          </w:divBdr>
          <w:divsChild>
            <w:div w:id="1392652823">
              <w:marLeft w:val="0"/>
              <w:marRight w:val="0"/>
              <w:marTop w:val="0"/>
              <w:marBottom w:val="0"/>
              <w:divBdr>
                <w:top w:val="none" w:sz="0" w:space="0" w:color="auto"/>
                <w:left w:val="none" w:sz="0" w:space="0" w:color="auto"/>
                <w:bottom w:val="none" w:sz="0" w:space="0" w:color="auto"/>
                <w:right w:val="none" w:sz="0" w:space="0" w:color="auto"/>
              </w:divBdr>
              <w:divsChild>
                <w:div w:id="125777185">
                  <w:marLeft w:val="0"/>
                  <w:marRight w:val="0"/>
                  <w:marTop w:val="0"/>
                  <w:marBottom w:val="0"/>
                  <w:divBdr>
                    <w:top w:val="none" w:sz="0" w:space="0" w:color="auto"/>
                    <w:left w:val="none" w:sz="0" w:space="0" w:color="auto"/>
                    <w:bottom w:val="none" w:sz="0" w:space="0" w:color="auto"/>
                    <w:right w:val="none" w:sz="0" w:space="0" w:color="auto"/>
                  </w:divBdr>
                  <w:divsChild>
                    <w:div w:id="1629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84687">
      <w:bodyDiv w:val="1"/>
      <w:marLeft w:val="0"/>
      <w:marRight w:val="0"/>
      <w:marTop w:val="0"/>
      <w:marBottom w:val="0"/>
      <w:divBdr>
        <w:top w:val="none" w:sz="0" w:space="0" w:color="auto"/>
        <w:left w:val="none" w:sz="0" w:space="0" w:color="auto"/>
        <w:bottom w:val="none" w:sz="0" w:space="0" w:color="auto"/>
        <w:right w:val="none" w:sz="0" w:space="0" w:color="auto"/>
      </w:divBdr>
      <w:divsChild>
        <w:div w:id="1900942598">
          <w:marLeft w:val="0"/>
          <w:marRight w:val="0"/>
          <w:marTop w:val="0"/>
          <w:marBottom w:val="0"/>
          <w:divBdr>
            <w:top w:val="none" w:sz="0" w:space="0" w:color="auto"/>
            <w:left w:val="none" w:sz="0" w:space="0" w:color="auto"/>
            <w:bottom w:val="none" w:sz="0" w:space="0" w:color="auto"/>
            <w:right w:val="none" w:sz="0" w:space="0" w:color="auto"/>
          </w:divBdr>
          <w:divsChild>
            <w:div w:id="484010051">
              <w:marLeft w:val="0"/>
              <w:marRight w:val="0"/>
              <w:marTop w:val="0"/>
              <w:marBottom w:val="0"/>
              <w:divBdr>
                <w:top w:val="none" w:sz="0" w:space="0" w:color="auto"/>
                <w:left w:val="none" w:sz="0" w:space="0" w:color="auto"/>
                <w:bottom w:val="none" w:sz="0" w:space="0" w:color="auto"/>
                <w:right w:val="none" w:sz="0" w:space="0" w:color="auto"/>
              </w:divBdr>
              <w:divsChild>
                <w:div w:id="10007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1400">
      <w:bodyDiv w:val="1"/>
      <w:marLeft w:val="0"/>
      <w:marRight w:val="0"/>
      <w:marTop w:val="0"/>
      <w:marBottom w:val="0"/>
      <w:divBdr>
        <w:top w:val="none" w:sz="0" w:space="0" w:color="auto"/>
        <w:left w:val="none" w:sz="0" w:space="0" w:color="auto"/>
        <w:bottom w:val="none" w:sz="0" w:space="0" w:color="auto"/>
        <w:right w:val="none" w:sz="0" w:space="0" w:color="auto"/>
      </w:divBdr>
      <w:divsChild>
        <w:div w:id="636030273">
          <w:marLeft w:val="0"/>
          <w:marRight w:val="0"/>
          <w:marTop w:val="0"/>
          <w:marBottom w:val="0"/>
          <w:divBdr>
            <w:top w:val="none" w:sz="0" w:space="0" w:color="auto"/>
            <w:left w:val="none" w:sz="0" w:space="0" w:color="auto"/>
            <w:bottom w:val="none" w:sz="0" w:space="0" w:color="auto"/>
            <w:right w:val="none" w:sz="0" w:space="0" w:color="auto"/>
          </w:divBdr>
          <w:divsChild>
            <w:div w:id="1629311893">
              <w:marLeft w:val="0"/>
              <w:marRight w:val="0"/>
              <w:marTop w:val="0"/>
              <w:marBottom w:val="0"/>
              <w:divBdr>
                <w:top w:val="none" w:sz="0" w:space="0" w:color="auto"/>
                <w:left w:val="none" w:sz="0" w:space="0" w:color="auto"/>
                <w:bottom w:val="none" w:sz="0" w:space="0" w:color="auto"/>
                <w:right w:val="none" w:sz="0" w:space="0" w:color="auto"/>
              </w:divBdr>
              <w:divsChild>
                <w:div w:id="1382750992">
                  <w:marLeft w:val="0"/>
                  <w:marRight w:val="0"/>
                  <w:marTop w:val="0"/>
                  <w:marBottom w:val="0"/>
                  <w:divBdr>
                    <w:top w:val="none" w:sz="0" w:space="0" w:color="auto"/>
                    <w:left w:val="none" w:sz="0" w:space="0" w:color="auto"/>
                    <w:bottom w:val="none" w:sz="0" w:space="0" w:color="auto"/>
                    <w:right w:val="none" w:sz="0" w:space="0" w:color="auto"/>
                  </w:divBdr>
                  <w:divsChild>
                    <w:div w:id="1191340404">
                      <w:marLeft w:val="0"/>
                      <w:marRight w:val="0"/>
                      <w:marTop w:val="0"/>
                      <w:marBottom w:val="0"/>
                      <w:divBdr>
                        <w:top w:val="none" w:sz="0" w:space="0" w:color="auto"/>
                        <w:left w:val="none" w:sz="0" w:space="0" w:color="auto"/>
                        <w:bottom w:val="none" w:sz="0" w:space="0" w:color="auto"/>
                        <w:right w:val="none" w:sz="0" w:space="0" w:color="auto"/>
                      </w:divBdr>
                      <w:divsChild>
                        <w:div w:id="758016790">
                          <w:marLeft w:val="0"/>
                          <w:marRight w:val="0"/>
                          <w:marTop w:val="0"/>
                          <w:marBottom w:val="0"/>
                          <w:divBdr>
                            <w:top w:val="none" w:sz="0" w:space="0" w:color="auto"/>
                            <w:left w:val="none" w:sz="0" w:space="0" w:color="auto"/>
                            <w:bottom w:val="none" w:sz="0" w:space="0" w:color="auto"/>
                            <w:right w:val="none" w:sz="0" w:space="0" w:color="auto"/>
                          </w:divBdr>
                        </w:div>
                      </w:divsChild>
                    </w:div>
                    <w:div w:id="1378045289">
                      <w:marLeft w:val="0"/>
                      <w:marRight w:val="0"/>
                      <w:marTop w:val="0"/>
                      <w:marBottom w:val="0"/>
                      <w:divBdr>
                        <w:top w:val="none" w:sz="0" w:space="0" w:color="auto"/>
                        <w:left w:val="none" w:sz="0" w:space="0" w:color="auto"/>
                        <w:bottom w:val="none" w:sz="0" w:space="0" w:color="auto"/>
                        <w:right w:val="none" w:sz="0" w:space="0" w:color="auto"/>
                      </w:divBdr>
                      <w:divsChild>
                        <w:div w:id="546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843">
                  <w:marLeft w:val="0"/>
                  <w:marRight w:val="0"/>
                  <w:marTop w:val="0"/>
                  <w:marBottom w:val="0"/>
                  <w:divBdr>
                    <w:top w:val="none" w:sz="0" w:space="0" w:color="auto"/>
                    <w:left w:val="none" w:sz="0" w:space="0" w:color="auto"/>
                    <w:bottom w:val="none" w:sz="0" w:space="0" w:color="auto"/>
                    <w:right w:val="none" w:sz="0" w:space="0" w:color="auto"/>
                  </w:divBdr>
                  <w:divsChild>
                    <w:div w:id="10925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11346">
      <w:bodyDiv w:val="1"/>
      <w:marLeft w:val="0"/>
      <w:marRight w:val="0"/>
      <w:marTop w:val="0"/>
      <w:marBottom w:val="0"/>
      <w:divBdr>
        <w:top w:val="none" w:sz="0" w:space="0" w:color="auto"/>
        <w:left w:val="none" w:sz="0" w:space="0" w:color="auto"/>
        <w:bottom w:val="none" w:sz="0" w:space="0" w:color="auto"/>
        <w:right w:val="none" w:sz="0" w:space="0" w:color="auto"/>
      </w:divBdr>
    </w:div>
    <w:div w:id="357855254">
      <w:bodyDiv w:val="1"/>
      <w:marLeft w:val="0"/>
      <w:marRight w:val="0"/>
      <w:marTop w:val="0"/>
      <w:marBottom w:val="0"/>
      <w:divBdr>
        <w:top w:val="none" w:sz="0" w:space="0" w:color="auto"/>
        <w:left w:val="none" w:sz="0" w:space="0" w:color="auto"/>
        <w:bottom w:val="none" w:sz="0" w:space="0" w:color="auto"/>
        <w:right w:val="none" w:sz="0" w:space="0" w:color="auto"/>
      </w:divBdr>
    </w:div>
    <w:div w:id="380401041">
      <w:bodyDiv w:val="1"/>
      <w:marLeft w:val="0"/>
      <w:marRight w:val="0"/>
      <w:marTop w:val="0"/>
      <w:marBottom w:val="0"/>
      <w:divBdr>
        <w:top w:val="none" w:sz="0" w:space="0" w:color="auto"/>
        <w:left w:val="none" w:sz="0" w:space="0" w:color="auto"/>
        <w:bottom w:val="none" w:sz="0" w:space="0" w:color="auto"/>
        <w:right w:val="none" w:sz="0" w:space="0" w:color="auto"/>
      </w:divBdr>
    </w:div>
    <w:div w:id="382560938">
      <w:bodyDiv w:val="1"/>
      <w:marLeft w:val="0"/>
      <w:marRight w:val="0"/>
      <w:marTop w:val="0"/>
      <w:marBottom w:val="0"/>
      <w:divBdr>
        <w:top w:val="none" w:sz="0" w:space="0" w:color="auto"/>
        <w:left w:val="none" w:sz="0" w:space="0" w:color="auto"/>
        <w:bottom w:val="none" w:sz="0" w:space="0" w:color="auto"/>
        <w:right w:val="none" w:sz="0" w:space="0" w:color="auto"/>
      </w:divBdr>
      <w:divsChild>
        <w:div w:id="660543073">
          <w:marLeft w:val="0"/>
          <w:marRight w:val="0"/>
          <w:marTop w:val="0"/>
          <w:marBottom w:val="0"/>
          <w:divBdr>
            <w:top w:val="none" w:sz="0" w:space="0" w:color="auto"/>
            <w:left w:val="none" w:sz="0" w:space="0" w:color="auto"/>
            <w:bottom w:val="none" w:sz="0" w:space="0" w:color="auto"/>
            <w:right w:val="none" w:sz="0" w:space="0" w:color="auto"/>
          </w:divBdr>
          <w:divsChild>
            <w:div w:id="1959296663">
              <w:marLeft w:val="0"/>
              <w:marRight w:val="0"/>
              <w:marTop w:val="0"/>
              <w:marBottom w:val="0"/>
              <w:divBdr>
                <w:top w:val="none" w:sz="0" w:space="0" w:color="auto"/>
                <w:left w:val="none" w:sz="0" w:space="0" w:color="auto"/>
                <w:bottom w:val="none" w:sz="0" w:space="0" w:color="auto"/>
                <w:right w:val="none" w:sz="0" w:space="0" w:color="auto"/>
              </w:divBdr>
              <w:divsChild>
                <w:div w:id="162818779">
                  <w:marLeft w:val="0"/>
                  <w:marRight w:val="0"/>
                  <w:marTop w:val="0"/>
                  <w:marBottom w:val="0"/>
                  <w:divBdr>
                    <w:top w:val="none" w:sz="0" w:space="0" w:color="auto"/>
                    <w:left w:val="none" w:sz="0" w:space="0" w:color="auto"/>
                    <w:bottom w:val="none" w:sz="0" w:space="0" w:color="auto"/>
                    <w:right w:val="none" w:sz="0" w:space="0" w:color="auto"/>
                  </w:divBdr>
                  <w:divsChild>
                    <w:div w:id="8348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2622">
      <w:bodyDiv w:val="1"/>
      <w:marLeft w:val="0"/>
      <w:marRight w:val="0"/>
      <w:marTop w:val="0"/>
      <w:marBottom w:val="0"/>
      <w:divBdr>
        <w:top w:val="none" w:sz="0" w:space="0" w:color="auto"/>
        <w:left w:val="none" w:sz="0" w:space="0" w:color="auto"/>
        <w:bottom w:val="none" w:sz="0" w:space="0" w:color="auto"/>
        <w:right w:val="none" w:sz="0" w:space="0" w:color="auto"/>
      </w:divBdr>
      <w:divsChild>
        <w:div w:id="2126341968">
          <w:marLeft w:val="0"/>
          <w:marRight w:val="0"/>
          <w:marTop w:val="0"/>
          <w:marBottom w:val="0"/>
          <w:divBdr>
            <w:top w:val="none" w:sz="0" w:space="0" w:color="auto"/>
            <w:left w:val="none" w:sz="0" w:space="0" w:color="auto"/>
            <w:bottom w:val="none" w:sz="0" w:space="0" w:color="auto"/>
            <w:right w:val="none" w:sz="0" w:space="0" w:color="auto"/>
          </w:divBdr>
          <w:divsChild>
            <w:div w:id="1323776477">
              <w:marLeft w:val="0"/>
              <w:marRight w:val="0"/>
              <w:marTop w:val="0"/>
              <w:marBottom w:val="0"/>
              <w:divBdr>
                <w:top w:val="none" w:sz="0" w:space="0" w:color="auto"/>
                <w:left w:val="none" w:sz="0" w:space="0" w:color="auto"/>
                <w:bottom w:val="none" w:sz="0" w:space="0" w:color="auto"/>
                <w:right w:val="none" w:sz="0" w:space="0" w:color="auto"/>
              </w:divBdr>
              <w:divsChild>
                <w:div w:id="17542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973">
      <w:bodyDiv w:val="1"/>
      <w:marLeft w:val="0"/>
      <w:marRight w:val="0"/>
      <w:marTop w:val="0"/>
      <w:marBottom w:val="0"/>
      <w:divBdr>
        <w:top w:val="none" w:sz="0" w:space="0" w:color="auto"/>
        <w:left w:val="none" w:sz="0" w:space="0" w:color="auto"/>
        <w:bottom w:val="none" w:sz="0" w:space="0" w:color="auto"/>
        <w:right w:val="none" w:sz="0" w:space="0" w:color="auto"/>
      </w:divBdr>
    </w:div>
    <w:div w:id="439570997">
      <w:bodyDiv w:val="1"/>
      <w:marLeft w:val="0"/>
      <w:marRight w:val="0"/>
      <w:marTop w:val="0"/>
      <w:marBottom w:val="0"/>
      <w:divBdr>
        <w:top w:val="none" w:sz="0" w:space="0" w:color="auto"/>
        <w:left w:val="none" w:sz="0" w:space="0" w:color="auto"/>
        <w:bottom w:val="none" w:sz="0" w:space="0" w:color="auto"/>
        <w:right w:val="none" w:sz="0" w:space="0" w:color="auto"/>
      </w:divBdr>
      <w:divsChild>
        <w:div w:id="96759956">
          <w:marLeft w:val="0"/>
          <w:marRight w:val="0"/>
          <w:marTop w:val="0"/>
          <w:marBottom w:val="0"/>
          <w:divBdr>
            <w:top w:val="none" w:sz="0" w:space="0" w:color="auto"/>
            <w:left w:val="none" w:sz="0" w:space="0" w:color="auto"/>
            <w:bottom w:val="none" w:sz="0" w:space="0" w:color="auto"/>
            <w:right w:val="none" w:sz="0" w:space="0" w:color="auto"/>
          </w:divBdr>
          <w:divsChild>
            <w:div w:id="1893467907">
              <w:marLeft w:val="0"/>
              <w:marRight w:val="0"/>
              <w:marTop w:val="0"/>
              <w:marBottom w:val="0"/>
              <w:divBdr>
                <w:top w:val="none" w:sz="0" w:space="0" w:color="auto"/>
                <w:left w:val="none" w:sz="0" w:space="0" w:color="auto"/>
                <w:bottom w:val="none" w:sz="0" w:space="0" w:color="auto"/>
                <w:right w:val="none" w:sz="0" w:space="0" w:color="auto"/>
              </w:divBdr>
              <w:divsChild>
                <w:div w:id="1187716001">
                  <w:marLeft w:val="0"/>
                  <w:marRight w:val="0"/>
                  <w:marTop w:val="0"/>
                  <w:marBottom w:val="0"/>
                  <w:divBdr>
                    <w:top w:val="none" w:sz="0" w:space="0" w:color="auto"/>
                    <w:left w:val="none" w:sz="0" w:space="0" w:color="auto"/>
                    <w:bottom w:val="none" w:sz="0" w:space="0" w:color="auto"/>
                    <w:right w:val="none" w:sz="0" w:space="0" w:color="auto"/>
                  </w:divBdr>
                  <w:divsChild>
                    <w:div w:id="19962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7657">
      <w:bodyDiv w:val="1"/>
      <w:marLeft w:val="0"/>
      <w:marRight w:val="0"/>
      <w:marTop w:val="0"/>
      <w:marBottom w:val="0"/>
      <w:divBdr>
        <w:top w:val="none" w:sz="0" w:space="0" w:color="auto"/>
        <w:left w:val="none" w:sz="0" w:space="0" w:color="auto"/>
        <w:bottom w:val="none" w:sz="0" w:space="0" w:color="auto"/>
        <w:right w:val="none" w:sz="0" w:space="0" w:color="auto"/>
      </w:divBdr>
      <w:divsChild>
        <w:div w:id="1084456336">
          <w:marLeft w:val="0"/>
          <w:marRight w:val="0"/>
          <w:marTop w:val="0"/>
          <w:marBottom w:val="0"/>
          <w:divBdr>
            <w:top w:val="none" w:sz="0" w:space="0" w:color="auto"/>
            <w:left w:val="none" w:sz="0" w:space="0" w:color="auto"/>
            <w:bottom w:val="none" w:sz="0" w:space="0" w:color="auto"/>
            <w:right w:val="none" w:sz="0" w:space="0" w:color="auto"/>
          </w:divBdr>
          <w:divsChild>
            <w:div w:id="832139253">
              <w:marLeft w:val="0"/>
              <w:marRight w:val="0"/>
              <w:marTop w:val="0"/>
              <w:marBottom w:val="0"/>
              <w:divBdr>
                <w:top w:val="none" w:sz="0" w:space="0" w:color="auto"/>
                <w:left w:val="none" w:sz="0" w:space="0" w:color="auto"/>
                <w:bottom w:val="none" w:sz="0" w:space="0" w:color="auto"/>
                <w:right w:val="none" w:sz="0" w:space="0" w:color="auto"/>
              </w:divBdr>
              <w:divsChild>
                <w:div w:id="1314260930">
                  <w:marLeft w:val="0"/>
                  <w:marRight w:val="0"/>
                  <w:marTop w:val="0"/>
                  <w:marBottom w:val="0"/>
                  <w:divBdr>
                    <w:top w:val="none" w:sz="0" w:space="0" w:color="auto"/>
                    <w:left w:val="none" w:sz="0" w:space="0" w:color="auto"/>
                    <w:bottom w:val="none" w:sz="0" w:space="0" w:color="auto"/>
                    <w:right w:val="none" w:sz="0" w:space="0" w:color="auto"/>
                  </w:divBdr>
                  <w:divsChild>
                    <w:div w:id="13463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18802">
      <w:bodyDiv w:val="1"/>
      <w:marLeft w:val="0"/>
      <w:marRight w:val="0"/>
      <w:marTop w:val="0"/>
      <w:marBottom w:val="0"/>
      <w:divBdr>
        <w:top w:val="none" w:sz="0" w:space="0" w:color="auto"/>
        <w:left w:val="none" w:sz="0" w:space="0" w:color="auto"/>
        <w:bottom w:val="none" w:sz="0" w:space="0" w:color="auto"/>
        <w:right w:val="none" w:sz="0" w:space="0" w:color="auto"/>
      </w:divBdr>
      <w:divsChild>
        <w:div w:id="1173842118">
          <w:marLeft w:val="0"/>
          <w:marRight w:val="0"/>
          <w:marTop w:val="0"/>
          <w:marBottom w:val="0"/>
          <w:divBdr>
            <w:top w:val="none" w:sz="0" w:space="0" w:color="auto"/>
            <w:left w:val="none" w:sz="0" w:space="0" w:color="auto"/>
            <w:bottom w:val="none" w:sz="0" w:space="0" w:color="auto"/>
            <w:right w:val="none" w:sz="0" w:space="0" w:color="auto"/>
          </w:divBdr>
          <w:divsChild>
            <w:div w:id="1099105032">
              <w:marLeft w:val="0"/>
              <w:marRight w:val="0"/>
              <w:marTop w:val="0"/>
              <w:marBottom w:val="0"/>
              <w:divBdr>
                <w:top w:val="none" w:sz="0" w:space="0" w:color="auto"/>
                <w:left w:val="none" w:sz="0" w:space="0" w:color="auto"/>
                <w:bottom w:val="none" w:sz="0" w:space="0" w:color="auto"/>
                <w:right w:val="none" w:sz="0" w:space="0" w:color="auto"/>
              </w:divBdr>
              <w:divsChild>
                <w:div w:id="1859536092">
                  <w:marLeft w:val="0"/>
                  <w:marRight w:val="0"/>
                  <w:marTop w:val="0"/>
                  <w:marBottom w:val="0"/>
                  <w:divBdr>
                    <w:top w:val="none" w:sz="0" w:space="0" w:color="auto"/>
                    <w:left w:val="none" w:sz="0" w:space="0" w:color="auto"/>
                    <w:bottom w:val="none" w:sz="0" w:space="0" w:color="auto"/>
                    <w:right w:val="none" w:sz="0" w:space="0" w:color="auto"/>
                  </w:divBdr>
                  <w:divsChild>
                    <w:div w:id="10201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805">
      <w:bodyDiv w:val="1"/>
      <w:marLeft w:val="0"/>
      <w:marRight w:val="0"/>
      <w:marTop w:val="0"/>
      <w:marBottom w:val="0"/>
      <w:divBdr>
        <w:top w:val="none" w:sz="0" w:space="0" w:color="auto"/>
        <w:left w:val="none" w:sz="0" w:space="0" w:color="auto"/>
        <w:bottom w:val="none" w:sz="0" w:space="0" w:color="auto"/>
        <w:right w:val="none" w:sz="0" w:space="0" w:color="auto"/>
      </w:divBdr>
    </w:div>
    <w:div w:id="581573194">
      <w:bodyDiv w:val="1"/>
      <w:marLeft w:val="0"/>
      <w:marRight w:val="0"/>
      <w:marTop w:val="0"/>
      <w:marBottom w:val="0"/>
      <w:divBdr>
        <w:top w:val="none" w:sz="0" w:space="0" w:color="auto"/>
        <w:left w:val="none" w:sz="0" w:space="0" w:color="auto"/>
        <w:bottom w:val="none" w:sz="0" w:space="0" w:color="auto"/>
        <w:right w:val="none" w:sz="0" w:space="0" w:color="auto"/>
      </w:divBdr>
    </w:div>
    <w:div w:id="628778365">
      <w:bodyDiv w:val="1"/>
      <w:marLeft w:val="0"/>
      <w:marRight w:val="0"/>
      <w:marTop w:val="0"/>
      <w:marBottom w:val="0"/>
      <w:divBdr>
        <w:top w:val="none" w:sz="0" w:space="0" w:color="auto"/>
        <w:left w:val="none" w:sz="0" w:space="0" w:color="auto"/>
        <w:bottom w:val="none" w:sz="0" w:space="0" w:color="auto"/>
        <w:right w:val="none" w:sz="0" w:space="0" w:color="auto"/>
      </w:divBdr>
      <w:divsChild>
        <w:div w:id="2140419270">
          <w:marLeft w:val="0"/>
          <w:marRight w:val="0"/>
          <w:marTop w:val="0"/>
          <w:marBottom w:val="0"/>
          <w:divBdr>
            <w:top w:val="none" w:sz="0" w:space="0" w:color="auto"/>
            <w:left w:val="none" w:sz="0" w:space="0" w:color="auto"/>
            <w:bottom w:val="none" w:sz="0" w:space="0" w:color="auto"/>
            <w:right w:val="none" w:sz="0" w:space="0" w:color="auto"/>
          </w:divBdr>
          <w:divsChild>
            <w:div w:id="652636331">
              <w:marLeft w:val="0"/>
              <w:marRight w:val="0"/>
              <w:marTop w:val="0"/>
              <w:marBottom w:val="0"/>
              <w:divBdr>
                <w:top w:val="none" w:sz="0" w:space="0" w:color="auto"/>
                <w:left w:val="none" w:sz="0" w:space="0" w:color="auto"/>
                <w:bottom w:val="none" w:sz="0" w:space="0" w:color="auto"/>
                <w:right w:val="none" w:sz="0" w:space="0" w:color="auto"/>
              </w:divBdr>
              <w:divsChild>
                <w:div w:id="646662690">
                  <w:marLeft w:val="0"/>
                  <w:marRight w:val="0"/>
                  <w:marTop w:val="0"/>
                  <w:marBottom w:val="0"/>
                  <w:divBdr>
                    <w:top w:val="none" w:sz="0" w:space="0" w:color="auto"/>
                    <w:left w:val="none" w:sz="0" w:space="0" w:color="auto"/>
                    <w:bottom w:val="none" w:sz="0" w:space="0" w:color="auto"/>
                    <w:right w:val="none" w:sz="0" w:space="0" w:color="auto"/>
                  </w:divBdr>
                  <w:divsChild>
                    <w:div w:id="712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2626">
      <w:bodyDiv w:val="1"/>
      <w:marLeft w:val="0"/>
      <w:marRight w:val="0"/>
      <w:marTop w:val="0"/>
      <w:marBottom w:val="0"/>
      <w:divBdr>
        <w:top w:val="none" w:sz="0" w:space="0" w:color="auto"/>
        <w:left w:val="none" w:sz="0" w:space="0" w:color="auto"/>
        <w:bottom w:val="none" w:sz="0" w:space="0" w:color="auto"/>
        <w:right w:val="none" w:sz="0" w:space="0" w:color="auto"/>
      </w:divBdr>
      <w:divsChild>
        <w:div w:id="1459950124">
          <w:marLeft w:val="0"/>
          <w:marRight w:val="0"/>
          <w:marTop w:val="0"/>
          <w:marBottom w:val="0"/>
          <w:divBdr>
            <w:top w:val="none" w:sz="0" w:space="0" w:color="auto"/>
            <w:left w:val="none" w:sz="0" w:space="0" w:color="auto"/>
            <w:bottom w:val="none" w:sz="0" w:space="0" w:color="auto"/>
            <w:right w:val="none" w:sz="0" w:space="0" w:color="auto"/>
          </w:divBdr>
          <w:divsChild>
            <w:div w:id="1705786805">
              <w:marLeft w:val="0"/>
              <w:marRight w:val="0"/>
              <w:marTop w:val="0"/>
              <w:marBottom w:val="0"/>
              <w:divBdr>
                <w:top w:val="none" w:sz="0" w:space="0" w:color="auto"/>
                <w:left w:val="none" w:sz="0" w:space="0" w:color="auto"/>
                <w:bottom w:val="none" w:sz="0" w:space="0" w:color="auto"/>
                <w:right w:val="none" w:sz="0" w:space="0" w:color="auto"/>
              </w:divBdr>
              <w:divsChild>
                <w:div w:id="1510945268">
                  <w:marLeft w:val="0"/>
                  <w:marRight w:val="0"/>
                  <w:marTop w:val="0"/>
                  <w:marBottom w:val="0"/>
                  <w:divBdr>
                    <w:top w:val="none" w:sz="0" w:space="0" w:color="auto"/>
                    <w:left w:val="none" w:sz="0" w:space="0" w:color="auto"/>
                    <w:bottom w:val="none" w:sz="0" w:space="0" w:color="auto"/>
                    <w:right w:val="none" w:sz="0" w:space="0" w:color="auto"/>
                  </w:divBdr>
                  <w:divsChild>
                    <w:div w:id="848252922">
                      <w:marLeft w:val="0"/>
                      <w:marRight w:val="0"/>
                      <w:marTop w:val="0"/>
                      <w:marBottom w:val="0"/>
                      <w:divBdr>
                        <w:top w:val="none" w:sz="0" w:space="0" w:color="auto"/>
                        <w:left w:val="none" w:sz="0" w:space="0" w:color="auto"/>
                        <w:bottom w:val="none" w:sz="0" w:space="0" w:color="auto"/>
                        <w:right w:val="none" w:sz="0" w:space="0" w:color="auto"/>
                      </w:divBdr>
                      <w:divsChild>
                        <w:div w:id="1048259705">
                          <w:marLeft w:val="0"/>
                          <w:marRight w:val="300"/>
                          <w:marTop w:val="180"/>
                          <w:marBottom w:val="0"/>
                          <w:divBdr>
                            <w:top w:val="none" w:sz="0" w:space="0" w:color="auto"/>
                            <w:left w:val="none" w:sz="0" w:space="0" w:color="auto"/>
                            <w:bottom w:val="none" w:sz="0" w:space="0" w:color="auto"/>
                            <w:right w:val="none" w:sz="0" w:space="0" w:color="auto"/>
                          </w:divBdr>
                          <w:divsChild>
                            <w:div w:id="7536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9015">
      <w:bodyDiv w:val="1"/>
      <w:marLeft w:val="0"/>
      <w:marRight w:val="0"/>
      <w:marTop w:val="0"/>
      <w:marBottom w:val="0"/>
      <w:divBdr>
        <w:top w:val="none" w:sz="0" w:space="0" w:color="auto"/>
        <w:left w:val="none" w:sz="0" w:space="0" w:color="auto"/>
        <w:bottom w:val="none" w:sz="0" w:space="0" w:color="auto"/>
        <w:right w:val="none" w:sz="0" w:space="0" w:color="auto"/>
      </w:divBdr>
    </w:div>
    <w:div w:id="664431129">
      <w:bodyDiv w:val="1"/>
      <w:marLeft w:val="0"/>
      <w:marRight w:val="0"/>
      <w:marTop w:val="0"/>
      <w:marBottom w:val="0"/>
      <w:divBdr>
        <w:top w:val="none" w:sz="0" w:space="0" w:color="auto"/>
        <w:left w:val="none" w:sz="0" w:space="0" w:color="auto"/>
        <w:bottom w:val="none" w:sz="0" w:space="0" w:color="auto"/>
        <w:right w:val="none" w:sz="0" w:space="0" w:color="auto"/>
      </w:divBdr>
      <w:divsChild>
        <w:div w:id="1400204610">
          <w:marLeft w:val="0"/>
          <w:marRight w:val="0"/>
          <w:marTop w:val="0"/>
          <w:marBottom w:val="0"/>
          <w:divBdr>
            <w:top w:val="none" w:sz="0" w:space="0" w:color="auto"/>
            <w:left w:val="none" w:sz="0" w:space="0" w:color="auto"/>
            <w:bottom w:val="none" w:sz="0" w:space="0" w:color="auto"/>
            <w:right w:val="none" w:sz="0" w:space="0" w:color="auto"/>
          </w:divBdr>
          <w:divsChild>
            <w:div w:id="2094888900">
              <w:marLeft w:val="0"/>
              <w:marRight w:val="0"/>
              <w:marTop w:val="0"/>
              <w:marBottom w:val="0"/>
              <w:divBdr>
                <w:top w:val="none" w:sz="0" w:space="0" w:color="auto"/>
                <w:left w:val="none" w:sz="0" w:space="0" w:color="auto"/>
                <w:bottom w:val="none" w:sz="0" w:space="0" w:color="auto"/>
                <w:right w:val="none" w:sz="0" w:space="0" w:color="auto"/>
              </w:divBdr>
              <w:divsChild>
                <w:div w:id="1324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7652">
      <w:bodyDiv w:val="1"/>
      <w:marLeft w:val="0"/>
      <w:marRight w:val="0"/>
      <w:marTop w:val="0"/>
      <w:marBottom w:val="0"/>
      <w:divBdr>
        <w:top w:val="none" w:sz="0" w:space="0" w:color="auto"/>
        <w:left w:val="none" w:sz="0" w:space="0" w:color="auto"/>
        <w:bottom w:val="none" w:sz="0" w:space="0" w:color="auto"/>
        <w:right w:val="none" w:sz="0" w:space="0" w:color="auto"/>
      </w:divBdr>
      <w:divsChild>
        <w:div w:id="1592085757">
          <w:marLeft w:val="0"/>
          <w:marRight w:val="0"/>
          <w:marTop w:val="0"/>
          <w:marBottom w:val="0"/>
          <w:divBdr>
            <w:top w:val="none" w:sz="0" w:space="0" w:color="auto"/>
            <w:left w:val="none" w:sz="0" w:space="0" w:color="auto"/>
            <w:bottom w:val="none" w:sz="0" w:space="0" w:color="auto"/>
            <w:right w:val="none" w:sz="0" w:space="0" w:color="auto"/>
          </w:divBdr>
          <w:divsChild>
            <w:div w:id="867639134">
              <w:marLeft w:val="0"/>
              <w:marRight w:val="0"/>
              <w:marTop w:val="0"/>
              <w:marBottom w:val="0"/>
              <w:divBdr>
                <w:top w:val="none" w:sz="0" w:space="0" w:color="auto"/>
                <w:left w:val="none" w:sz="0" w:space="0" w:color="auto"/>
                <w:bottom w:val="none" w:sz="0" w:space="0" w:color="auto"/>
                <w:right w:val="none" w:sz="0" w:space="0" w:color="auto"/>
              </w:divBdr>
              <w:divsChild>
                <w:div w:id="9911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4977">
      <w:bodyDiv w:val="1"/>
      <w:marLeft w:val="0"/>
      <w:marRight w:val="0"/>
      <w:marTop w:val="0"/>
      <w:marBottom w:val="0"/>
      <w:divBdr>
        <w:top w:val="none" w:sz="0" w:space="0" w:color="auto"/>
        <w:left w:val="none" w:sz="0" w:space="0" w:color="auto"/>
        <w:bottom w:val="none" w:sz="0" w:space="0" w:color="auto"/>
        <w:right w:val="none" w:sz="0" w:space="0" w:color="auto"/>
      </w:divBdr>
      <w:divsChild>
        <w:div w:id="397099604">
          <w:marLeft w:val="0"/>
          <w:marRight w:val="0"/>
          <w:marTop w:val="0"/>
          <w:marBottom w:val="0"/>
          <w:divBdr>
            <w:top w:val="none" w:sz="0" w:space="0" w:color="auto"/>
            <w:left w:val="none" w:sz="0" w:space="0" w:color="auto"/>
            <w:bottom w:val="none" w:sz="0" w:space="0" w:color="auto"/>
            <w:right w:val="none" w:sz="0" w:space="0" w:color="auto"/>
          </w:divBdr>
          <w:divsChild>
            <w:div w:id="418137477">
              <w:marLeft w:val="0"/>
              <w:marRight w:val="0"/>
              <w:marTop w:val="0"/>
              <w:marBottom w:val="0"/>
              <w:divBdr>
                <w:top w:val="none" w:sz="0" w:space="0" w:color="auto"/>
                <w:left w:val="none" w:sz="0" w:space="0" w:color="auto"/>
                <w:bottom w:val="none" w:sz="0" w:space="0" w:color="auto"/>
                <w:right w:val="none" w:sz="0" w:space="0" w:color="auto"/>
              </w:divBdr>
              <w:divsChild>
                <w:div w:id="242223192">
                  <w:marLeft w:val="0"/>
                  <w:marRight w:val="0"/>
                  <w:marTop w:val="0"/>
                  <w:marBottom w:val="0"/>
                  <w:divBdr>
                    <w:top w:val="none" w:sz="0" w:space="0" w:color="auto"/>
                    <w:left w:val="none" w:sz="0" w:space="0" w:color="auto"/>
                    <w:bottom w:val="none" w:sz="0" w:space="0" w:color="auto"/>
                    <w:right w:val="none" w:sz="0" w:space="0" w:color="auto"/>
                  </w:divBdr>
                  <w:divsChild>
                    <w:div w:id="3679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3335">
      <w:bodyDiv w:val="1"/>
      <w:marLeft w:val="0"/>
      <w:marRight w:val="0"/>
      <w:marTop w:val="0"/>
      <w:marBottom w:val="0"/>
      <w:divBdr>
        <w:top w:val="none" w:sz="0" w:space="0" w:color="auto"/>
        <w:left w:val="none" w:sz="0" w:space="0" w:color="auto"/>
        <w:bottom w:val="none" w:sz="0" w:space="0" w:color="auto"/>
        <w:right w:val="none" w:sz="0" w:space="0" w:color="auto"/>
      </w:divBdr>
      <w:divsChild>
        <w:div w:id="1307012158">
          <w:marLeft w:val="0"/>
          <w:marRight w:val="0"/>
          <w:marTop w:val="0"/>
          <w:marBottom w:val="0"/>
          <w:divBdr>
            <w:top w:val="none" w:sz="0" w:space="0" w:color="auto"/>
            <w:left w:val="none" w:sz="0" w:space="0" w:color="auto"/>
            <w:bottom w:val="none" w:sz="0" w:space="0" w:color="auto"/>
            <w:right w:val="none" w:sz="0" w:space="0" w:color="auto"/>
          </w:divBdr>
          <w:divsChild>
            <w:div w:id="2089881983">
              <w:marLeft w:val="0"/>
              <w:marRight w:val="0"/>
              <w:marTop w:val="0"/>
              <w:marBottom w:val="0"/>
              <w:divBdr>
                <w:top w:val="none" w:sz="0" w:space="0" w:color="auto"/>
                <w:left w:val="none" w:sz="0" w:space="0" w:color="auto"/>
                <w:bottom w:val="none" w:sz="0" w:space="0" w:color="auto"/>
                <w:right w:val="none" w:sz="0" w:space="0" w:color="auto"/>
              </w:divBdr>
              <w:divsChild>
                <w:div w:id="13844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4823">
      <w:bodyDiv w:val="1"/>
      <w:marLeft w:val="0"/>
      <w:marRight w:val="0"/>
      <w:marTop w:val="0"/>
      <w:marBottom w:val="0"/>
      <w:divBdr>
        <w:top w:val="none" w:sz="0" w:space="0" w:color="auto"/>
        <w:left w:val="none" w:sz="0" w:space="0" w:color="auto"/>
        <w:bottom w:val="none" w:sz="0" w:space="0" w:color="auto"/>
        <w:right w:val="none" w:sz="0" w:space="0" w:color="auto"/>
      </w:divBdr>
      <w:divsChild>
        <w:div w:id="1921057723">
          <w:marLeft w:val="0"/>
          <w:marRight w:val="0"/>
          <w:marTop w:val="0"/>
          <w:marBottom w:val="0"/>
          <w:divBdr>
            <w:top w:val="none" w:sz="0" w:space="0" w:color="auto"/>
            <w:left w:val="none" w:sz="0" w:space="0" w:color="auto"/>
            <w:bottom w:val="none" w:sz="0" w:space="0" w:color="auto"/>
            <w:right w:val="none" w:sz="0" w:space="0" w:color="auto"/>
          </w:divBdr>
          <w:divsChild>
            <w:div w:id="211431243">
              <w:marLeft w:val="0"/>
              <w:marRight w:val="0"/>
              <w:marTop w:val="0"/>
              <w:marBottom w:val="0"/>
              <w:divBdr>
                <w:top w:val="none" w:sz="0" w:space="0" w:color="auto"/>
                <w:left w:val="none" w:sz="0" w:space="0" w:color="auto"/>
                <w:bottom w:val="none" w:sz="0" w:space="0" w:color="auto"/>
                <w:right w:val="none" w:sz="0" w:space="0" w:color="auto"/>
              </w:divBdr>
              <w:divsChild>
                <w:div w:id="15037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4858">
      <w:bodyDiv w:val="1"/>
      <w:marLeft w:val="0"/>
      <w:marRight w:val="0"/>
      <w:marTop w:val="0"/>
      <w:marBottom w:val="0"/>
      <w:divBdr>
        <w:top w:val="none" w:sz="0" w:space="0" w:color="auto"/>
        <w:left w:val="none" w:sz="0" w:space="0" w:color="auto"/>
        <w:bottom w:val="none" w:sz="0" w:space="0" w:color="auto"/>
        <w:right w:val="none" w:sz="0" w:space="0" w:color="auto"/>
      </w:divBdr>
      <w:divsChild>
        <w:div w:id="657658679">
          <w:marLeft w:val="0"/>
          <w:marRight w:val="0"/>
          <w:marTop w:val="0"/>
          <w:marBottom w:val="0"/>
          <w:divBdr>
            <w:top w:val="none" w:sz="0" w:space="0" w:color="auto"/>
            <w:left w:val="none" w:sz="0" w:space="0" w:color="auto"/>
            <w:bottom w:val="none" w:sz="0" w:space="0" w:color="auto"/>
            <w:right w:val="none" w:sz="0" w:space="0" w:color="auto"/>
          </w:divBdr>
          <w:divsChild>
            <w:div w:id="1793749077">
              <w:marLeft w:val="0"/>
              <w:marRight w:val="0"/>
              <w:marTop w:val="0"/>
              <w:marBottom w:val="0"/>
              <w:divBdr>
                <w:top w:val="none" w:sz="0" w:space="0" w:color="auto"/>
                <w:left w:val="none" w:sz="0" w:space="0" w:color="auto"/>
                <w:bottom w:val="none" w:sz="0" w:space="0" w:color="auto"/>
                <w:right w:val="none" w:sz="0" w:space="0" w:color="auto"/>
              </w:divBdr>
              <w:divsChild>
                <w:div w:id="1088618939">
                  <w:marLeft w:val="0"/>
                  <w:marRight w:val="0"/>
                  <w:marTop w:val="0"/>
                  <w:marBottom w:val="0"/>
                  <w:divBdr>
                    <w:top w:val="none" w:sz="0" w:space="0" w:color="auto"/>
                    <w:left w:val="none" w:sz="0" w:space="0" w:color="auto"/>
                    <w:bottom w:val="none" w:sz="0" w:space="0" w:color="auto"/>
                    <w:right w:val="none" w:sz="0" w:space="0" w:color="auto"/>
                  </w:divBdr>
                  <w:divsChild>
                    <w:div w:id="13684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5565">
      <w:bodyDiv w:val="1"/>
      <w:marLeft w:val="0"/>
      <w:marRight w:val="0"/>
      <w:marTop w:val="0"/>
      <w:marBottom w:val="0"/>
      <w:divBdr>
        <w:top w:val="none" w:sz="0" w:space="0" w:color="auto"/>
        <w:left w:val="none" w:sz="0" w:space="0" w:color="auto"/>
        <w:bottom w:val="none" w:sz="0" w:space="0" w:color="auto"/>
        <w:right w:val="none" w:sz="0" w:space="0" w:color="auto"/>
      </w:divBdr>
      <w:divsChild>
        <w:div w:id="1750344227">
          <w:marLeft w:val="0"/>
          <w:marRight w:val="0"/>
          <w:marTop w:val="0"/>
          <w:marBottom w:val="0"/>
          <w:divBdr>
            <w:top w:val="none" w:sz="0" w:space="0" w:color="auto"/>
            <w:left w:val="none" w:sz="0" w:space="0" w:color="auto"/>
            <w:bottom w:val="none" w:sz="0" w:space="0" w:color="auto"/>
            <w:right w:val="none" w:sz="0" w:space="0" w:color="auto"/>
          </w:divBdr>
          <w:divsChild>
            <w:div w:id="1776050222">
              <w:marLeft w:val="0"/>
              <w:marRight w:val="0"/>
              <w:marTop w:val="0"/>
              <w:marBottom w:val="0"/>
              <w:divBdr>
                <w:top w:val="none" w:sz="0" w:space="0" w:color="auto"/>
                <w:left w:val="none" w:sz="0" w:space="0" w:color="auto"/>
                <w:bottom w:val="none" w:sz="0" w:space="0" w:color="auto"/>
                <w:right w:val="none" w:sz="0" w:space="0" w:color="auto"/>
              </w:divBdr>
              <w:divsChild>
                <w:div w:id="332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6632">
      <w:bodyDiv w:val="1"/>
      <w:marLeft w:val="0"/>
      <w:marRight w:val="0"/>
      <w:marTop w:val="0"/>
      <w:marBottom w:val="0"/>
      <w:divBdr>
        <w:top w:val="none" w:sz="0" w:space="0" w:color="auto"/>
        <w:left w:val="none" w:sz="0" w:space="0" w:color="auto"/>
        <w:bottom w:val="none" w:sz="0" w:space="0" w:color="auto"/>
        <w:right w:val="none" w:sz="0" w:space="0" w:color="auto"/>
      </w:divBdr>
      <w:divsChild>
        <w:div w:id="891310791">
          <w:marLeft w:val="0"/>
          <w:marRight w:val="0"/>
          <w:marTop w:val="0"/>
          <w:marBottom w:val="0"/>
          <w:divBdr>
            <w:top w:val="none" w:sz="0" w:space="0" w:color="auto"/>
            <w:left w:val="none" w:sz="0" w:space="0" w:color="auto"/>
            <w:bottom w:val="none" w:sz="0" w:space="0" w:color="auto"/>
            <w:right w:val="none" w:sz="0" w:space="0" w:color="auto"/>
          </w:divBdr>
          <w:divsChild>
            <w:div w:id="1360542699">
              <w:marLeft w:val="0"/>
              <w:marRight w:val="0"/>
              <w:marTop w:val="0"/>
              <w:marBottom w:val="0"/>
              <w:divBdr>
                <w:top w:val="none" w:sz="0" w:space="0" w:color="auto"/>
                <w:left w:val="none" w:sz="0" w:space="0" w:color="auto"/>
                <w:bottom w:val="none" w:sz="0" w:space="0" w:color="auto"/>
                <w:right w:val="none" w:sz="0" w:space="0" w:color="auto"/>
              </w:divBdr>
              <w:divsChild>
                <w:div w:id="5180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1388">
      <w:bodyDiv w:val="1"/>
      <w:marLeft w:val="0"/>
      <w:marRight w:val="0"/>
      <w:marTop w:val="0"/>
      <w:marBottom w:val="0"/>
      <w:divBdr>
        <w:top w:val="none" w:sz="0" w:space="0" w:color="auto"/>
        <w:left w:val="none" w:sz="0" w:space="0" w:color="auto"/>
        <w:bottom w:val="none" w:sz="0" w:space="0" w:color="auto"/>
        <w:right w:val="none" w:sz="0" w:space="0" w:color="auto"/>
      </w:divBdr>
      <w:divsChild>
        <w:div w:id="1732534487">
          <w:marLeft w:val="0"/>
          <w:marRight w:val="0"/>
          <w:marTop w:val="0"/>
          <w:marBottom w:val="0"/>
          <w:divBdr>
            <w:top w:val="none" w:sz="0" w:space="0" w:color="auto"/>
            <w:left w:val="none" w:sz="0" w:space="0" w:color="auto"/>
            <w:bottom w:val="none" w:sz="0" w:space="0" w:color="auto"/>
            <w:right w:val="none" w:sz="0" w:space="0" w:color="auto"/>
          </w:divBdr>
          <w:divsChild>
            <w:div w:id="1962371135">
              <w:marLeft w:val="0"/>
              <w:marRight w:val="0"/>
              <w:marTop w:val="0"/>
              <w:marBottom w:val="0"/>
              <w:divBdr>
                <w:top w:val="none" w:sz="0" w:space="0" w:color="auto"/>
                <w:left w:val="none" w:sz="0" w:space="0" w:color="auto"/>
                <w:bottom w:val="none" w:sz="0" w:space="0" w:color="auto"/>
                <w:right w:val="none" w:sz="0" w:space="0" w:color="auto"/>
              </w:divBdr>
              <w:divsChild>
                <w:div w:id="6077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2301">
      <w:bodyDiv w:val="1"/>
      <w:marLeft w:val="0"/>
      <w:marRight w:val="0"/>
      <w:marTop w:val="0"/>
      <w:marBottom w:val="0"/>
      <w:divBdr>
        <w:top w:val="none" w:sz="0" w:space="0" w:color="auto"/>
        <w:left w:val="none" w:sz="0" w:space="0" w:color="auto"/>
        <w:bottom w:val="none" w:sz="0" w:space="0" w:color="auto"/>
        <w:right w:val="none" w:sz="0" w:space="0" w:color="auto"/>
      </w:divBdr>
    </w:div>
    <w:div w:id="867525331">
      <w:bodyDiv w:val="1"/>
      <w:marLeft w:val="0"/>
      <w:marRight w:val="0"/>
      <w:marTop w:val="0"/>
      <w:marBottom w:val="0"/>
      <w:divBdr>
        <w:top w:val="none" w:sz="0" w:space="0" w:color="auto"/>
        <w:left w:val="none" w:sz="0" w:space="0" w:color="auto"/>
        <w:bottom w:val="none" w:sz="0" w:space="0" w:color="auto"/>
        <w:right w:val="none" w:sz="0" w:space="0" w:color="auto"/>
      </w:divBdr>
      <w:divsChild>
        <w:div w:id="815221476">
          <w:marLeft w:val="0"/>
          <w:marRight w:val="0"/>
          <w:marTop w:val="0"/>
          <w:marBottom w:val="0"/>
          <w:divBdr>
            <w:top w:val="none" w:sz="0" w:space="0" w:color="auto"/>
            <w:left w:val="none" w:sz="0" w:space="0" w:color="auto"/>
            <w:bottom w:val="none" w:sz="0" w:space="0" w:color="auto"/>
            <w:right w:val="none" w:sz="0" w:space="0" w:color="auto"/>
          </w:divBdr>
          <w:divsChild>
            <w:div w:id="1546408533">
              <w:marLeft w:val="0"/>
              <w:marRight w:val="0"/>
              <w:marTop w:val="0"/>
              <w:marBottom w:val="0"/>
              <w:divBdr>
                <w:top w:val="none" w:sz="0" w:space="0" w:color="auto"/>
                <w:left w:val="none" w:sz="0" w:space="0" w:color="auto"/>
                <w:bottom w:val="none" w:sz="0" w:space="0" w:color="auto"/>
                <w:right w:val="none" w:sz="0" w:space="0" w:color="auto"/>
              </w:divBdr>
              <w:divsChild>
                <w:div w:id="20583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6816">
      <w:bodyDiv w:val="1"/>
      <w:marLeft w:val="0"/>
      <w:marRight w:val="0"/>
      <w:marTop w:val="0"/>
      <w:marBottom w:val="0"/>
      <w:divBdr>
        <w:top w:val="none" w:sz="0" w:space="0" w:color="auto"/>
        <w:left w:val="none" w:sz="0" w:space="0" w:color="auto"/>
        <w:bottom w:val="none" w:sz="0" w:space="0" w:color="auto"/>
        <w:right w:val="none" w:sz="0" w:space="0" w:color="auto"/>
      </w:divBdr>
      <w:divsChild>
        <w:div w:id="389960479">
          <w:marLeft w:val="0"/>
          <w:marRight w:val="0"/>
          <w:marTop w:val="0"/>
          <w:marBottom w:val="0"/>
          <w:divBdr>
            <w:top w:val="none" w:sz="0" w:space="0" w:color="auto"/>
            <w:left w:val="none" w:sz="0" w:space="0" w:color="auto"/>
            <w:bottom w:val="none" w:sz="0" w:space="0" w:color="auto"/>
            <w:right w:val="none" w:sz="0" w:space="0" w:color="auto"/>
          </w:divBdr>
        </w:div>
        <w:div w:id="2132435576">
          <w:marLeft w:val="0"/>
          <w:marRight w:val="0"/>
          <w:marTop w:val="0"/>
          <w:marBottom w:val="0"/>
          <w:divBdr>
            <w:top w:val="none" w:sz="0" w:space="0" w:color="auto"/>
            <w:left w:val="none" w:sz="0" w:space="0" w:color="auto"/>
            <w:bottom w:val="none" w:sz="0" w:space="0" w:color="auto"/>
            <w:right w:val="none" w:sz="0" w:space="0" w:color="auto"/>
          </w:divBdr>
        </w:div>
        <w:div w:id="1278222640">
          <w:marLeft w:val="0"/>
          <w:marRight w:val="0"/>
          <w:marTop w:val="0"/>
          <w:marBottom w:val="0"/>
          <w:divBdr>
            <w:top w:val="none" w:sz="0" w:space="0" w:color="auto"/>
            <w:left w:val="none" w:sz="0" w:space="0" w:color="auto"/>
            <w:bottom w:val="none" w:sz="0" w:space="0" w:color="auto"/>
            <w:right w:val="none" w:sz="0" w:space="0" w:color="auto"/>
          </w:divBdr>
        </w:div>
        <w:div w:id="535586344">
          <w:marLeft w:val="0"/>
          <w:marRight w:val="0"/>
          <w:marTop w:val="0"/>
          <w:marBottom w:val="0"/>
          <w:divBdr>
            <w:top w:val="none" w:sz="0" w:space="0" w:color="auto"/>
            <w:left w:val="none" w:sz="0" w:space="0" w:color="auto"/>
            <w:bottom w:val="none" w:sz="0" w:space="0" w:color="auto"/>
            <w:right w:val="none" w:sz="0" w:space="0" w:color="auto"/>
          </w:divBdr>
          <w:divsChild>
            <w:div w:id="12772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5385">
      <w:bodyDiv w:val="1"/>
      <w:marLeft w:val="0"/>
      <w:marRight w:val="0"/>
      <w:marTop w:val="0"/>
      <w:marBottom w:val="0"/>
      <w:divBdr>
        <w:top w:val="none" w:sz="0" w:space="0" w:color="auto"/>
        <w:left w:val="none" w:sz="0" w:space="0" w:color="auto"/>
        <w:bottom w:val="none" w:sz="0" w:space="0" w:color="auto"/>
        <w:right w:val="none" w:sz="0" w:space="0" w:color="auto"/>
      </w:divBdr>
    </w:div>
    <w:div w:id="905989337">
      <w:bodyDiv w:val="1"/>
      <w:marLeft w:val="0"/>
      <w:marRight w:val="0"/>
      <w:marTop w:val="0"/>
      <w:marBottom w:val="0"/>
      <w:divBdr>
        <w:top w:val="none" w:sz="0" w:space="0" w:color="auto"/>
        <w:left w:val="none" w:sz="0" w:space="0" w:color="auto"/>
        <w:bottom w:val="none" w:sz="0" w:space="0" w:color="auto"/>
        <w:right w:val="none" w:sz="0" w:space="0" w:color="auto"/>
      </w:divBdr>
      <w:divsChild>
        <w:div w:id="840775315">
          <w:marLeft w:val="0"/>
          <w:marRight w:val="0"/>
          <w:marTop w:val="0"/>
          <w:marBottom w:val="0"/>
          <w:divBdr>
            <w:top w:val="none" w:sz="0" w:space="0" w:color="auto"/>
            <w:left w:val="none" w:sz="0" w:space="0" w:color="auto"/>
            <w:bottom w:val="none" w:sz="0" w:space="0" w:color="auto"/>
            <w:right w:val="none" w:sz="0" w:space="0" w:color="auto"/>
          </w:divBdr>
          <w:divsChild>
            <w:div w:id="1158420836">
              <w:marLeft w:val="0"/>
              <w:marRight w:val="0"/>
              <w:marTop w:val="0"/>
              <w:marBottom w:val="0"/>
              <w:divBdr>
                <w:top w:val="none" w:sz="0" w:space="0" w:color="auto"/>
                <w:left w:val="none" w:sz="0" w:space="0" w:color="auto"/>
                <w:bottom w:val="none" w:sz="0" w:space="0" w:color="auto"/>
                <w:right w:val="none" w:sz="0" w:space="0" w:color="auto"/>
              </w:divBdr>
              <w:divsChild>
                <w:div w:id="1183781607">
                  <w:marLeft w:val="0"/>
                  <w:marRight w:val="0"/>
                  <w:marTop w:val="0"/>
                  <w:marBottom w:val="0"/>
                  <w:divBdr>
                    <w:top w:val="none" w:sz="0" w:space="0" w:color="auto"/>
                    <w:left w:val="none" w:sz="0" w:space="0" w:color="auto"/>
                    <w:bottom w:val="none" w:sz="0" w:space="0" w:color="auto"/>
                    <w:right w:val="none" w:sz="0" w:space="0" w:color="auto"/>
                  </w:divBdr>
                  <w:divsChild>
                    <w:div w:id="3544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21845">
      <w:bodyDiv w:val="1"/>
      <w:marLeft w:val="0"/>
      <w:marRight w:val="0"/>
      <w:marTop w:val="0"/>
      <w:marBottom w:val="0"/>
      <w:divBdr>
        <w:top w:val="none" w:sz="0" w:space="0" w:color="auto"/>
        <w:left w:val="none" w:sz="0" w:space="0" w:color="auto"/>
        <w:bottom w:val="none" w:sz="0" w:space="0" w:color="auto"/>
        <w:right w:val="none" w:sz="0" w:space="0" w:color="auto"/>
      </w:divBdr>
    </w:div>
    <w:div w:id="949319405">
      <w:bodyDiv w:val="1"/>
      <w:marLeft w:val="0"/>
      <w:marRight w:val="0"/>
      <w:marTop w:val="0"/>
      <w:marBottom w:val="0"/>
      <w:divBdr>
        <w:top w:val="none" w:sz="0" w:space="0" w:color="auto"/>
        <w:left w:val="none" w:sz="0" w:space="0" w:color="auto"/>
        <w:bottom w:val="none" w:sz="0" w:space="0" w:color="auto"/>
        <w:right w:val="none" w:sz="0" w:space="0" w:color="auto"/>
      </w:divBdr>
    </w:div>
    <w:div w:id="956302610">
      <w:bodyDiv w:val="1"/>
      <w:marLeft w:val="0"/>
      <w:marRight w:val="0"/>
      <w:marTop w:val="0"/>
      <w:marBottom w:val="0"/>
      <w:divBdr>
        <w:top w:val="none" w:sz="0" w:space="0" w:color="auto"/>
        <w:left w:val="none" w:sz="0" w:space="0" w:color="auto"/>
        <w:bottom w:val="none" w:sz="0" w:space="0" w:color="auto"/>
        <w:right w:val="none" w:sz="0" w:space="0" w:color="auto"/>
      </w:divBdr>
      <w:divsChild>
        <w:div w:id="77679442">
          <w:marLeft w:val="0"/>
          <w:marRight w:val="0"/>
          <w:marTop w:val="0"/>
          <w:marBottom w:val="0"/>
          <w:divBdr>
            <w:top w:val="none" w:sz="0" w:space="0" w:color="auto"/>
            <w:left w:val="none" w:sz="0" w:space="0" w:color="auto"/>
            <w:bottom w:val="none" w:sz="0" w:space="0" w:color="auto"/>
            <w:right w:val="none" w:sz="0" w:space="0" w:color="auto"/>
          </w:divBdr>
          <w:divsChild>
            <w:div w:id="311327466">
              <w:marLeft w:val="0"/>
              <w:marRight w:val="0"/>
              <w:marTop w:val="0"/>
              <w:marBottom w:val="0"/>
              <w:divBdr>
                <w:top w:val="none" w:sz="0" w:space="0" w:color="auto"/>
                <w:left w:val="none" w:sz="0" w:space="0" w:color="auto"/>
                <w:bottom w:val="none" w:sz="0" w:space="0" w:color="auto"/>
                <w:right w:val="none" w:sz="0" w:space="0" w:color="auto"/>
              </w:divBdr>
              <w:divsChild>
                <w:div w:id="770244859">
                  <w:marLeft w:val="0"/>
                  <w:marRight w:val="0"/>
                  <w:marTop w:val="0"/>
                  <w:marBottom w:val="0"/>
                  <w:divBdr>
                    <w:top w:val="none" w:sz="0" w:space="0" w:color="auto"/>
                    <w:left w:val="none" w:sz="0" w:space="0" w:color="auto"/>
                    <w:bottom w:val="none" w:sz="0" w:space="0" w:color="auto"/>
                    <w:right w:val="none" w:sz="0" w:space="0" w:color="auto"/>
                  </w:divBdr>
                  <w:divsChild>
                    <w:div w:id="20232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7396">
      <w:bodyDiv w:val="1"/>
      <w:marLeft w:val="0"/>
      <w:marRight w:val="0"/>
      <w:marTop w:val="0"/>
      <w:marBottom w:val="0"/>
      <w:divBdr>
        <w:top w:val="none" w:sz="0" w:space="0" w:color="auto"/>
        <w:left w:val="none" w:sz="0" w:space="0" w:color="auto"/>
        <w:bottom w:val="none" w:sz="0" w:space="0" w:color="auto"/>
        <w:right w:val="none" w:sz="0" w:space="0" w:color="auto"/>
      </w:divBdr>
    </w:div>
    <w:div w:id="1019159583">
      <w:bodyDiv w:val="1"/>
      <w:marLeft w:val="0"/>
      <w:marRight w:val="0"/>
      <w:marTop w:val="0"/>
      <w:marBottom w:val="0"/>
      <w:divBdr>
        <w:top w:val="none" w:sz="0" w:space="0" w:color="auto"/>
        <w:left w:val="none" w:sz="0" w:space="0" w:color="auto"/>
        <w:bottom w:val="none" w:sz="0" w:space="0" w:color="auto"/>
        <w:right w:val="none" w:sz="0" w:space="0" w:color="auto"/>
      </w:divBdr>
    </w:div>
    <w:div w:id="1023357097">
      <w:bodyDiv w:val="1"/>
      <w:marLeft w:val="0"/>
      <w:marRight w:val="0"/>
      <w:marTop w:val="0"/>
      <w:marBottom w:val="0"/>
      <w:divBdr>
        <w:top w:val="none" w:sz="0" w:space="0" w:color="auto"/>
        <w:left w:val="none" w:sz="0" w:space="0" w:color="auto"/>
        <w:bottom w:val="none" w:sz="0" w:space="0" w:color="auto"/>
        <w:right w:val="none" w:sz="0" w:space="0" w:color="auto"/>
      </w:divBdr>
      <w:divsChild>
        <w:div w:id="628437524">
          <w:marLeft w:val="0"/>
          <w:marRight w:val="0"/>
          <w:marTop w:val="0"/>
          <w:marBottom w:val="0"/>
          <w:divBdr>
            <w:top w:val="none" w:sz="0" w:space="0" w:color="auto"/>
            <w:left w:val="none" w:sz="0" w:space="0" w:color="auto"/>
            <w:bottom w:val="none" w:sz="0" w:space="0" w:color="auto"/>
            <w:right w:val="none" w:sz="0" w:space="0" w:color="auto"/>
          </w:divBdr>
          <w:divsChild>
            <w:div w:id="724330671">
              <w:marLeft w:val="0"/>
              <w:marRight w:val="0"/>
              <w:marTop w:val="0"/>
              <w:marBottom w:val="0"/>
              <w:divBdr>
                <w:top w:val="none" w:sz="0" w:space="0" w:color="auto"/>
                <w:left w:val="none" w:sz="0" w:space="0" w:color="auto"/>
                <w:bottom w:val="none" w:sz="0" w:space="0" w:color="auto"/>
                <w:right w:val="none" w:sz="0" w:space="0" w:color="auto"/>
              </w:divBdr>
              <w:divsChild>
                <w:div w:id="784349332">
                  <w:marLeft w:val="0"/>
                  <w:marRight w:val="0"/>
                  <w:marTop w:val="0"/>
                  <w:marBottom w:val="0"/>
                  <w:divBdr>
                    <w:top w:val="none" w:sz="0" w:space="0" w:color="auto"/>
                    <w:left w:val="none" w:sz="0" w:space="0" w:color="auto"/>
                    <w:bottom w:val="none" w:sz="0" w:space="0" w:color="auto"/>
                    <w:right w:val="none" w:sz="0" w:space="0" w:color="auto"/>
                  </w:divBdr>
                  <w:divsChild>
                    <w:div w:id="2075546291">
                      <w:marLeft w:val="0"/>
                      <w:marRight w:val="0"/>
                      <w:marTop w:val="0"/>
                      <w:marBottom w:val="0"/>
                      <w:divBdr>
                        <w:top w:val="none" w:sz="0" w:space="0" w:color="auto"/>
                        <w:left w:val="none" w:sz="0" w:space="0" w:color="auto"/>
                        <w:bottom w:val="none" w:sz="0" w:space="0" w:color="auto"/>
                        <w:right w:val="none" w:sz="0" w:space="0" w:color="auto"/>
                      </w:divBdr>
                      <w:divsChild>
                        <w:div w:id="224876580">
                          <w:marLeft w:val="0"/>
                          <w:marRight w:val="300"/>
                          <w:marTop w:val="180"/>
                          <w:marBottom w:val="0"/>
                          <w:divBdr>
                            <w:top w:val="none" w:sz="0" w:space="0" w:color="auto"/>
                            <w:left w:val="none" w:sz="0" w:space="0" w:color="auto"/>
                            <w:bottom w:val="none" w:sz="0" w:space="0" w:color="auto"/>
                            <w:right w:val="none" w:sz="0" w:space="0" w:color="auto"/>
                          </w:divBdr>
                          <w:divsChild>
                            <w:div w:id="16102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21301">
      <w:bodyDiv w:val="1"/>
      <w:marLeft w:val="0"/>
      <w:marRight w:val="0"/>
      <w:marTop w:val="0"/>
      <w:marBottom w:val="0"/>
      <w:divBdr>
        <w:top w:val="none" w:sz="0" w:space="0" w:color="auto"/>
        <w:left w:val="none" w:sz="0" w:space="0" w:color="auto"/>
        <w:bottom w:val="none" w:sz="0" w:space="0" w:color="auto"/>
        <w:right w:val="none" w:sz="0" w:space="0" w:color="auto"/>
      </w:divBdr>
    </w:div>
    <w:div w:id="1030453528">
      <w:bodyDiv w:val="1"/>
      <w:marLeft w:val="0"/>
      <w:marRight w:val="0"/>
      <w:marTop w:val="0"/>
      <w:marBottom w:val="0"/>
      <w:divBdr>
        <w:top w:val="none" w:sz="0" w:space="0" w:color="auto"/>
        <w:left w:val="none" w:sz="0" w:space="0" w:color="auto"/>
        <w:bottom w:val="none" w:sz="0" w:space="0" w:color="auto"/>
        <w:right w:val="none" w:sz="0" w:space="0" w:color="auto"/>
      </w:divBdr>
    </w:div>
    <w:div w:id="1053774038">
      <w:bodyDiv w:val="1"/>
      <w:marLeft w:val="0"/>
      <w:marRight w:val="0"/>
      <w:marTop w:val="0"/>
      <w:marBottom w:val="0"/>
      <w:divBdr>
        <w:top w:val="none" w:sz="0" w:space="0" w:color="auto"/>
        <w:left w:val="none" w:sz="0" w:space="0" w:color="auto"/>
        <w:bottom w:val="none" w:sz="0" w:space="0" w:color="auto"/>
        <w:right w:val="none" w:sz="0" w:space="0" w:color="auto"/>
      </w:divBdr>
      <w:divsChild>
        <w:div w:id="37971273">
          <w:marLeft w:val="0"/>
          <w:marRight w:val="0"/>
          <w:marTop w:val="0"/>
          <w:marBottom w:val="0"/>
          <w:divBdr>
            <w:top w:val="none" w:sz="0" w:space="0" w:color="auto"/>
            <w:left w:val="none" w:sz="0" w:space="0" w:color="auto"/>
            <w:bottom w:val="none" w:sz="0" w:space="0" w:color="auto"/>
            <w:right w:val="none" w:sz="0" w:space="0" w:color="auto"/>
          </w:divBdr>
          <w:divsChild>
            <w:div w:id="1939289185">
              <w:marLeft w:val="0"/>
              <w:marRight w:val="0"/>
              <w:marTop w:val="0"/>
              <w:marBottom w:val="0"/>
              <w:divBdr>
                <w:top w:val="none" w:sz="0" w:space="0" w:color="auto"/>
                <w:left w:val="none" w:sz="0" w:space="0" w:color="auto"/>
                <w:bottom w:val="none" w:sz="0" w:space="0" w:color="auto"/>
                <w:right w:val="none" w:sz="0" w:space="0" w:color="auto"/>
              </w:divBdr>
              <w:divsChild>
                <w:div w:id="16379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5821">
      <w:bodyDiv w:val="1"/>
      <w:marLeft w:val="0"/>
      <w:marRight w:val="0"/>
      <w:marTop w:val="0"/>
      <w:marBottom w:val="0"/>
      <w:divBdr>
        <w:top w:val="none" w:sz="0" w:space="0" w:color="auto"/>
        <w:left w:val="none" w:sz="0" w:space="0" w:color="auto"/>
        <w:bottom w:val="none" w:sz="0" w:space="0" w:color="auto"/>
        <w:right w:val="none" w:sz="0" w:space="0" w:color="auto"/>
      </w:divBdr>
    </w:div>
    <w:div w:id="1084257278">
      <w:bodyDiv w:val="1"/>
      <w:marLeft w:val="0"/>
      <w:marRight w:val="0"/>
      <w:marTop w:val="0"/>
      <w:marBottom w:val="0"/>
      <w:divBdr>
        <w:top w:val="none" w:sz="0" w:space="0" w:color="auto"/>
        <w:left w:val="none" w:sz="0" w:space="0" w:color="auto"/>
        <w:bottom w:val="none" w:sz="0" w:space="0" w:color="auto"/>
        <w:right w:val="none" w:sz="0" w:space="0" w:color="auto"/>
      </w:divBdr>
      <w:divsChild>
        <w:div w:id="1813018664">
          <w:marLeft w:val="0"/>
          <w:marRight w:val="0"/>
          <w:marTop w:val="0"/>
          <w:marBottom w:val="0"/>
          <w:divBdr>
            <w:top w:val="none" w:sz="0" w:space="0" w:color="auto"/>
            <w:left w:val="none" w:sz="0" w:space="0" w:color="auto"/>
            <w:bottom w:val="none" w:sz="0" w:space="0" w:color="auto"/>
            <w:right w:val="none" w:sz="0" w:space="0" w:color="auto"/>
          </w:divBdr>
          <w:divsChild>
            <w:div w:id="886992119">
              <w:marLeft w:val="0"/>
              <w:marRight w:val="0"/>
              <w:marTop w:val="0"/>
              <w:marBottom w:val="0"/>
              <w:divBdr>
                <w:top w:val="none" w:sz="0" w:space="0" w:color="auto"/>
                <w:left w:val="none" w:sz="0" w:space="0" w:color="auto"/>
                <w:bottom w:val="none" w:sz="0" w:space="0" w:color="auto"/>
                <w:right w:val="none" w:sz="0" w:space="0" w:color="auto"/>
              </w:divBdr>
              <w:divsChild>
                <w:div w:id="13860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4682">
      <w:bodyDiv w:val="1"/>
      <w:marLeft w:val="0"/>
      <w:marRight w:val="0"/>
      <w:marTop w:val="0"/>
      <w:marBottom w:val="0"/>
      <w:divBdr>
        <w:top w:val="none" w:sz="0" w:space="0" w:color="auto"/>
        <w:left w:val="none" w:sz="0" w:space="0" w:color="auto"/>
        <w:bottom w:val="none" w:sz="0" w:space="0" w:color="auto"/>
        <w:right w:val="none" w:sz="0" w:space="0" w:color="auto"/>
      </w:divBdr>
      <w:divsChild>
        <w:div w:id="299849265">
          <w:marLeft w:val="0"/>
          <w:marRight w:val="0"/>
          <w:marTop w:val="0"/>
          <w:marBottom w:val="0"/>
          <w:divBdr>
            <w:top w:val="none" w:sz="0" w:space="0" w:color="auto"/>
            <w:left w:val="none" w:sz="0" w:space="0" w:color="auto"/>
            <w:bottom w:val="none" w:sz="0" w:space="0" w:color="auto"/>
            <w:right w:val="none" w:sz="0" w:space="0" w:color="auto"/>
          </w:divBdr>
          <w:divsChild>
            <w:div w:id="1624119371">
              <w:marLeft w:val="0"/>
              <w:marRight w:val="0"/>
              <w:marTop w:val="0"/>
              <w:marBottom w:val="0"/>
              <w:divBdr>
                <w:top w:val="none" w:sz="0" w:space="0" w:color="auto"/>
                <w:left w:val="none" w:sz="0" w:space="0" w:color="auto"/>
                <w:bottom w:val="none" w:sz="0" w:space="0" w:color="auto"/>
                <w:right w:val="none" w:sz="0" w:space="0" w:color="auto"/>
              </w:divBdr>
              <w:divsChild>
                <w:div w:id="16997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659">
      <w:bodyDiv w:val="1"/>
      <w:marLeft w:val="0"/>
      <w:marRight w:val="0"/>
      <w:marTop w:val="0"/>
      <w:marBottom w:val="0"/>
      <w:divBdr>
        <w:top w:val="none" w:sz="0" w:space="0" w:color="auto"/>
        <w:left w:val="none" w:sz="0" w:space="0" w:color="auto"/>
        <w:bottom w:val="none" w:sz="0" w:space="0" w:color="auto"/>
        <w:right w:val="none" w:sz="0" w:space="0" w:color="auto"/>
      </w:divBdr>
    </w:div>
    <w:div w:id="1152789341">
      <w:bodyDiv w:val="1"/>
      <w:marLeft w:val="0"/>
      <w:marRight w:val="0"/>
      <w:marTop w:val="0"/>
      <w:marBottom w:val="0"/>
      <w:divBdr>
        <w:top w:val="none" w:sz="0" w:space="0" w:color="auto"/>
        <w:left w:val="none" w:sz="0" w:space="0" w:color="auto"/>
        <w:bottom w:val="none" w:sz="0" w:space="0" w:color="auto"/>
        <w:right w:val="none" w:sz="0" w:space="0" w:color="auto"/>
      </w:divBdr>
    </w:div>
    <w:div w:id="1184123900">
      <w:bodyDiv w:val="1"/>
      <w:marLeft w:val="0"/>
      <w:marRight w:val="0"/>
      <w:marTop w:val="0"/>
      <w:marBottom w:val="0"/>
      <w:divBdr>
        <w:top w:val="none" w:sz="0" w:space="0" w:color="auto"/>
        <w:left w:val="none" w:sz="0" w:space="0" w:color="auto"/>
        <w:bottom w:val="none" w:sz="0" w:space="0" w:color="auto"/>
        <w:right w:val="none" w:sz="0" w:space="0" w:color="auto"/>
      </w:divBdr>
      <w:divsChild>
        <w:div w:id="1039932023">
          <w:marLeft w:val="0"/>
          <w:marRight w:val="0"/>
          <w:marTop w:val="0"/>
          <w:marBottom w:val="0"/>
          <w:divBdr>
            <w:top w:val="none" w:sz="0" w:space="0" w:color="auto"/>
            <w:left w:val="none" w:sz="0" w:space="0" w:color="auto"/>
            <w:bottom w:val="none" w:sz="0" w:space="0" w:color="auto"/>
            <w:right w:val="none" w:sz="0" w:space="0" w:color="auto"/>
          </w:divBdr>
          <w:divsChild>
            <w:div w:id="1581716746">
              <w:marLeft w:val="0"/>
              <w:marRight w:val="0"/>
              <w:marTop w:val="0"/>
              <w:marBottom w:val="0"/>
              <w:divBdr>
                <w:top w:val="none" w:sz="0" w:space="0" w:color="auto"/>
                <w:left w:val="none" w:sz="0" w:space="0" w:color="auto"/>
                <w:bottom w:val="none" w:sz="0" w:space="0" w:color="auto"/>
                <w:right w:val="none" w:sz="0" w:space="0" w:color="auto"/>
              </w:divBdr>
              <w:divsChild>
                <w:div w:id="4853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0721">
      <w:bodyDiv w:val="1"/>
      <w:marLeft w:val="0"/>
      <w:marRight w:val="0"/>
      <w:marTop w:val="0"/>
      <w:marBottom w:val="0"/>
      <w:divBdr>
        <w:top w:val="none" w:sz="0" w:space="0" w:color="auto"/>
        <w:left w:val="none" w:sz="0" w:space="0" w:color="auto"/>
        <w:bottom w:val="none" w:sz="0" w:space="0" w:color="auto"/>
        <w:right w:val="none" w:sz="0" w:space="0" w:color="auto"/>
      </w:divBdr>
    </w:div>
    <w:div w:id="1209026366">
      <w:bodyDiv w:val="1"/>
      <w:marLeft w:val="0"/>
      <w:marRight w:val="0"/>
      <w:marTop w:val="0"/>
      <w:marBottom w:val="0"/>
      <w:divBdr>
        <w:top w:val="none" w:sz="0" w:space="0" w:color="auto"/>
        <w:left w:val="none" w:sz="0" w:space="0" w:color="auto"/>
        <w:bottom w:val="none" w:sz="0" w:space="0" w:color="auto"/>
        <w:right w:val="none" w:sz="0" w:space="0" w:color="auto"/>
      </w:divBdr>
      <w:divsChild>
        <w:div w:id="1844738368">
          <w:marLeft w:val="0"/>
          <w:marRight w:val="0"/>
          <w:marTop w:val="0"/>
          <w:marBottom w:val="0"/>
          <w:divBdr>
            <w:top w:val="none" w:sz="0" w:space="0" w:color="auto"/>
            <w:left w:val="none" w:sz="0" w:space="0" w:color="auto"/>
            <w:bottom w:val="none" w:sz="0" w:space="0" w:color="auto"/>
            <w:right w:val="none" w:sz="0" w:space="0" w:color="auto"/>
          </w:divBdr>
          <w:divsChild>
            <w:div w:id="592052467">
              <w:marLeft w:val="0"/>
              <w:marRight w:val="0"/>
              <w:marTop w:val="0"/>
              <w:marBottom w:val="0"/>
              <w:divBdr>
                <w:top w:val="none" w:sz="0" w:space="0" w:color="auto"/>
                <w:left w:val="none" w:sz="0" w:space="0" w:color="auto"/>
                <w:bottom w:val="none" w:sz="0" w:space="0" w:color="auto"/>
                <w:right w:val="none" w:sz="0" w:space="0" w:color="auto"/>
              </w:divBdr>
              <w:divsChild>
                <w:div w:id="2848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9457">
      <w:bodyDiv w:val="1"/>
      <w:marLeft w:val="0"/>
      <w:marRight w:val="0"/>
      <w:marTop w:val="0"/>
      <w:marBottom w:val="0"/>
      <w:divBdr>
        <w:top w:val="none" w:sz="0" w:space="0" w:color="auto"/>
        <w:left w:val="none" w:sz="0" w:space="0" w:color="auto"/>
        <w:bottom w:val="none" w:sz="0" w:space="0" w:color="auto"/>
        <w:right w:val="none" w:sz="0" w:space="0" w:color="auto"/>
      </w:divBdr>
      <w:divsChild>
        <w:div w:id="1052999674">
          <w:marLeft w:val="0"/>
          <w:marRight w:val="0"/>
          <w:marTop w:val="0"/>
          <w:marBottom w:val="0"/>
          <w:divBdr>
            <w:top w:val="none" w:sz="0" w:space="0" w:color="auto"/>
            <w:left w:val="none" w:sz="0" w:space="0" w:color="auto"/>
            <w:bottom w:val="none" w:sz="0" w:space="0" w:color="auto"/>
            <w:right w:val="none" w:sz="0" w:space="0" w:color="auto"/>
          </w:divBdr>
          <w:divsChild>
            <w:div w:id="413018083">
              <w:marLeft w:val="0"/>
              <w:marRight w:val="0"/>
              <w:marTop w:val="0"/>
              <w:marBottom w:val="0"/>
              <w:divBdr>
                <w:top w:val="none" w:sz="0" w:space="0" w:color="auto"/>
                <w:left w:val="none" w:sz="0" w:space="0" w:color="auto"/>
                <w:bottom w:val="none" w:sz="0" w:space="0" w:color="auto"/>
                <w:right w:val="none" w:sz="0" w:space="0" w:color="auto"/>
              </w:divBdr>
              <w:divsChild>
                <w:div w:id="1476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7300">
      <w:bodyDiv w:val="1"/>
      <w:marLeft w:val="0"/>
      <w:marRight w:val="0"/>
      <w:marTop w:val="0"/>
      <w:marBottom w:val="0"/>
      <w:divBdr>
        <w:top w:val="none" w:sz="0" w:space="0" w:color="auto"/>
        <w:left w:val="none" w:sz="0" w:space="0" w:color="auto"/>
        <w:bottom w:val="none" w:sz="0" w:space="0" w:color="auto"/>
        <w:right w:val="none" w:sz="0" w:space="0" w:color="auto"/>
      </w:divBdr>
      <w:divsChild>
        <w:div w:id="1324552712">
          <w:marLeft w:val="0"/>
          <w:marRight w:val="0"/>
          <w:marTop w:val="0"/>
          <w:marBottom w:val="0"/>
          <w:divBdr>
            <w:top w:val="none" w:sz="0" w:space="0" w:color="auto"/>
            <w:left w:val="none" w:sz="0" w:space="0" w:color="auto"/>
            <w:bottom w:val="none" w:sz="0" w:space="0" w:color="auto"/>
            <w:right w:val="none" w:sz="0" w:space="0" w:color="auto"/>
          </w:divBdr>
          <w:divsChild>
            <w:div w:id="1934782367">
              <w:marLeft w:val="0"/>
              <w:marRight w:val="0"/>
              <w:marTop w:val="0"/>
              <w:marBottom w:val="0"/>
              <w:divBdr>
                <w:top w:val="none" w:sz="0" w:space="0" w:color="auto"/>
                <w:left w:val="none" w:sz="0" w:space="0" w:color="auto"/>
                <w:bottom w:val="none" w:sz="0" w:space="0" w:color="auto"/>
                <w:right w:val="none" w:sz="0" w:space="0" w:color="auto"/>
              </w:divBdr>
              <w:divsChild>
                <w:div w:id="14173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3930">
      <w:bodyDiv w:val="1"/>
      <w:marLeft w:val="0"/>
      <w:marRight w:val="0"/>
      <w:marTop w:val="0"/>
      <w:marBottom w:val="0"/>
      <w:divBdr>
        <w:top w:val="none" w:sz="0" w:space="0" w:color="auto"/>
        <w:left w:val="none" w:sz="0" w:space="0" w:color="auto"/>
        <w:bottom w:val="none" w:sz="0" w:space="0" w:color="auto"/>
        <w:right w:val="none" w:sz="0" w:space="0" w:color="auto"/>
      </w:divBdr>
    </w:div>
    <w:div w:id="1250459346">
      <w:bodyDiv w:val="1"/>
      <w:marLeft w:val="0"/>
      <w:marRight w:val="0"/>
      <w:marTop w:val="0"/>
      <w:marBottom w:val="0"/>
      <w:divBdr>
        <w:top w:val="none" w:sz="0" w:space="0" w:color="auto"/>
        <w:left w:val="none" w:sz="0" w:space="0" w:color="auto"/>
        <w:bottom w:val="none" w:sz="0" w:space="0" w:color="auto"/>
        <w:right w:val="none" w:sz="0" w:space="0" w:color="auto"/>
      </w:divBdr>
    </w:div>
    <w:div w:id="1254436164">
      <w:bodyDiv w:val="1"/>
      <w:marLeft w:val="0"/>
      <w:marRight w:val="0"/>
      <w:marTop w:val="0"/>
      <w:marBottom w:val="0"/>
      <w:divBdr>
        <w:top w:val="none" w:sz="0" w:space="0" w:color="auto"/>
        <w:left w:val="none" w:sz="0" w:space="0" w:color="auto"/>
        <w:bottom w:val="none" w:sz="0" w:space="0" w:color="auto"/>
        <w:right w:val="none" w:sz="0" w:space="0" w:color="auto"/>
      </w:divBdr>
    </w:div>
    <w:div w:id="1268073787">
      <w:bodyDiv w:val="1"/>
      <w:marLeft w:val="0"/>
      <w:marRight w:val="0"/>
      <w:marTop w:val="0"/>
      <w:marBottom w:val="0"/>
      <w:divBdr>
        <w:top w:val="none" w:sz="0" w:space="0" w:color="auto"/>
        <w:left w:val="none" w:sz="0" w:space="0" w:color="auto"/>
        <w:bottom w:val="none" w:sz="0" w:space="0" w:color="auto"/>
        <w:right w:val="none" w:sz="0" w:space="0" w:color="auto"/>
      </w:divBdr>
      <w:divsChild>
        <w:div w:id="1588461800">
          <w:marLeft w:val="0"/>
          <w:marRight w:val="0"/>
          <w:marTop w:val="0"/>
          <w:marBottom w:val="0"/>
          <w:divBdr>
            <w:top w:val="none" w:sz="0" w:space="0" w:color="auto"/>
            <w:left w:val="none" w:sz="0" w:space="0" w:color="auto"/>
            <w:bottom w:val="none" w:sz="0" w:space="0" w:color="auto"/>
            <w:right w:val="none" w:sz="0" w:space="0" w:color="auto"/>
          </w:divBdr>
          <w:divsChild>
            <w:div w:id="1372655920">
              <w:marLeft w:val="0"/>
              <w:marRight w:val="0"/>
              <w:marTop w:val="0"/>
              <w:marBottom w:val="0"/>
              <w:divBdr>
                <w:top w:val="none" w:sz="0" w:space="0" w:color="auto"/>
                <w:left w:val="none" w:sz="0" w:space="0" w:color="auto"/>
                <w:bottom w:val="none" w:sz="0" w:space="0" w:color="auto"/>
                <w:right w:val="none" w:sz="0" w:space="0" w:color="auto"/>
              </w:divBdr>
              <w:divsChild>
                <w:div w:id="234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4416">
      <w:bodyDiv w:val="1"/>
      <w:marLeft w:val="0"/>
      <w:marRight w:val="0"/>
      <w:marTop w:val="0"/>
      <w:marBottom w:val="0"/>
      <w:divBdr>
        <w:top w:val="none" w:sz="0" w:space="0" w:color="auto"/>
        <w:left w:val="none" w:sz="0" w:space="0" w:color="auto"/>
        <w:bottom w:val="none" w:sz="0" w:space="0" w:color="auto"/>
        <w:right w:val="none" w:sz="0" w:space="0" w:color="auto"/>
      </w:divBdr>
      <w:divsChild>
        <w:div w:id="2064138718">
          <w:marLeft w:val="0"/>
          <w:marRight w:val="0"/>
          <w:marTop w:val="0"/>
          <w:marBottom w:val="0"/>
          <w:divBdr>
            <w:top w:val="none" w:sz="0" w:space="0" w:color="auto"/>
            <w:left w:val="none" w:sz="0" w:space="0" w:color="auto"/>
            <w:bottom w:val="none" w:sz="0" w:space="0" w:color="auto"/>
            <w:right w:val="none" w:sz="0" w:space="0" w:color="auto"/>
          </w:divBdr>
          <w:divsChild>
            <w:div w:id="1066343961">
              <w:marLeft w:val="0"/>
              <w:marRight w:val="0"/>
              <w:marTop w:val="0"/>
              <w:marBottom w:val="0"/>
              <w:divBdr>
                <w:top w:val="none" w:sz="0" w:space="0" w:color="auto"/>
                <w:left w:val="none" w:sz="0" w:space="0" w:color="auto"/>
                <w:bottom w:val="none" w:sz="0" w:space="0" w:color="auto"/>
                <w:right w:val="none" w:sz="0" w:space="0" w:color="auto"/>
              </w:divBdr>
            </w:div>
            <w:div w:id="705636758">
              <w:marLeft w:val="0"/>
              <w:marRight w:val="0"/>
              <w:marTop w:val="0"/>
              <w:marBottom w:val="0"/>
              <w:divBdr>
                <w:top w:val="none" w:sz="0" w:space="0" w:color="auto"/>
                <w:left w:val="none" w:sz="0" w:space="0" w:color="auto"/>
                <w:bottom w:val="none" w:sz="0" w:space="0" w:color="auto"/>
                <w:right w:val="none" w:sz="0" w:space="0" w:color="auto"/>
              </w:divBdr>
            </w:div>
            <w:div w:id="1652826821">
              <w:marLeft w:val="0"/>
              <w:marRight w:val="0"/>
              <w:marTop w:val="0"/>
              <w:marBottom w:val="0"/>
              <w:divBdr>
                <w:top w:val="none" w:sz="0" w:space="0" w:color="auto"/>
                <w:left w:val="none" w:sz="0" w:space="0" w:color="auto"/>
                <w:bottom w:val="none" w:sz="0" w:space="0" w:color="auto"/>
                <w:right w:val="none" w:sz="0" w:space="0" w:color="auto"/>
              </w:divBdr>
            </w:div>
          </w:divsChild>
        </w:div>
        <w:div w:id="1967854664">
          <w:marLeft w:val="0"/>
          <w:marRight w:val="0"/>
          <w:marTop w:val="0"/>
          <w:marBottom w:val="0"/>
          <w:divBdr>
            <w:top w:val="none" w:sz="0" w:space="0" w:color="auto"/>
            <w:left w:val="none" w:sz="0" w:space="0" w:color="auto"/>
            <w:bottom w:val="none" w:sz="0" w:space="0" w:color="auto"/>
            <w:right w:val="none" w:sz="0" w:space="0" w:color="auto"/>
          </w:divBdr>
        </w:div>
        <w:div w:id="334962505">
          <w:marLeft w:val="0"/>
          <w:marRight w:val="0"/>
          <w:marTop w:val="0"/>
          <w:marBottom w:val="0"/>
          <w:divBdr>
            <w:top w:val="none" w:sz="0" w:space="0" w:color="auto"/>
            <w:left w:val="none" w:sz="0" w:space="0" w:color="auto"/>
            <w:bottom w:val="none" w:sz="0" w:space="0" w:color="auto"/>
            <w:right w:val="none" w:sz="0" w:space="0" w:color="auto"/>
          </w:divBdr>
        </w:div>
      </w:divsChild>
    </w:div>
    <w:div w:id="1275820061">
      <w:bodyDiv w:val="1"/>
      <w:marLeft w:val="0"/>
      <w:marRight w:val="0"/>
      <w:marTop w:val="0"/>
      <w:marBottom w:val="0"/>
      <w:divBdr>
        <w:top w:val="none" w:sz="0" w:space="0" w:color="auto"/>
        <w:left w:val="none" w:sz="0" w:space="0" w:color="auto"/>
        <w:bottom w:val="none" w:sz="0" w:space="0" w:color="auto"/>
        <w:right w:val="none" w:sz="0" w:space="0" w:color="auto"/>
      </w:divBdr>
    </w:div>
    <w:div w:id="1303003453">
      <w:bodyDiv w:val="1"/>
      <w:marLeft w:val="0"/>
      <w:marRight w:val="0"/>
      <w:marTop w:val="0"/>
      <w:marBottom w:val="0"/>
      <w:divBdr>
        <w:top w:val="none" w:sz="0" w:space="0" w:color="auto"/>
        <w:left w:val="none" w:sz="0" w:space="0" w:color="auto"/>
        <w:bottom w:val="none" w:sz="0" w:space="0" w:color="auto"/>
        <w:right w:val="none" w:sz="0" w:space="0" w:color="auto"/>
      </w:divBdr>
    </w:div>
    <w:div w:id="1303929802">
      <w:bodyDiv w:val="1"/>
      <w:marLeft w:val="0"/>
      <w:marRight w:val="0"/>
      <w:marTop w:val="0"/>
      <w:marBottom w:val="0"/>
      <w:divBdr>
        <w:top w:val="none" w:sz="0" w:space="0" w:color="auto"/>
        <w:left w:val="none" w:sz="0" w:space="0" w:color="auto"/>
        <w:bottom w:val="none" w:sz="0" w:space="0" w:color="auto"/>
        <w:right w:val="none" w:sz="0" w:space="0" w:color="auto"/>
      </w:divBdr>
      <w:divsChild>
        <w:div w:id="146898928">
          <w:marLeft w:val="0"/>
          <w:marRight w:val="0"/>
          <w:marTop w:val="0"/>
          <w:marBottom w:val="0"/>
          <w:divBdr>
            <w:top w:val="none" w:sz="0" w:space="0" w:color="auto"/>
            <w:left w:val="none" w:sz="0" w:space="0" w:color="auto"/>
            <w:bottom w:val="none" w:sz="0" w:space="0" w:color="auto"/>
            <w:right w:val="none" w:sz="0" w:space="0" w:color="auto"/>
          </w:divBdr>
          <w:divsChild>
            <w:div w:id="742876607">
              <w:marLeft w:val="0"/>
              <w:marRight w:val="0"/>
              <w:marTop w:val="0"/>
              <w:marBottom w:val="0"/>
              <w:divBdr>
                <w:top w:val="none" w:sz="0" w:space="0" w:color="auto"/>
                <w:left w:val="none" w:sz="0" w:space="0" w:color="auto"/>
                <w:bottom w:val="none" w:sz="0" w:space="0" w:color="auto"/>
                <w:right w:val="none" w:sz="0" w:space="0" w:color="auto"/>
              </w:divBdr>
              <w:divsChild>
                <w:div w:id="324626120">
                  <w:marLeft w:val="0"/>
                  <w:marRight w:val="0"/>
                  <w:marTop w:val="0"/>
                  <w:marBottom w:val="0"/>
                  <w:divBdr>
                    <w:top w:val="none" w:sz="0" w:space="0" w:color="auto"/>
                    <w:left w:val="none" w:sz="0" w:space="0" w:color="auto"/>
                    <w:bottom w:val="none" w:sz="0" w:space="0" w:color="auto"/>
                    <w:right w:val="none" w:sz="0" w:space="0" w:color="auto"/>
                  </w:divBdr>
                  <w:divsChild>
                    <w:div w:id="1382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3376">
      <w:bodyDiv w:val="1"/>
      <w:marLeft w:val="0"/>
      <w:marRight w:val="0"/>
      <w:marTop w:val="0"/>
      <w:marBottom w:val="0"/>
      <w:divBdr>
        <w:top w:val="none" w:sz="0" w:space="0" w:color="auto"/>
        <w:left w:val="none" w:sz="0" w:space="0" w:color="auto"/>
        <w:bottom w:val="none" w:sz="0" w:space="0" w:color="auto"/>
        <w:right w:val="none" w:sz="0" w:space="0" w:color="auto"/>
      </w:divBdr>
      <w:divsChild>
        <w:div w:id="2005889247">
          <w:marLeft w:val="0"/>
          <w:marRight w:val="0"/>
          <w:marTop w:val="0"/>
          <w:marBottom w:val="0"/>
          <w:divBdr>
            <w:top w:val="none" w:sz="0" w:space="0" w:color="auto"/>
            <w:left w:val="none" w:sz="0" w:space="0" w:color="auto"/>
            <w:bottom w:val="none" w:sz="0" w:space="0" w:color="auto"/>
            <w:right w:val="none" w:sz="0" w:space="0" w:color="auto"/>
          </w:divBdr>
          <w:divsChild>
            <w:div w:id="674185030">
              <w:marLeft w:val="0"/>
              <w:marRight w:val="0"/>
              <w:marTop w:val="0"/>
              <w:marBottom w:val="0"/>
              <w:divBdr>
                <w:top w:val="none" w:sz="0" w:space="0" w:color="auto"/>
                <w:left w:val="none" w:sz="0" w:space="0" w:color="auto"/>
                <w:bottom w:val="none" w:sz="0" w:space="0" w:color="auto"/>
                <w:right w:val="none" w:sz="0" w:space="0" w:color="auto"/>
              </w:divBdr>
              <w:divsChild>
                <w:div w:id="16785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4598">
      <w:bodyDiv w:val="1"/>
      <w:marLeft w:val="0"/>
      <w:marRight w:val="0"/>
      <w:marTop w:val="0"/>
      <w:marBottom w:val="0"/>
      <w:divBdr>
        <w:top w:val="none" w:sz="0" w:space="0" w:color="auto"/>
        <w:left w:val="none" w:sz="0" w:space="0" w:color="auto"/>
        <w:bottom w:val="none" w:sz="0" w:space="0" w:color="auto"/>
        <w:right w:val="none" w:sz="0" w:space="0" w:color="auto"/>
      </w:divBdr>
      <w:divsChild>
        <w:div w:id="1727947611">
          <w:marLeft w:val="0"/>
          <w:marRight w:val="0"/>
          <w:marTop w:val="0"/>
          <w:marBottom w:val="0"/>
          <w:divBdr>
            <w:top w:val="none" w:sz="0" w:space="0" w:color="auto"/>
            <w:left w:val="none" w:sz="0" w:space="0" w:color="auto"/>
            <w:bottom w:val="none" w:sz="0" w:space="0" w:color="auto"/>
            <w:right w:val="none" w:sz="0" w:space="0" w:color="auto"/>
          </w:divBdr>
          <w:divsChild>
            <w:div w:id="832650290">
              <w:marLeft w:val="0"/>
              <w:marRight w:val="0"/>
              <w:marTop w:val="0"/>
              <w:marBottom w:val="0"/>
              <w:divBdr>
                <w:top w:val="none" w:sz="0" w:space="0" w:color="auto"/>
                <w:left w:val="none" w:sz="0" w:space="0" w:color="auto"/>
                <w:bottom w:val="none" w:sz="0" w:space="0" w:color="auto"/>
                <w:right w:val="none" w:sz="0" w:space="0" w:color="auto"/>
              </w:divBdr>
              <w:divsChild>
                <w:div w:id="395662867">
                  <w:marLeft w:val="0"/>
                  <w:marRight w:val="0"/>
                  <w:marTop w:val="0"/>
                  <w:marBottom w:val="0"/>
                  <w:divBdr>
                    <w:top w:val="none" w:sz="0" w:space="0" w:color="auto"/>
                    <w:left w:val="none" w:sz="0" w:space="0" w:color="auto"/>
                    <w:bottom w:val="none" w:sz="0" w:space="0" w:color="auto"/>
                    <w:right w:val="none" w:sz="0" w:space="0" w:color="auto"/>
                  </w:divBdr>
                  <w:divsChild>
                    <w:div w:id="1311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36097">
      <w:bodyDiv w:val="1"/>
      <w:marLeft w:val="0"/>
      <w:marRight w:val="0"/>
      <w:marTop w:val="0"/>
      <w:marBottom w:val="0"/>
      <w:divBdr>
        <w:top w:val="none" w:sz="0" w:space="0" w:color="auto"/>
        <w:left w:val="none" w:sz="0" w:space="0" w:color="auto"/>
        <w:bottom w:val="none" w:sz="0" w:space="0" w:color="auto"/>
        <w:right w:val="none" w:sz="0" w:space="0" w:color="auto"/>
      </w:divBdr>
    </w:div>
    <w:div w:id="1349480888">
      <w:bodyDiv w:val="1"/>
      <w:marLeft w:val="0"/>
      <w:marRight w:val="0"/>
      <w:marTop w:val="0"/>
      <w:marBottom w:val="0"/>
      <w:divBdr>
        <w:top w:val="none" w:sz="0" w:space="0" w:color="auto"/>
        <w:left w:val="none" w:sz="0" w:space="0" w:color="auto"/>
        <w:bottom w:val="none" w:sz="0" w:space="0" w:color="auto"/>
        <w:right w:val="none" w:sz="0" w:space="0" w:color="auto"/>
      </w:divBdr>
      <w:divsChild>
        <w:div w:id="1703901835">
          <w:marLeft w:val="0"/>
          <w:marRight w:val="0"/>
          <w:marTop w:val="0"/>
          <w:marBottom w:val="0"/>
          <w:divBdr>
            <w:top w:val="none" w:sz="0" w:space="0" w:color="auto"/>
            <w:left w:val="none" w:sz="0" w:space="0" w:color="auto"/>
            <w:bottom w:val="none" w:sz="0" w:space="0" w:color="auto"/>
            <w:right w:val="none" w:sz="0" w:space="0" w:color="auto"/>
          </w:divBdr>
          <w:divsChild>
            <w:div w:id="2059014942">
              <w:marLeft w:val="0"/>
              <w:marRight w:val="0"/>
              <w:marTop w:val="0"/>
              <w:marBottom w:val="0"/>
              <w:divBdr>
                <w:top w:val="none" w:sz="0" w:space="0" w:color="auto"/>
                <w:left w:val="none" w:sz="0" w:space="0" w:color="auto"/>
                <w:bottom w:val="none" w:sz="0" w:space="0" w:color="auto"/>
                <w:right w:val="none" w:sz="0" w:space="0" w:color="auto"/>
              </w:divBdr>
              <w:divsChild>
                <w:div w:id="1152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86478">
      <w:bodyDiv w:val="1"/>
      <w:marLeft w:val="0"/>
      <w:marRight w:val="0"/>
      <w:marTop w:val="0"/>
      <w:marBottom w:val="0"/>
      <w:divBdr>
        <w:top w:val="none" w:sz="0" w:space="0" w:color="auto"/>
        <w:left w:val="none" w:sz="0" w:space="0" w:color="auto"/>
        <w:bottom w:val="none" w:sz="0" w:space="0" w:color="auto"/>
        <w:right w:val="none" w:sz="0" w:space="0" w:color="auto"/>
      </w:divBdr>
      <w:divsChild>
        <w:div w:id="287712230">
          <w:marLeft w:val="0"/>
          <w:marRight w:val="0"/>
          <w:marTop w:val="0"/>
          <w:marBottom w:val="0"/>
          <w:divBdr>
            <w:top w:val="none" w:sz="0" w:space="0" w:color="auto"/>
            <w:left w:val="none" w:sz="0" w:space="0" w:color="auto"/>
            <w:bottom w:val="none" w:sz="0" w:space="0" w:color="auto"/>
            <w:right w:val="none" w:sz="0" w:space="0" w:color="auto"/>
          </w:divBdr>
          <w:divsChild>
            <w:div w:id="1639342014">
              <w:marLeft w:val="0"/>
              <w:marRight w:val="0"/>
              <w:marTop w:val="0"/>
              <w:marBottom w:val="0"/>
              <w:divBdr>
                <w:top w:val="none" w:sz="0" w:space="0" w:color="auto"/>
                <w:left w:val="none" w:sz="0" w:space="0" w:color="auto"/>
                <w:bottom w:val="none" w:sz="0" w:space="0" w:color="auto"/>
                <w:right w:val="none" w:sz="0" w:space="0" w:color="auto"/>
              </w:divBdr>
              <w:divsChild>
                <w:div w:id="216211691">
                  <w:marLeft w:val="0"/>
                  <w:marRight w:val="0"/>
                  <w:marTop w:val="0"/>
                  <w:marBottom w:val="0"/>
                  <w:divBdr>
                    <w:top w:val="none" w:sz="0" w:space="0" w:color="auto"/>
                    <w:left w:val="none" w:sz="0" w:space="0" w:color="auto"/>
                    <w:bottom w:val="none" w:sz="0" w:space="0" w:color="auto"/>
                    <w:right w:val="none" w:sz="0" w:space="0" w:color="auto"/>
                  </w:divBdr>
                  <w:divsChild>
                    <w:div w:id="13505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31559">
      <w:bodyDiv w:val="1"/>
      <w:marLeft w:val="0"/>
      <w:marRight w:val="0"/>
      <w:marTop w:val="0"/>
      <w:marBottom w:val="0"/>
      <w:divBdr>
        <w:top w:val="none" w:sz="0" w:space="0" w:color="auto"/>
        <w:left w:val="none" w:sz="0" w:space="0" w:color="auto"/>
        <w:bottom w:val="none" w:sz="0" w:space="0" w:color="auto"/>
        <w:right w:val="none" w:sz="0" w:space="0" w:color="auto"/>
      </w:divBdr>
      <w:divsChild>
        <w:div w:id="595673358">
          <w:marLeft w:val="0"/>
          <w:marRight w:val="0"/>
          <w:marTop w:val="0"/>
          <w:marBottom w:val="0"/>
          <w:divBdr>
            <w:top w:val="none" w:sz="0" w:space="0" w:color="auto"/>
            <w:left w:val="none" w:sz="0" w:space="0" w:color="auto"/>
            <w:bottom w:val="none" w:sz="0" w:space="0" w:color="auto"/>
            <w:right w:val="none" w:sz="0" w:space="0" w:color="auto"/>
          </w:divBdr>
          <w:divsChild>
            <w:div w:id="905644490">
              <w:marLeft w:val="0"/>
              <w:marRight w:val="0"/>
              <w:marTop w:val="0"/>
              <w:marBottom w:val="0"/>
              <w:divBdr>
                <w:top w:val="none" w:sz="0" w:space="0" w:color="auto"/>
                <w:left w:val="none" w:sz="0" w:space="0" w:color="auto"/>
                <w:bottom w:val="none" w:sz="0" w:space="0" w:color="auto"/>
                <w:right w:val="none" w:sz="0" w:space="0" w:color="auto"/>
              </w:divBdr>
            </w:div>
          </w:divsChild>
        </w:div>
        <w:div w:id="1653019979">
          <w:marLeft w:val="0"/>
          <w:marRight w:val="0"/>
          <w:marTop w:val="0"/>
          <w:marBottom w:val="0"/>
          <w:divBdr>
            <w:top w:val="none" w:sz="0" w:space="0" w:color="auto"/>
            <w:left w:val="none" w:sz="0" w:space="0" w:color="auto"/>
            <w:bottom w:val="none" w:sz="0" w:space="0" w:color="auto"/>
            <w:right w:val="none" w:sz="0" w:space="0" w:color="auto"/>
          </w:divBdr>
        </w:div>
        <w:div w:id="1991904115">
          <w:marLeft w:val="0"/>
          <w:marRight w:val="0"/>
          <w:marTop w:val="0"/>
          <w:marBottom w:val="0"/>
          <w:divBdr>
            <w:top w:val="none" w:sz="0" w:space="0" w:color="auto"/>
            <w:left w:val="none" w:sz="0" w:space="0" w:color="auto"/>
            <w:bottom w:val="none" w:sz="0" w:space="0" w:color="auto"/>
            <w:right w:val="none" w:sz="0" w:space="0" w:color="auto"/>
          </w:divBdr>
        </w:div>
      </w:divsChild>
    </w:div>
    <w:div w:id="138729338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58">
          <w:marLeft w:val="0"/>
          <w:marRight w:val="0"/>
          <w:marTop w:val="0"/>
          <w:marBottom w:val="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sChild>
                <w:div w:id="5767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724">
      <w:bodyDiv w:val="1"/>
      <w:marLeft w:val="0"/>
      <w:marRight w:val="0"/>
      <w:marTop w:val="0"/>
      <w:marBottom w:val="0"/>
      <w:divBdr>
        <w:top w:val="none" w:sz="0" w:space="0" w:color="auto"/>
        <w:left w:val="none" w:sz="0" w:space="0" w:color="auto"/>
        <w:bottom w:val="none" w:sz="0" w:space="0" w:color="auto"/>
        <w:right w:val="none" w:sz="0" w:space="0" w:color="auto"/>
      </w:divBdr>
      <w:divsChild>
        <w:div w:id="2059934691">
          <w:marLeft w:val="0"/>
          <w:marRight w:val="0"/>
          <w:marTop w:val="0"/>
          <w:marBottom w:val="0"/>
          <w:divBdr>
            <w:top w:val="none" w:sz="0" w:space="0" w:color="auto"/>
            <w:left w:val="none" w:sz="0" w:space="0" w:color="auto"/>
            <w:bottom w:val="none" w:sz="0" w:space="0" w:color="auto"/>
            <w:right w:val="none" w:sz="0" w:space="0" w:color="auto"/>
          </w:divBdr>
          <w:divsChild>
            <w:div w:id="1776363766">
              <w:marLeft w:val="0"/>
              <w:marRight w:val="0"/>
              <w:marTop w:val="0"/>
              <w:marBottom w:val="0"/>
              <w:divBdr>
                <w:top w:val="none" w:sz="0" w:space="0" w:color="auto"/>
                <w:left w:val="none" w:sz="0" w:space="0" w:color="auto"/>
                <w:bottom w:val="none" w:sz="0" w:space="0" w:color="auto"/>
                <w:right w:val="none" w:sz="0" w:space="0" w:color="auto"/>
              </w:divBdr>
              <w:divsChild>
                <w:div w:id="6570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6769">
      <w:bodyDiv w:val="1"/>
      <w:marLeft w:val="0"/>
      <w:marRight w:val="0"/>
      <w:marTop w:val="0"/>
      <w:marBottom w:val="0"/>
      <w:divBdr>
        <w:top w:val="none" w:sz="0" w:space="0" w:color="auto"/>
        <w:left w:val="none" w:sz="0" w:space="0" w:color="auto"/>
        <w:bottom w:val="none" w:sz="0" w:space="0" w:color="auto"/>
        <w:right w:val="none" w:sz="0" w:space="0" w:color="auto"/>
      </w:divBdr>
      <w:divsChild>
        <w:div w:id="1078285170">
          <w:marLeft w:val="0"/>
          <w:marRight w:val="0"/>
          <w:marTop w:val="0"/>
          <w:marBottom w:val="0"/>
          <w:divBdr>
            <w:top w:val="none" w:sz="0" w:space="0" w:color="auto"/>
            <w:left w:val="none" w:sz="0" w:space="0" w:color="auto"/>
            <w:bottom w:val="none" w:sz="0" w:space="0" w:color="auto"/>
            <w:right w:val="none" w:sz="0" w:space="0" w:color="auto"/>
          </w:divBdr>
          <w:divsChild>
            <w:div w:id="413550822">
              <w:marLeft w:val="0"/>
              <w:marRight w:val="0"/>
              <w:marTop w:val="0"/>
              <w:marBottom w:val="0"/>
              <w:divBdr>
                <w:top w:val="none" w:sz="0" w:space="0" w:color="auto"/>
                <w:left w:val="none" w:sz="0" w:space="0" w:color="auto"/>
                <w:bottom w:val="none" w:sz="0" w:space="0" w:color="auto"/>
                <w:right w:val="none" w:sz="0" w:space="0" w:color="auto"/>
              </w:divBdr>
              <w:divsChild>
                <w:div w:id="320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2774">
      <w:bodyDiv w:val="1"/>
      <w:marLeft w:val="0"/>
      <w:marRight w:val="0"/>
      <w:marTop w:val="0"/>
      <w:marBottom w:val="0"/>
      <w:divBdr>
        <w:top w:val="none" w:sz="0" w:space="0" w:color="auto"/>
        <w:left w:val="none" w:sz="0" w:space="0" w:color="auto"/>
        <w:bottom w:val="none" w:sz="0" w:space="0" w:color="auto"/>
        <w:right w:val="none" w:sz="0" w:space="0" w:color="auto"/>
      </w:divBdr>
      <w:divsChild>
        <w:div w:id="150101704">
          <w:marLeft w:val="0"/>
          <w:marRight w:val="0"/>
          <w:marTop w:val="0"/>
          <w:marBottom w:val="0"/>
          <w:divBdr>
            <w:top w:val="none" w:sz="0" w:space="0" w:color="auto"/>
            <w:left w:val="none" w:sz="0" w:space="0" w:color="auto"/>
            <w:bottom w:val="none" w:sz="0" w:space="0" w:color="auto"/>
            <w:right w:val="none" w:sz="0" w:space="0" w:color="auto"/>
          </w:divBdr>
          <w:divsChild>
            <w:div w:id="1630477895">
              <w:marLeft w:val="0"/>
              <w:marRight w:val="0"/>
              <w:marTop w:val="0"/>
              <w:marBottom w:val="0"/>
              <w:divBdr>
                <w:top w:val="none" w:sz="0" w:space="0" w:color="auto"/>
                <w:left w:val="none" w:sz="0" w:space="0" w:color="auto"/>
                <w:bottom w:val="none" w:sz="0" w:space="0" w:color="auto"/>
                <w:right w:val="none" w:sz="0" w:space="0" w:color="auto"/>
              </w:divBdr>
              <w:divsChild>
                <w:div w:id="112676408">
                  <w:marLeft w:val="0"/>
                  <w:marRight w:val="0"/>
                  <w:marTop w:val="0"/>
                  <w:marBottom w:val="0"/>
                  <w:divBdr>
                    <w:top w:val="none" w:sz="0" w:space="0" w:color="auto"/>
                    <w:left w:val="none" w:sz="0" w:space="0" w:color="auto"/>
                    <w:bottom w:val="none" w:sz="0" w:space="0" w:color="auto"/>
                    <w:right w:val="none" w:sz="0" w:space="0" w:color="auto"/>
                  </w:divBdr>
                  <w:divsChild>
                    <w:div w:id="11264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7594">
      <w:bodyDiv w:val="1"/>
      <w:marLeft w:val="0"/>
      <w:marRight w:val="0"/>
      <w:marTop w:val="0"/>
      <w:marBottom w:val="0"/>
      <w:divBdr>
        <w:top w:val="none" w:sz="0" w:space="0" w:color="auto"/>
        <w:left w:val="none" w:sz="0" w:space="0" w:color="auto"/>
        <w:bottom w:val="none" w:sz="0" w:space="0" w:color="auto"/>
        <w:right w:val="none" w:sz="0" w:space="0" w:color="auto"/>
      </w:divBdr>
      <w:divsChild>
        <w:div w:id="1755013753">
          <w:marLeft w:val="0"/>
          <w:marRight w:val="0"/>
          <w:marTop w:val="0"/>
          <w:marBottom w:val="0"/>
          <w:divBdr>
            <w:top w:val="none" w:sz="0" w:space="0" w:color="auto"/>
            <w:left w:val="none" w:sz="0" w:space="0" w:color="auto"/>
            <w:bottom w:val="none" w:sz="0" w:space="0" w:color="auto"/>
            <w:right w:val="none" w:sz="0" w:space="0" w:color="auto"/>
          </w:divBdr>
          <w:divsChild>
            <w:div w:id="303586663">
              <w:marLeft w:val="0"/>
              <w:marRight w:val="0"/>
              <w:marTop w:val="0"/>
              <w:marBottom w:val="0"/>
              <w:divBdr>
                <w:top w:val="none" w:sz="0" w:space="0" w:color="auto"/>
                <w:left w:val="none" w:sz="0" w:space="0" w:color="auto"/>
                <w:bottom w:val="none" w:sz="0" w:space="0" w:color="auto"/>
                <w:right w:val="none" w:sz="0" w:space="0" w:color="auto"/>
              </w:divBdr>
              <w:divsChild>
                <w:div w:id="1117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2997">
      <w:bodyDiv w:val="1"/>
      <w:marLeft w:val="0"/>
      <w:marRight w:val="0"/>
      <w:marTop w:val="0"/>
      <w:marBottom w:val="0"/>
      <w:divBdr>
        <w:top w:val="none" w:sz="0" w:space="0" w:color="auto"/>
        <w:left w:val="none" w:sz="0" w:space="0" w:color="auto"/>
        <w:bottom w:val="none" w:sz="0" w:space="0" w:color="auto"/>
        <w:right w:val="none" w:sz="0" w:space="0" w:color="auto"/>
      </w:divBdr>
    </w:div>
    <w:div w:id="1524787857">
      <w:bodyDiv w:val="1"/>
      <w:marLeft w:val="0"/>
      <w:marRight w:val="0"/>
      <w:marTop w:val="0"/>
      <w:marBottom w:val="0"/>
      <w:divBdr>
        <w:top w:val="none" w:sz="0" w:space="0" w:color="auto"/>
        <w:left w:val="none" w:sz="0" w:space="0" w:color="auto"/>
        <w:bottom w:val="none" w:sz="0" w:space="0" w:color="auto"/>
        <w:right w:val="none" w:sz="0" w:space="0" w:color="auto"/>
      </w:divBdr>
      <w:divsChild>
        <w:div w:id="1376462139">
          <w:marLeft w:val="0"/>
          <w:marRight w:val="0"/>
          <w:marTop w:val="0"/>
          <w:marBottom w:val="0"/>
          <w:divBdr>
            <w:top w:val="none" w:sz="0" w:space="0" w:color="auto"/>
            <w:left w:val="none" w:sz="0" w:space="0" w:color="auto"/>
            <w:bottom w:val="none" w:sz="0" w:space="0" w:color="auto"/>
            <w:right w:val="none" w:sz="0" w:space="0" w:color="auto"/>
          </w:divBdr>
          <w:divsChild>
            <w:div w:id="1203597502">
              <w:marLeft w:val="0"/>
              <w:marRight w:val="0"/>
              <w:marTop w:val="0"/>
              <w:marBottom w:val="0"/>
              <w:divBdr>
                <w:top w:val="none" w:sz="0" w:space="0" w:color="auto"/>
                <w:left w:val="none" w:sz="0" w:space="0" w:color="auto"/>
                <w:bottom w:val="none" w:sz="0" w:space="0" w:color="auto"/>
                <w:right w:val="none" w:sz="0" w:space="0" w:color="auto"/>
              </w:divBdr>
              <w:divsChild>
                <w:div w:id="2024742739">
                  <w:marLeft w:val="0"/>
                  <w:marRight w:val="0"/>
                  <w:marTop w:val="0"/>
                  <w:marBottom w:val="0"/>
                  <w:divBdr>
                    <w:top w:val="none" w:sz="0" w:space="0" w:color="auto"/>
                    <w:left w:val="none" w:sz="0" w:space="0" w:color="auto"/>
                    <w:bottom w:val="none" w:sz="0" w:space="0" w:color="auto"/>
                    <w:right w:val="none" w:sz="0" w:space="0" w:color="auto"/>
                  </w:divBdr>
                  <w:divsChild>
                    <w:div w:id="3257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68737">
      <w:bodyDiv w:val="1"/>
      <w:marLeft w:val="0"/>
      <w:marRight w:val="0"/>
      <w:marTop w:val="0"/>
      <w:marBottom w:val="0"/>
      <w:divBdr>
        <w:top w:val="none" w:sz="0" w:space="0" w:color="auto"/>
        <w:left w:val="none" w:sz="0" w:space="0" w:color="auto"/>
        <w:bottom w:val="none" w:sz="0" w:space="0" w:color="auto"/>
        <w:right w:val="none" w:sz="0" w:space="0" w:color="auto"/>
      </w:divBdr>
    </w:div>
    <w:div w:id="1553421192">
      <w:bodyDiv w:val="1"/>
      <w:marLeft w:val="0"/>
      <w:marRight w:val="0"/>
      <w:marTop w:val="0"/>
      <w:marBottom w:val="0"/>
      <w:divBdr>
        <w:top w:val="none" w:sz="0" w:space="0" w:color="auto"/>
        <w:left w:val="none" w:sz="0" w:space="0" w:color="auto"/>
        <w:bottom w:val="none" w:sz="0" w:space="0" w:color="auto"/>
        <w:right w:val="none" w:sz="0" w:space="0" w:color="auto"/>
      </w:divBdr>
      <w:divsChild>
        <w:div w:id="1050957742">
          <w:marLeft w:val="0"/>
          <w:marRight w:val="0"/>
          <w:marTop w:val="0"/>
          <w:marBottom w:val="0"/>
          <w:divBdr>
            <w:top w:val="none" w:sz="0" w:space="0" w:color="auto"/>
            <w:left w:val="none" w:sz="0" w:space="0" w:color="auto"/>
            <w:bottom w:val="none" w:sz="0" w:space="0" w:color="auto"/>
            <w:right w:val="none" w:sz="0" w:space="0" w:color="auto"/>
          </w:divBdr>
          <w:divsChild>
            <w:div w:id="1082877574">
              <w:marLeft w:val="0"/>
              <w:marRight w:val="0"/>
              <w:marTop w:val="0"/>
              <w:marBottom w:val="0"/>
              <w:divBdr>
                <w:top w:val="none" w:sz="0" w:space="0" w:color="auto"/>
                <w:left w:val="none" w:sz="0" w:space="0" w:color="auto"/>
                <w:bottom w:val="none" w:sz="0" w:space="0" w:color="auto"/>
                <w:right w:val="none" w:sz="0" w:space="0" w:color="auto"/>
              </w:divBdr>
              <w:divsChild>
                <w:div w:id="14202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6357">
      <w:bodyDiv w:val="1"/>
      <w:marLeft w:val="0"/>
      <w:marRight w:val="0"/>
      <w:marTop w:val="0"/>
      <w:marBottom w:val="0"/>
      <w:divBdr>
        <w:top w:val="none" w:sz="0" w:space="0" w:color="auto"/>
        <w:left w:val="none" w:sz="0" w:space="0" w:color="auto"/>
        <w:bottom w:val="none" w:sz="0" w:space="0" w:color="auto"/>
        <w:right w:val="none" w:sz="0" w:space="0" w:color="auto"/>
      </w:divBdr>
      <w:divsChild>
        <w:div w:id="1554267933">
          <w:marLeft w:val="0"/>
          <w:marRight w:val="0"/>
          <w:marTop w:val="0"/>
          <w:marBottom w:val="0"/>
          <w:divBdr>
            <w:top w:val="none" w:sz="0" w:space="0" w:color="auto"/>
            <w:left w:val="none" w:sz="0" w:space="0" w:color="auto"/>
            <w:bottom w:val="none" w:sz="0" w:space="0" w:color="auto"/>
            <w:right w:val="none" w:sz="0" w:space="0" w:color="auto"/>
          </w:divBdr>
          <w:divsChild>
            <w:div w:id="96217423">
              <w:marLeft w:val="0"/>
              <w:marRight w:val="0"/>
              <w:marTop w:val="0"/>
              <w:marBottom w:val="0"/>
              <w:divBdr>
                <w:top w:val="none" w:sz="0" w:space="0" w:color="auto"/>
                <w:left w:val="none" w:sz="0" w:space="0" w:color="auto"/>
                <w:bottom w:val="none" w:sz="0" w:space="0" w:color="auto"/>
                <w:right w:val="none" w:sz="0" w:space="0" w:color="auto"/>
              </w:divBdr>
              <w:divsChild>
                <w:div w:id="8999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0837">
      <w:bodyDiv w:val="1"/>
      <w:marLeft w:val="0"/>
      <w:marRight w:val="0"/>
      <w:marTop w:val="0"/>
      <w:marBottom w:val="0"/>
      <w:divBdr>
        <w:top w:val="none" w:sz="0" w:space="0" w:color="auto"/>
        <w:left w:val="none" w:sz="0" w:space="0" w:color="auto"/>
        <w:bottom w:val="none" w:sz="0" w:space="0" w:color="auto"/>
        <w:right w:val="none" w:sz="0" w:space="0" w:color="auto"/>
      </w:divBdr>
      <w:divsChild>
        <w:div w:id="291599210">
          <w:marLeft w:val="0"/>
          <w:marRight w:val="0"/>
          <w:marTop w:val="0"/>
          <w:marBottom w:val="0"/>
          <w:divBdr>
            <w:top w:val="none" w:sz="0" w:space="0" w:color="auto"/>
            <w:left w:val="none" w:sz="0" w:space="0" w:color="auto"/>
            <w:bottom w:val="none" w:sz="0" w:space="0" w:color="auto"/>
            <w:right w:val="none" w:sz="0" w:space="0" w:color="auto"/>
          </w:divBdr>
          <w:divsChild>
            <w:div w:id="792987098">
              <w:marLeft w:val="0"/>
              <w:marRight w:val="0"/>
              <w:marTop w:val="0"/>
              <w:marBottom w:val="0"/>
              <w:divBdr>
                <w:top w:val="none" w:sz="0" w:space="0" w:color="auto"/>
                <w:left w:val="none" w:sz="0" w:space="0" w:color="auto"/>
                <w:bottom w:val="none" w:sz="0" w:space="0" w:color="auto"/>
                <w:right w:val="none" w:sz="0" w:space="0" w:color="auto"/>
              </w:divBdr>
              <w:divsChild>
                <w:div w:id="671446332">
                  <w:marLeft w:val="0"/>
                  <w:marRight w:val="0"/>
                  <w:marTop w:val="0"/>
                  <w:marBottom w:val="0"/>
                  <w:divBdr>
                    <w:top w:val="none" w:sz="0" w:space="0" w:color="auto"/>
                    <w:left w:val="none" w:sz="0" w:space="0" w:color="auto"/>
                    <w:bottom w:val="none" w:sz="0" w:space="0" w:color="auto"/>
                    <w:right w:val="none" w:sz="0" w:space="0" w:color="auto"/>
                  </w:divBdr>
                  <w:divsChild>
                    <w:div w:id="4982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7487">
      <w:bodyDiv w:val="1"/>
      <w:marLeft w:val="0"/>
      <w:marRight w:val="0"/>
      <w:marTop w:val="0"/>
      <w:marBottom w:val="0"/>
      <w:divBdr>
        <w:top w:val="none" w:sz="0" w:space="0" w:color="auto"/>
        <w:left w:val="none" w:sz="0" w:space="0" w:color="auto"/>
        <w:bottom w:val="none" w:sz="0" w:space="0" w:color="auto"/>
        <w:right w:val="none" w:sz="0" w:space="0" w:color="auto"/>
      </w:divBdr>
      <w:divsChild>
        <w:div w:id="1382247868">
          <w:marLeft w:val="0"/>
          <w:marRight w:val="0"/>
          <w:marTop w:val="0"/>
          <w:marBottom w:val="0"/>
          <w:divBdr>
            <w:top w:val="none" w:sz="0" w:space="0" w:color="auto"/>
            <w:left w:val="none" w:sz="0" w:space="0" w:color="auto"/>
            <w:bottom w:val="none" w:sz="0" w:space="0" w:color="auto"/>
            <w:right w:val="none" w:sz="0" w:space="0" w:color="auto"/>
          </w:divBdr>
          <w:divsChild>
            <w:div w:id="1750685968">
              <w:marLeft w:val="0"/>
              <w:marRight w:val="0"/>
              <w:marTop w:val="0"/>
              <w:marBottom w:val="0"/>
              <w:divBdr>
                <w:top w:val="none" w:sz="0" w:space="0" w:color="auto"/>
                <w:left w:val="none" w:sz="0" w:space="0" w:color="auto"/>
                <w:bottom w:val="none" w:sz="0" w:space="0" w:color="auto"/>
                <w:right w:val="none" w:sz="0" w:space="0" w:color="auto"/>
              </w:divBdr>
              <w:divsChild>
                <w:div w:id="1800688975">
                  <w:marLeft w:val="0"/>
                  <w:marRight w:val="0"/>
                  <w:marTop w:val="0"/>
                  <w:marBottom w:val="0"/>
                  <w:divBdr>
                    <w:top w:val="none" w:sz="0" w:space="0" w:color="auto"/>
                    <w:left w:val="none" w:sz="0" w:space="0" w:color="auto"/>
                    <w:bottom w:val="none" w:sz="0" w:space="0" w:color="auto"/>
                    <w:right w:val="none" w:sz="0" w:space="0" w:color="auto"/>
                  </w:divBdr>
                  <w:divsChild>
                    <w:div w:id="10635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5914">
      <w:bodyDiv w:val="1"/>
      <w:marLeft w:val="0"/>
      <w:marRight w:val="0"/>
      <w:marTop w:val="0"/>
      <w:marBottom w:val="0"/>
      <w:divBdr>
        <w:top w:val="none" w:sz="0" w:space="0" w:color="auto"/>
        <w:left w:val="none" w:sz="0" w:space="0" w:color="auto"/>
        <w:bottom w:val="none" w:sz="0" w:space="0" w:color="auto"/>
        <w:right w:val="none" w:sz="0" w:space="0" w:color="auto"/>
      </w:divBdr>
    </w:div>
    <w:div w:id="1629435029">
      <w:bodyDiv w:val="1"/>
      <w:marLeft w:val="0"/>
      <w:marRight w:val="0"/>
      <w:marTop w:val="0"/>
      <w:marBottom w:val="0"/>
      <w:divBdr>
        <w:top w:val="none" w:sz="0" w:space="0" w:color="auto"/>
        <w:left w:val="none" w:sz="0" w:space="0" w:color="auto"/>
        <w:bottom w:val="none" w:sz="0" w:space="0" w:color="auto"/>
        <w:right w:val="none" w:sz="0" w:space="0" w:color="auto"/>
      </w:divBdr>
      <w:divsChild>
        <w:div w:id="1508331324">
          <w:marLeft w:val="0"/>
          <w:marRight w:val="0"/>
          <w:marTop w:val="0"/>
          <w:marBottom w:val="0"/>
          <w:divBdr>
            <w:top w:val="none" w:sz="0" w:space="0" w:color="auto"/>
            <w:left w:val="none" w:sz="0" w:space="0" w:color="auto"/>
            <w:bottom w:val="none" w:sz="0" w:space="0" w:color="auto"/>
            <w:right w:val="none" w:sz="0" w:space="0" w:color="auto"/>
          </w:divBdr>
          <w:divsChild>
            <w:div w:id="2021392997">
              <w:marLeft w:val="0"/>
              <w:marRight w:val="0"/>
              <w:marTop w:val="0"/>
              <w:marBottom w:val="0"/>
              <w:divBdr>
                <w:top w:val="none" w:sz="0" w:space="0" w:color="auto"/>
                <w:left w:val="none" w:sz="0" w:space="0" w:color="auto"/>
                <w:bottom w:val="none" w:sz="0" w:space="0" w:color="auto"/>
                <w:right w:val="none" w:sz="0" w:space="0" w:color="auto"/>
              </w:divBdr>
              <w:divsChild>
                <w:div w:id="913666035">
                  <w:marLeft w:val="0"/>
                  <w:marRight w:val="0"/>
                  <w:marTop w:val="0"/>
                  <w:marBottom w:val="0"/>
                  <w:divBdr>
                    <w:top w:val="none" w:sz="0" w:space="0" w:color="auto"/>
                    <w:left w:val="none" w:sz="0" w:space="0" w:color="auto"/>
                    <w:bottom w:val="none" w:sz="0" w:space="0" w:color="auto"/>
                    <w:right w:val="none" w:sz="0" w:space="0" w:color="auto"/>
                  </w:divBdr>
                  <w:divsChild>
                    <w:div w:id="1735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3437">
      <w:bodyDiv w:val="1"/>
      <w:marLeft w:val="0"/>
      <w:marRight w:val="0"/>
      <w:marTop w:val="0"/>
      <w:marBottom w:val="0"/>
      <w:divBdr>
        <w:top w:val="none" w:sz="0" w:space="0" w:color="auto"/>
        <w:left w:val="none" w:sz="0" w:space="0" w:color="auto"/>
        <w:bottom w:val="none" w:sz="0" w:space="0" w:color="auto"/>
        <w:right w:val="none" w:sz="0" w:space="0" w:color="auto"/>
      </w:divBdr>
    </w:div>
    <w:div w:id="1635451675">
      <w:bodyDiv w:val="1"/>
      <w:marLeft w:val="0"/>
      <w:marRight w:val="0"/>
      <w:marTop w:val="0"/>
      <w:marBottom w:val="0"/>
      <w:divBdr>
        <w:top w:val="none" w:sz="0" w:space="0" w:color="auto"/>
        <w:left w:val="none" w:sz="0" w:space="0" w:color="auto"/>
        <w:bottom w:val="none" w:sz="0" w:space="0" w:color="auto"/>
        <w:right w:val="none" w:sz="0" w:space="0" w:color="auto"/>
      </w:divBdr>
    </w:div>
    <w:div w:id="1640450456">
      <w:bodyDiv w:val="1"/>
      <w:marLeft w:val="0"/>
      <w:marRight w:val="0"/>
      <w:marTop w:val="0"/>
      <w:marBottom w:val="0"/>
      <w:divBdr>
        <w:top w:val="none" w:sz="0" w:space="0" w:color="auto"/>
        <w:left w:val="none" w:sz="0" w:space="0" w:color="auto"/>
        <w:bottom w:val="none" w:sz="0" w:space="0" w:color="auto"/>
        <w:right w:val="none" w:sz="0" w:space="0" w:color="auto"/>
      </w:divBdr>
    </w:div>
    <w:div w:id="1684167074">
      <w:bodyDiv w:val="1"/>
      <w:marLeft w:val="0"/>
      <w:marRight w:val="0"/>
      <w:marTop w:val="0"/>
      <w:marBottom w:val="0"/>
      <w:divBdr>
        <w:top w:val="none" w:sz="0" w:space="0" w:color="auto"/>
        <w:left w:val="none" w:sz="0" w:space="0" w:color="auto"/>
        <w:bottom w:val="none" w:sz="0" w:space="0" w:color="auto"/>
        <w:right w:val="none" w:sz="0" w:space="0" w:color="auto"/>
      </w:divBdr>
    </w:div>
    <w:div w:id="1694529119">
      <w:bodyDiv w:val="1"/>
      <w:marLeft w:val="0"/>
      <w:marRight w:val="0"/>
      <w:marTop w:val="0"/>
      <w:marBottom w:val="0"/>
      <w:divBdr>
        <w:top w:val="none" w:sz="0" w:space="0" w:color="auto"/>
        <w:left w:val="none" w:sz="0" w:space="0" w:color="auto"/>
        <w:bottom w:val="none" w:sz="0" w:space="0" w:color="auto"/>
        <w:right w:val="none" w:sz="0" w:space="0" w:color="auto"/>
      </w:divBdr>
    </w:div>
    <w:div w:id="1695381714">
      <w:bodyDiv w:val="1"/>
      <w:marLeft w:val="0"/>
      <w:marRight w:val="0"/>
      <w:marTop w:val="0"/>
      <w:marBottom w:val="0"/>
      <w:divBdr>
        <w:top w:val="none" w:sz="0" w:space="0" w:color="auto"/>
        <w:left w:val="none" w:sz="0" w:space="0" w:color="auto"/>
        <w:bottom w:val="none" w:sz="0" w:space="0" w:color="auto"/>
        <w:right w:val="none" w:sz="0" w:space="0" w:color="auto"/>
      </w:divBdr>
      <w:divsChild>
        <w:div w:id="1297444104">
          <w:marLeft w:val="0"/>
          <w:marRight w:val="0"/>
          <w:marTop w:val="0"/>
          <w:marBottom w:val="0"/>
          <w:divBdr>
            <w:top w:val="none" w:sz="0" w:space="0" w:color="auto"/>
            <w:left w:val="none" w:sz="0" w:space="0" w:color="auto"/>
            <w:bottom w:val="none" w:sz="0" w:space="0" w:color="auto"/>
            <w:right w:val="none" w:sz="0" w:space="0" w:color="auto"/>
          </w:divBdr>
          <w:divsChild>
            <w:div w:id="1465586668">
              <w:marLeft w:val="0"/>
              <w:marRight w:val="0"/>
              <w:marTop w:val="0"/>
              <w:marBottom w:val="0"/>
              <w:divBdr>
                <w:top w:val="none" w:sz="0" w:space="0" w:color="auto"/>
                <w:left w:val="none" w:sz="0" w:space="0" w:color="auto"/>
                <w:bottom w:val="none" w:sz="0" w:space="0" w:color="auto"/>
                <w:right w:val="none" w:sz="0" w:space="0" w:color="auto"/>
              </w:divBdr>
              <w:divsChild>
                <w:div w:id="1763530970">
                  <w:marLeft w:val="0"/>
                  <w:marRight w:val="0"/>
                  <w:marTop w:val="0"/>
                  <w:marBottom w:val="0"/>
                  <w:divBdr>
                    <w:top w:val="none" w:sz="0" w:space="0" w:color="auto"/>
                    <w:left w:val="none" w:sz="0" w:space="0" w:color="auto"/>
                    <w:bottom w:val="none" w:sz="0" w:space="0" w:color="auto"/>
                    <w:right w:val="none" w:sz="0" w:space="0" w:color="auto"/>
                  </w:divBdr>
                  <w:divsChild>
                    <w:div w:id="3632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9417">
      <w:bodyDiv w:val="1"/>
      <w:marLeft w:val="0"/>
      <w:marRight w:val="0"/>
      <w:marTop w:val="0"/>
      <w:marBottom w:val="0"/>
      <w:divBdr>
        <w:top w:val="none" w:sz="0" w:space="0" w:color="auto"/>
        <w:left w:val="none" w:sz="0" w:space="0" w:color="auto"/>
        <w:bottom w:val="none" w:sz="0" w:space="0" w:color="auto"/>
        <w:right w:val="none" w:sz="0" w:space="0" w:color="auto"/>
      </w:divBdr>
      <w:divsChild>
        <w:div w:id="1216772434">
          <w:marLeft w:val="0"/>
          <w:marRight w:val="0"/>
          <w:marTop w:val="0"/>
          <w:marBottom w:val="0"/>
          <w:divBdr>
            <w:top w:val="none" w:sz="0" w:space="0" w:color="auto"/>
            <w:left w:val="none" w:sz="0" w:space="0" w:color="auto"/>
            <w:bottom w:val="none" w:sz="0" w:space="0" w:color="auto"/>
            <w:right w:val="none" w:sz="0" w:space="0" w:color="auto"/>
          </w:divBdr>
          <w:divsChild>
            <w:div w:id="2086536614">
              <w:marLeft w:val="0"/>
              <w:marRight w:val="0"/>
              <w:marTop w:val="0"/>
              <w:marBottom w:val="0"/>
              <w:divBdr>
                <w:top w:val="none" w:sz="0" w:space="0" w:color="auto"/>
                <w:left w:val="none" w:sz="0" w:space="0" w:color="auto"/>
                <w:bottom w:val="none" w:sz="0" w:space="0" w:color="auto"/>
                <w:right w:val="none" w:sz="0" w:space="0" w:color="auto"/>
              </w:divBdr>
              <w:divsChild>
                <w:div w:id="1942881323">
                  <w:marLeft w:val="0"/>
                  <w:marRight w:val="0"/>
                  <w:marTop w:val="0"/>
                  <w:marBottom w:val="0"/>
                  <w:divBdr>
                    <w:top w:val="none" w:sz="0" w:space="0" w:color="auto"/>
                    <w:left w:val="none" w:sz="0" w:space="0" w:color="auto"/>
                    <w:bottom w:val="none" w:sz="0" w:space="0" w:color="auto"/>
                    <w:right w:val="none" w:sz="0" w:space="0" w:color="auto"/>
                  </w:divBdr>
                  <w:divsChild>
                    <w:div w:id="1634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1697">
      <w:bodyDiv w:val="1"/>
      <w:marLeft w:val="0"/>
      <w:marRight w:val="0"/>
      <w:marTop w:val="0"/>
      <w:marBottom w:val="0"/>
      <w:divBdr>
        <w:top w:val="none" w:sz="0" w:space="0" w:color="auto"/>
        <w:left w:val="none" w:sz="0" w:space="0" w:color="auto"/>
        <w:bottom w:val="none" w:sz="0" w:space="0" w:color="auto"/>
        <w:right w:val="none" w:sz="0" w:space="0" w:color="auto"/>
      </w:divBdr>
    </w:div>
    <w:div w:id="1731417486">
      <w:bodyDiv w:val="1"/>
      <w:marLeft w:val="0"/>
      <w:marRight w:val="0"/>
      <w:marTop w:val="0"/>
      <w:marBottom w:val="0"/>
      <w:divBdr>
        <w:top w:val="none" w:sz="0" w:space="0" w:color="auto"/>
        <w:left w:val="none" w:sz="0" w:space="0" w:color="auto"/>
        <w:bottom w:val="none" w:sz="0" w:space="0" w:color="auto"/>
        <w:right w:val="none" w:sz="0" w:space="0" w:color="auto"/>
      </w:divBdr>
      <w:divsChild>
        <w:div w:id="1329096740">
          <w:marLeft w:val="0"/>
          <w:marRight w:val="0"/>
          <w:marTop w:val="0"/>
          <w:marBottom w:val="0"/>
          <w:divBdr>
            <w:top w:val="none" w:sz="0" w:space="0" w:color="auto"/>
            <w:left w:val="none" w:sz="0" w:space="0" w:color="auto"/>
            <w:bottom w:val="none" w:sz="0" w:space="0" w:color="auto"/>
            <w:right w:val="none" w:sz="0" w:space="0" w:color="auto"/>
          </w:divBdr>
          <w:divsChild>
            <w:div w:id="1408190087">
              <w:marLeft w:val="0"/>
              <w:marRight w:val="0"/>
              <w:marTop w:val="0"/>
              <w:marBottom w:val="0"/>
              <w:divBdr>
                <w:top w:val="none" w:sz="0" w:space="0" w:color="auto"/>
                <w:left w:val="none" w:sz="0" w:space="0" w:color="auto"/>
                <w:bottom w:val="none" w:sz="0" w:space="0" w:color="auto"/>
                <w:right w:val="none" w:sz="0" w:space="0" w:color="auto"/>
              </w:divBdr>
              <w:divsChild>
                <w:div w:id="1608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8126">
      <w:bodyDiv w:val="1"/>
      <w:marLeft w:val="0"/>
      <w:marRight w:val="0"/>
      <w:marTop w:val="0"/>
      <w:marBottom w:val="0"/>
      <w:divBdr>
        <w:top w:val="none" w:sz="0" w:space="0" w:color="auto"/>
        <w:left w:val="none" w:sz="0" w:space="0" w:color="auto"/>
        <w:bottom w:val="none" w:sz="0" w:space="0" w:color="auto"/>
        <w:right w:val="none" w:sz="0" w:space="0" w:color="auto"/>
      </w:divBdr>
    </w:div>
    <w:div w:id="1736656796">
      <w:bodyDiv w:val="1"/>
      <w:marLeft w:val="0"/>
      <w:marRight w:val="0"/>
      <w:marTop w:val="0"/>
      <w:marBottom w:val="0"/>
      <w:divBdr>
        <w:top w:val="none" w:sz="0" w:space="0" w:color="auto"/>
        <w:left w:val="none" w:sz="0" w:space="0" w:color="auto"/>
        <w:bottom w:val="none" w:sz="0" w:space="0" w:color="auto"/>
        <w:right w:val="none" w:sz="0" w:space="0" w:color="auto"/>
      </w:divBdr>
    </w:div>
    <w:div w:id="1736858604">
      <w:bodyDiv w:val="1"/>
      <w:marLeft w:val="0"/>
      <w:marRight w:val="0"/>
      <w:marTop w:val="0"/>
      <w:marBottom w:val="0"/>
      <w:divBdr>
        <w:top w:val="none" w:sz="0" w:space="0" w:color="auto"/>
        <w:left w:val="none" w:sz="0" w:space="0" w:color="auto"/>
        <w:bottom w:val="none" w:sz="0" w:space="0" w:color="auto"/>
        <w:right w:val="none" w:sz="0" w:space="0" w:color="auto"/>
      </w:divBdr>
      <w:divsChild>
        <w:div w:id="630982382">
          <w:marLeft w:val="0"/>
          <w:marRight w:val="0"/>
          <w:marTop w:val="0"/>
          <w:marBottom w:val="0"/>
          <w:divBdr>
            <w:top w:val="none" w:sz="0" w:space="0" w:color="auto"/>
            <w:left w:val="none" w:sz="0" w:space="0" w:color="auto"/>
            <w:bottom w:val="none" w:sz="0" w:space="0" w:color="auto"/>
            <w:right w:val="none" w:sz="0" w:space="0" w:color="auto"/>
          </w:divBdr>
          <w:divsChild>
            <w:div w:id="1244993989">
              <w:marLeft w:val="0"/>
              <w:marRight w:val="0"/>
              <w:marTop w:val="0"/>
              <w:marBottom w:val="0"/>
              <w:divBdr>
                <w:top w:val="none" w:sz="0" w:space="0" w:color="auto"/>
                <w:left w:val="none" w:sz="0" w:space="0" w:color="auto"/>
                <w:bottom w:val="none" w:sz="0" w:space="0" w:color="auto"/>
                <w:right w:val="none" w:sz="0" w:space="0" w:color="auto"/>
              </w:divBdr>
              <w:divsChild>
                <w:div w:id="1514764288">
                  <w:marLeft w:val="0"/>
                  <w:marRight w:val="0"/>
                  <w:marTop w:val="0"/>
                  <w:marBottom w:val="0"/>
                  <w:divBdr>
                    <w:top w:val="none" w:sz="0" w:space="0" w:color="auto"/>
                    <w:left w:val="none" w:sz="0" w:space="0" w:color="auto"/>
                    <w:bottom w:val="none" w:sz="0" w:space="0" w:color="auto"/>
                    <w:right w:val="none" w:sz="0" w:space="0" w:color="auto"/>
                  </w:divBdr>
                  <w:divsChild>
                    <w:div w:id="5062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5384">
      <w:bodyDiv w:val="1"/>
      <w:marLeft w:val="0"/>
      <w:marRight w:val="0"/>
      <w:marTop w:val="0"/>
      <w:marBottom w:val="0"/>
      <w:divBdr>
        <w:top w:val="none" w:sz="0" w:space="0" w:color="auto"/>
        <w:left w:val="none" w:sz="0" w:space="0" w:color="auto"/>
        <w:bottom w:val="none" w:sz="0" w:space="0" w:color="auto"/>
        <w:right w:val="none" w:sz="0" w:space="0" w:color="auto"/>
      </w:divBdr>
      <w:divsChild>
        <w:div w:id="1824084223">
          <w:marLeft w:val="0"/>
          <w:marRight w:val="0"/>
          <w:marTop w:val="0"/>
          <w:marBottom w:val="0"/>
          <w:divBdr>
            <w:top w:val="none" w:sz="0" w:space="0" w:color="auto"/>
            <w:left w:val="none" w:sz="0" w:space="0" w:color="auto"/>
            <w:bottom w:val="none" w:sz="0" w:space="0" w:color="auto"/>
            <w:right w:val="none" w:sz="0" w:space="0" w:color="auto"/>
          </w:divBdr>
          <w:divsChild>
            <w:div w:id="64304912">
              <w:marLeft w:val="0"/>
              <w:marRight w:val="0"/>
              <w:marTop w:val="0"/>
              <w:marBottom w:val="0"/>
              <w:divBdr>
                <w:top w:val="none" w:sz="0" w:space="0" w:color="auto"/>
                <w:left w:val="none" w:sz="0" w:space="0" w:color="auto"/>
                <w:bottom w:val="none" w:sz="0" w:space="0" w:color="auto"/>
                <w:right w:val="none" w:sz="0" w:space="0" w:color="auto"/>
              </w:divBdr>
              <w:divsChild>
                <w:div w:id="740710143">
                  <w:marLeft w:val="0"/>
                  <w:marRight w:val="0"/>
                  <w:marTop w:val="0"/>
                  <w:marBottom w:val="0"/>
                  <w:divBdr>
                    <w:top w:val="none" w:sz="0" w:space="0" w:color="auto"/>
                    <w:left w:val="none" w:sz="0" w:space="0" w:color="auto"/>
                    <w:bottom w:val="none" w:sz="0" w:space="0" w:color="auto"/>
                    <w:right w:val="none" w:sz="0" w:space="0" w:color="auto"/>
                  </w:divBdr>
                  <w:divsChild>
                    <w:div w:id="18109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21668">
      <w:bodyDiv w:val="1"/>
      <w:marLeft w:val="0"/>
      <w:marRight w:val="0"/>
      <w:marTop w:val="0"/>
      <w:marBottom w:val="0"/>
      <w:divBdr>
        <w:top w:val="none" w:sz="0" w:space="0" w:color="auto"/>
        <w:left w:val="none" w:sz="0" w:space="0" w:color="auto"/>
        <w:bottom w:val="none" w:sz="0" w:space="0" w:color="auto"/>
        <w:right w:val="none" w:sz="0" w:space="0" w:color="auto"/>
      </w:divBdr>
      <w:divsChild>
        <w:div w:id="2066371622">
          <w:marLeft w:val="0"/>
          <w:marRight w:val="0"/>
          <w:marTop w:val="0"/>
          <w:marBottom w:val="0"/>
          <w:divBdr>
            <w:top w:val="none" w:sz="0" w:space="0" w:color="auto"/>
            <w:left w:val="none" w:sz="0" w:space="0" w:color="auto"/>
            <w:bottom w:val="none" w:sz="0" w:space="0" w:color="auto"/>
            <w:right w:val="none" w:sz="0" w:space="0" w:color="auto"/>
          </w:divBdr>
          <w:divsChild>
            <w:div w:id="1948848072">
              <w:marLeft w:val="0"/>
              <w:marRight w:val="0"/>
              <w:marTop w:val="0"/>
              <w:marBottom w:val="0"/>
              <w:divBdr>
                <w:top w:val="none" w:sz="0" w:space="0" w:color="auto"/>
                <w:left w:val="none" w:sz="0" w:space="0" w:color="auto"/>
                <w:bottom w:val="none" w:sz="0" w:space="0" w:color="auto"/>
                <w:right w:val="none" w:sz="0" w:space="0" w:color="auto"/>
              </w:divBdr>
              <w:divsChild>
                <w:div w:id="1590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8649">
      <w:bodyDiv w:val="1"/>
      <w:marLeft w:val="0"/>
      <w:marRight w:val="0"/>
      <w:marTop w:val="0"/>
      <w:marBottom w:val="0"/>
      <w:divBdr>
        <w:top w:val="none" w:sz="0" w:space="0" w:color="auto"/>
        <w:left w:val="none" w:sz="0" w:space="0" w:color="auto"/>
        <w:bottom w:val="none" w:sz="0" w:space="0" w:color="auto"/>
        <w:right w:val="none" w:sz="0" w:space="0" w:color="auto"/>
      </w:divBdr>
      <w:divsChild>
        <w:div w:id="1744375635">
          <w:marLeft w:val="0"/>
          <w:marRight w:val="0"/>
          <w:marTop w:val="0"/>
          <w:marBottom w:val="0"/>
          <w:divBdr>
            <w:top w:val="none" w:sz="0" w:space="0" w:color="auto"/>
            <w:left w:val="none" w:sz="0" w:space="0" w:color="auto"/>
            <w:bottom w:val="none" w:sz="0" w:space="0" w:color="auto"/>
            <w:right w:val="none" w:sz="0" w:space="0" w:color="auto"/>
          </w:divBdr>
          <w:divsChild>
            <w:div w:id="6635634">
              <w:marLeft w:val="0"/>
              <w:marRight w:val="0"/>
              <w:marTop w:val="0"/>
              <w:marBottom w:val="0"/>
              <w:divBdr>
                <w:top w:val="none" w:sz="0" w:space="0" w:color="auto"/>
                <w:left w:val="none" w:sz="0" w:space="0" w:color="auto"/>
                <w:bottom w:val="none" w:sz="0" w:space="0" w:color="auto"/>
                <w:right w:val="none" w:sz="0" w:space="0" w:color="auto"/>
              </w:divBdr>
              <w:divsChild>
                <w:div w:id="2647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9860">
      <w:bodyDiv w:val="1"/>
      <w:marLeft w:val="0"/>
      <w:marRight w:val="0"/>
      <w:marTop w:val="0"/>
      <w:marBottom w:val="0"/>
      <w:divBdr>
        <w:top w:val="none" w:sz="0" w:space="0" w:color="auto"/>
        <w:left w:val="none" w:sz="0" w:space="0" w:color="auto"/>
        <w:bottom w:val="none" w:sz="0" w:space="0" w:color="auto"/>
        <w:right w:val="none" w:sz="0" w:space="0" w:color="auto"/>
      </w:divBdr>
      <w:divsChild>
        <w:div w:id="1336957084">
          <w:marLeft w:val="0"/>
          <w:marRight w:val="0"/>
          <w:marTop w:val="0"/>
          <w:marBottom w:val="0"/>
          <w:divBdr>
            <w:top w:val="none" w:sz="0" w:space="0" w:color="auto"/>
            <w:left w:val="none" w:sz="0" w:space="0" w:color="auto"/>
            <w:bottom w:val="none" w:sz="0" w:space="0" w:color="auto"/>
            <w:right w:val="none" w:sz="0" w:space="0" w:color="auto"/>
          </w:divBdr>
          <w:divsChild>
            <w:div w:id="1359544999">
              <w:marLeft w:val="0"/>
              <w:marRight w:val="0"/>
              <w:marTop w:val="0"/>
              <w:marBottom w:val="0"/>
              <w:divBdr>
                <w:top w:val="none" w:sz="0" w:space="0" w:color="auto"/>
                <w:left w:val="none" w:sz="0" w:space="0" w:color="auto"/>
                <w:bottom w:val="none" w:sz="0" w:space="0" w:color="auto"/>
                <w:right w:val="none" w:sz="0" w:space="0" w:color="auto"/>
              </w:divBdr>
              <w:divsChild>
                <w:div w:id="526263140">
                  <w:marLeft w:val="0"/>
                  <w:marRight w:val="0"/>
                  <w:marTop w:val="0"/>
                  <w:marBottom w:val="0"/>
                  <w:divBdr>
                    <w:top w:val="none" w:sz="0" w:space="0" w:color="auto"/>
                    <w:left w:val="none" w:sz="0" w:space="0" w:color="auto"/>
                    <w:bottom w:val="none" w:sz="0" w:space="0" w:color="auto"/>
                    <w:right w:val="none" w:sz="0" w:space="0" w:color="auto"/>
                  </w:divBdr>
                  <w:divsChild>
                    <w:div w:id="17242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6775">
      <w:bodyDiv w:val="1"/>
      <w:marLeft w:val="0"/>
      <w:marRight w:val="0"/>
      <w:marTop w:val="0"/>
      <w:marBottom w:val="0"/>
      <w:divBdr>
        <w:top w:val="none" w:sz="0" w:space="0" w:color="auto"/>
        <w:left w:val="none" w:sz="0" w:space="0" w:color="auto"/>
        <w:bottom w:val="none" w:sz="0" w:space="0" w:color="auto"/>
        <w:right w:val="none" w:sz="0" w:space="0" w:color="auto"/>
      </w:divBdr>
      <w:divsChild>
        <w:div w:id="735325473">
          <w:marLeft w:val="0"/>
          <w:marRight w:val="0"/>
          <w:marTop w:val="0"/>
          <w:marBottom w:val="0"/>
          <w:divBdr>
            <w:top w:val="none" w:sz="0" w:space="0" w:color="auto"/>
            <w:left w:val="none" w:sz="0" w:space="0" w:color="auto"/>
            <w:bottom w:val="none" w:sz="0" w:space="0" w:color="auto"/>
            <w:right w:val="none" w:sz="0" w:space="0" w:color="auto"/>
          </w:divBdr>
          <w:divsChild>
            <w:div w:id="1779056035">
              <w:marLeft w:val="0"/>
              <w:marRight w:val="0"/>
              <w:marTop w:val="0"/>
              <w:marBottom w:val="0"/>
              <w:divBdr>
                <w:top w:val="none" w:sz="0" w:space="0" w:color="auto"/>
                <w:left w:val="none" w:sz="0" w:space="0" w:color="auto"/>
                <w:bottom w:val="none" w:sz="0" w:space="0" w:color="auto"/>
                <w:right w:val="none" w:sz="0" w:space="0" w:color="auto"/>
              </w:divBdr>
              <w:divsChild>
                <w:div w:id="7262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3000">
      <w:bodyDiv w:val="1"/>
      <w:marLeft w:val="0"/>
      <w:marRight w:val="0"/>
      <w:marTop w:val="0"/>
      <w:marBottom w:val="0"/>
      <w:divBdr>
        <w:top w:val="none" w:sz="0" w:space="0" w:color="auto"/>
        <w:left w:val="none" w:sz="0" w:space="0" w:color="auto"/>
        <w:bottom w:val="none" w:sz="0" w:space="0" w:color="auto"/>
        <w:right w:val="none" w:sz="0" w:space="0" w:color="auto"/>
      </w:divBdr>
    </w:div>
    <w:div w:id="1829592261">
      <w:bodyDiv w:val="1"/>
      <w:marLeft w:val="0"/>
      <w:marRight w:val="0"/>
      <w:marTop w:val="0"/>
      <w:marBottom w:val="0"/>
      <w:divBdr>
        <w:top w:val="none" w:sz="0" w:space="0" w:color="auto"/>
        <w:left w:val="none" w:sz="0" w:space="0" w:color="auto"/>
        <w:bottom w:val="none" w:sz="0" w:space="0" w:color="auto"/>
        <w:right w:val="none" w:sz="0" w:space="0" w:color="auto"/>
      </w:divBdr>
    </w:div>
    <w:div w:id="1848667292">
      <w:bodyDiv w:val="1"/>
      <w:marLeft w:val="0"/>
      <w:marRight w:val="0"/>
      <w:marTop w:val="0"/>
      <w:marBottom w:val="0"/>
      <w:divBdr>
        <w:top w:val="none" w:sz="0" w:space="0" w:color="auto"/>
        <w:left w:val="none" w:sz="0" w:space="0" w:color="auto"/>
        <w:bottom w:val="none" w:sz="0" w:space="0" w:color="auto"/>
        <w:right w:val="none" w:sz="0" w:space="0" w:color="auto"/>
      </w:divBdr>
      <w:divsChild>
        <w:div w:id="405958984">
          <w:marLeft w:val="0"/>
          <w:marRight w:val="0"/>
          <w:marTop w:val="0"/>
          <w:marBottom w:val="0"/>
          <w:divBdr>
            <w:top w:val="none" w:sz="0" w:space="0" w:color="auto"/>
            <w:left w:val="none" w:sz="0" w:space="0" w:color="auto"/>
            <w:bottom w:val="none" w:sz="0" w:space="0" w:color="auto"/>
            <w:right w:val="none" w:sz="0" w:space="0" w:color="auto"/>
          </w:divBdr>
          <w:divsChild>
            <w:div w:id="1013611866">
              <w:marLeft w:val="0"/>
              <w:marRight w:val="0"/>
              <w:marTop w:val="0"/>
              <w:marBottom w:val="0"/>
              <w:divBdr>
                <w:top w:val="none" w:sz="0" w:space="0" w:color="auto"/>
                <w:left w:val="none" w:sz="0" w:space="0" w:color="auto"/>
                <w:bottom w:val="none" w:sz="0" w:space="0" w:color="auto"/>
                <w:right w:val="none" w:sz="0" w:space="0" w:color="auto"/>
              </w:divBdr>
              <w:divsChild>
                <w:div w:id="963921383">
                  <w:marLeft w:val="0"/>
                  <w:marRight w:val="0"/>
                  <w:marTop w:val="0"/>
                  <w:marBottom w:val="0"/>
                  <w:divBdr>
                    <w:top w:val="none" w:sz="0" w:space="0" w:color="auto"/>
                    <w:left w:val="none" w:sz="0" w:space="0" w:color="auto"/>
                    <w:bottom w:val="none" w:sz="0" w:space="0" w:color="auto"/>
                    <w:right w:val="none" w:sz="0" w:space="0" w:color="auto"/>
                  </w:divBdr>
                  <w:divsChild>
                    <w:div w:id="7979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4543">
      <w:bodyDiv w:val="1"/>
      <w:marLeft w:val="0"/>
      <w:marRight w:val="0"/>
      <w:marTop w:val="0"/>
      <w:marBottom w:val="0"/>
      <w:divBdr>
        <w:top w:val="none" w:sz="0" w:space="0" w:color="auto"/>
        <w:left w:val="none" w:sz="0" w:space="0" w:color="auto"/>
        <w:bottom w:val="none" w:sz="0" w:space="0" w:color="auto"/>
        <w:right w:val="none" w:sz="0" w:space="0" w:color="auto"/>
      </w:divBdr>
      <w:divsChild>
        <w:div w:id="282227109">
          <w:marLeft w:val="0"/>
          <w:marRight w:val="0"/>
          <w:marTop w:val="0"/>
          <w:marBottom w:val="0"/>
          <w:divBdr>
            <w:top w:val="none" w:sz="0" w:space="0" w:color="auto"/>
            <w:left w:val="none" w:sz="0" w:space="0" w:color="auto"/>
            <w:bottom w:val="none" w:sz="0" w:space="0" w:color="auto"/>
            <w:right w:val="none" w:sz="0" w:space="0" w:color="auto"/>
          </w:divBdr>
          <w:divsChild>
            <w:div w:id="1214275164">
              <w:marLeft w:val="0"/>
              <w:marRight w:val="0"/>
              <w:marTop w:val="0"/>
              <w:marBottom w:val="0"/>
              <w:divBdr>
                <w:top w:val="none" w:sz="0" w:space="0" w:color="auto"/>
                <w:left w:val="none" w:sz="0" w:space="0" w:color="auto"/>
                <w:bottom w:val="none" w:sz="0" w:space="0" w:color="auto"/>
                <w:right w:val="none" w:sz="0" w:space="0" w:color="auto"/>
              </w:divBdr>
              <w:divsChild>
                <w:div w:id="105083710">
                  <w:marLeft w:val="0"/>
                  <w:marRight w:val="0"/>
                  <w:marTop w:val="0"/>
                  <w:marBottom w:val="0"/>
                  <w:divBdr>
                    <w:top w:val="none" w:sz="0" w:space="0" w:color="auto"/>
                    <w:left w:val="none" w:sz="0" w:space="0" w:color="auto"/>
                    <w:bottom w:val="none" w:sz="0" w:space="0" w:color="auto"/>
                    <w:right w:val="none" w:sz="0" w:space="0" w:color="auto"/>
                  </w:divBdr>
                  <w:divsChild>
                    <w:div w:id="5609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252">
      <w:bodyDiv w:val="1"/>
      <w:marLeft w:val="0"/>
      <w:marRight w:val="0"/>
      <w:marTop w:val="0"/>
      <w:marBottom w:val="0"/>
      <w:divBdr>
        <w:top w:val="none" w:sz="0" w:space="0" w:color="auto"/>
        <w:left w:val="none" w:sz="0" w:space="0" w:color="auto"/>
        <w:bottom w:val="none" w:sz="0" w:space="0" w:color="auto"/>
        <w:right w:val="none" w:sz="0" w:space="0" w:color="auto"/>
      </w:divBdr>
      <w:divsChild>
        <w:div w:id="832454663">
          <w:marLeft w:val="0"/>
          <w:marRight w:val="0"/>
          <w:marTop w:val="0"/>
          <w:marBottom w:val="0"/>
          <w:divBdr>
            <w:top w:val="none" w:sz="0" w:space="0" w:color="auto"/>
            <w:left w:val="none" w:sz="0" w:space="0" w:color="auto"/>
            <w:bottom w:val="none" w:sz="0" w:space="0" w:color="auto"/>
            <w:right w:val="none" w:sz="0" w:space="0" w:color="auto"/>
          </w:divBdr>
          <w:divsChild>
            <w:div w:id="878014890">
              <w:marLeft w:val="0"/>
              <w:marRight w:val="0"/>
              <w:marTop w:val="0"/>
              <w:marBottom w:val="0"/>
              <w:divBdr>
                <w:top w:val="none" w:sz="0" w:space="0" w:color="auto"/>
                <w:left w:val="none" w:sz="0" w:space="0" w:color="auto"/>
                <w:bottom w:val="none" w:sz="0" w:space="0" w:color="auto"/>
                <w:right w:val="none" w:sz="0" w:space="0" w:color="auto"/>
              </w:divBdr>
              <w:divsChild>
                <w:div w:id="1613396825">
                  <w:marLeft w:val="0"/>
                  <w:marRight w:val="0"/>
                  <w:marTop w:val="0"/>
                  <w:marBottom w:val="0"/>
                  <w:divBdr>
                    <w:top w:val="none" w:sz="0" w:space="0" w:color="auto"/>
                    <w:left w:val="none" w:sz="0" w:space="0" w:color="auto"/>
                    <w:bottom w:val="none" w:sz="0" w:space="0" w:color="auto"/>
                    <w:right w:val="none" w:sz="0" w:space="0" w:color="auto"/>
                  </w:divBdr>
                  <w:divsChild>
                    <w:div w:id="692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1445">
      <w:bodyDiv w:val="1"/>
      <w:marLeft w:val="0"/>
      <w:marRight w:val="0"/>
      <w:marTop w:val="0"/>
      <w:marBottom w:val="0"/>
      <w:divBdr>
        <w:top w:val="none" w:sz="0" w:space="0" w:color="auto"/>
        <w:left w:val="none" w:sz="0" w:space="0" w:color="auto"/>
        <w:bottom w:val="none" w:sz="0" w:space="0" w:color="auto"/>
        <w:right w:val="none" w:sz="0" w:space="0" w:color="auto"/>
      </w:divBdr>
    </w:div>
    <w:div w:id="1915160629">
      <w:bodyDiv w:val="1"/>
      <w:marLeft w:val="0"/>
      <w:marRight w:val="0"/>
      <w:marTop w:val="0"/>
      <w:marBottom w:val="0"/>
      <w:divBdr>
        <w:top w:val="none" w:sz="0" w:space="0" w:color="auto"/>
        <w:left w:val="none" w:sz="0" w:space="0" w:color="auto"/>
        <w:bottom w:val="none" w:sz="0" w:space="0" w:color="auto"/>
        <w:right w:val="none" w:sz="0" w:space="0" w:color="auto"/>
      </w:divBdr>
    </w:div>
    <w:div w:id="1969777805">
      <w:bodyDiv w:val="1"/>
      <w:marLeft w:val="0"/>
      <w:marRight w:val="0"/>
      <w:marTop w:val="0"/>
      <w:marBottom w:val="0"/>
      <w:divBdr>
        <w:top w:val="none" w:sz="0" w:space="0" w:color="auto"/>
        <w:left w:val="none" w:sz="0" w:space="0" w:color="auto"/>
        <w:bottom w:val="none" w:sz="0" w:space="0" w:color="auto"/>
        <w:right w:val="none" w:sz="0" w:space="0" w:color="auto"/>
      </w:divBdr>
      <w:divsChild>
        <w:div w:id="1662730504">
          <w:marLeft w:val="0"/>
          <w:marRight w:val="0"/>
          <w:marTop w:val="0"/>
          <w:marBottom w:val="0"/>
          <w:divBdr>
            <w:top w:val="none" w:sz="0" w:space="0" w:color="auto"/>
            <w:left w:val="none" w:sz="0" w:space="0" w:color="auto"/>
            <w:bottom w:val="none" w:sz="0" w:space="0" w:color="auto"/>
            <w:right w:val="none" w:sz="0" w:space="0" w:color="auto"/>
          </w:divBdr>
          <w:divsChild>
            <w:div w:id="1092631078">
              <w:marLeft w:val="0"/>
              <w:marRight w:val="0"/>
              <w:marTop w:val="0"/>
              <w:marBottom w:val="0"/>
              <w:divBdr>
                <w:top w:val="none" w:sz="0" w:space="0" w:color="auto"/>
                <w:left w:val="none" w:sz="0" w:space="0" w:color="auto"/>
                <w:bottom w:val="none" w:sz="0" w:space="0" w:color="auto"/>
                <w:right w:val="none" w:sz="0" w:space="0" w:color="auto"/>
              </w:divBdr>
              <w:divsChild>
                <w:div w:id="3965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58892">
      <w:bodyDiv w:val="1"/>
      <w:marLeft w:val="0"/>
      <w:marRight w:val="0"/>
      <w:marTop w:val="0"/>
      <w:marBottom w:val="0"/>
      <w:divBdr>
        <w:top w:val="none" w:sz="0" w:space="0" w:color="auto"/>
        <w:left w:val="none" w:sz="0" w:space="0" w:color="auto"/>
        <w:bottom w:val="none" w:sz="0" w:space="0" w:color="auto"/>
        <w:right w:val="none" w:sz="0" w:space="0" w:color="auto"/>
      </w:divBdr>
      <w:divsChild>
        <w:div w:id="828794216">
          <w:marLeft w:val="0"/>
          <w:marRight w:val="0"/>
          <w:marTop w:val="0"/>
          <w:marBottom w:val="0"/>
          <w:divBdr>
            <w:top w:val="none" w:sz="0" w:space="0" w:color="auto"/>
            <w:left w:val="none" w:sz="0" w:space="0" w:color="auto"/>
            <w:bottom w:val="none" w:sz="0" w:space="0" w:color="auto"/>
            <w:right w:val="none" w:sz="0" w:space="0" w:color="auto"/>
          </w:divBdr>
          <w:divsChild>
            <w:div w:id="105736621">
              <w:marLeft w:val="0"/>
              <w:marRight w:val="0"/>
              <w:marTop w:val="0"/>
              <w:marBottom w:val="0"/>
              <w:divBdr>
                <w:top w:val="none" w:sz="0" w:space="0" w:color="auto"/>
                <w:left w:val="none" w:sz="0" w:space="0" w:color="auto"/>
                <w:bottom w:val="none" w:sz="0" w:space="0" w:color="auto"/>
                <w:right w:val="none" w:sz="0" w:space="0" w:color="auto"/>
              </w:divBdr>
              <w:divsChild>
                <w:div w:id="1061321577">
                  <w:marLeft w:val="0"/>
                  <w:marRight w:val="0"/>
                  <w:marTop w:val="0"/>
                  <w:marBottom w:val="0"/>
                  <w:divBdr>
                    <w:top w:val="none" w:sz="0" w:space="0" w:color="auto"/>
                    <w:left w:val="none" w:sz="0" w:space="0" w:color="auto"/>
                    <w:bottom w:val="none" w:sz="0" w:space="0" w:color="auto"/>
                    <w:right w:val="none" w:sz="0" w:space="0" w:color="auto"/>
                  </w:divBdr>
                  <w:divsChild>
                    <w:div w:id="13033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7324">
      <w:bodyDiv w:val="1"/>
      <w:marLeft w:val="0"/>
      <w:marRight w:val="0"/>
      <w:marTop w:val="0"/>
      <w:marBottom w:val="0"/>
      <w:divBdr>
        <w:top w:val="none" w:sz="0" w:space="0" w:color="auto"/>
        <w:left w:val="none" w:sz="0" w:space="0" w:color="auto"/>
        <w:bottom w:val="none" w:sz="0" w:space="0" w:color="auto"/>
        <w:right w:val="none" w:sz="0" w:space="0" w:color="auto"/>
      </w:divBdr>
    </w:div>
    <w:div w:id="2024941454">
      <w:bodyDiv w:val="1"/>
      <w:marLeft w:val="0"/>
      <w:marRight w:val="0"/>
      <w:marTop w:val="0"/>
      <w:marBottom w:val="0"/>
      <w:divBdr>
        <w:top w:val="none" w:sz="0" w:space="0" w:color="auto"/>
        <w:left w:val="none" w:sz="0" w:space="0" w:color="auto"/>
        <w:bottom w:val="none" w:sz="0" w:space="0" w:color="auto"/>
        <w:right w:val="none" w:sz="0" w:space="0" w:color="auto"/>
      </w:divBdr>
      <w:divsChild>
        <w:div w:id="2065251909">
          <w:marLeft w:val="0"/>
          <w:marRight w:val="0"/>
          <w:marTop w:val="0"/>
          <w:marBottom w:val="0"/>
          <w:divBdr>
            <w:top w:val="none" w:sz="0" w:space="0" w:color="auto"/>
            <w:left w:val="none" w:sz="0" w:space="0" w:color="auto"/>
            <w:bottom w:val="none" w:sz="0" w:space="0" w:color="auto"/>
            <w:right w:val="none" w:sz="0" w:space="0" w:color="auto"/>
          </w:divBdr>
          <w:divsChild>
            <w:div w:id="1640382698">
              <w:marLeft w:val="0"/>
              <w:marRight w:val="0"/>
              <w:marTop w:val="0"/>
              <w:marBottom w:val="0"/>
              <w:divBdr>
                <w:top w:val="none" w:sz="0" w:space="0" w:color="auto"/>
                <w:left w:val="none" w:sz="0" w:space="0" w:color="auto"/>
                <w:bottom w:val="none" w:sz="0" w:space="0" w:color="auto"/>
                <w:right w:val="none" w:sz="0" w:space="0" w:color="auto"/>
              </w:divBdr>
              <w:divsChild>
                <w:div w:id="608977026">
                  <w:marLeft w:val="0"/>
                  <w:marRight w:val="0"/>
                  <w:marTop w:val="0"/>
                  <w:marBottom w:val="0"/>
                  <w:divBdr>
                    <w:top w:val="none" w:sz="0" w:space="0" w:color="auto"/>
                    <w:left w:val="none" w:sz="0" w:space="0" w:color="auto"/>
                    <w:bottom w:val="none" w:sz="0" w:space="0" w:color="auto"/>
                    <w:right w:val="none" w:sz="0" w:space="0" w:color="auto"/>
                  </w:divBdr>
                  <w:divsChild>
                    <w:div w:id="10934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23270">
      <w:bodyDiv w:val="1"/>
      <w:marLeft w:val="0"/>
      <w:marRight w:val="0"/>
      <w:marTop w:val="0"/>
      <w:marBottom w:val="0"/>
      <w:divBdr>
        <w:top w:val="none" w:sz="0" w:space="0" w:color="auto"/>
        <w:left w:val="none" w:sz="0" w:space="0" w:color="auto"/>
        <w:bottom w:val="none" w:sz="0" w:space="0" w:color="auto"/>
        <w:right w:val="none" w:sz="0" w:space="0" w:color="auto"/>
      </w:divBdr>
      <w:divsChild>
        <w:div w:id="1385637493">
          <w:marLeft w:val="0"/>
          <w:marRight w:val="0"/>
          <w:marTop w:val="0"/>
          <w:marBottom w:val="0"/>
          <w:divBdr>
            <w:top w:val="none" w:sz="0" w:space="0" w:color="auto"/>
            <w:left w:val="none" w:sz="0" w:space="0" w:color="auto"/>
            <w:bottom w:val="none" w:sz="0" w:space="0" w:color="auto"/>
            <w:right w:val="none" w:sz="0" w:space="0" w:color="auto"/>
          </w:divBdr>
          <w:divsChild>
            <w:div w:id="1622802941">
              <w:marLeft w:val="0"/>
              <w:marRight w:val="0"/>
              <w:marTop w:val="0"/>
              <w:marBottom w:val="0"/>
              <w:divBdr>
                <w:top w:val="none" w:sz="0" w:space="0" w:color="auto"/>
                <w:left w:val="none" w:sz="0" w:space="0" w:color="auto"/>
                <w:bottom w:val="none" w:sz="0" w:space="0" w:color="auto"/>
                <w:right w:val="none" w:sz="0" w:space="0" w:color="auto"/>
              </w:divBdr>
              <w:divsChild>
                <w:div w:id="477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29682">
      <w:bodyDiv w:val="1"/>
      <w:marLeft w:val="0"/>
      <w:marRight w:val="0"/>
      <w:marTop w:val="0"/>
      <w:marBottom w:val="0"/>
      <w:divBdr>
        <w:top w:val="none" w:sz="0" w:space="0" w:color="auto"/>
        <w:left w:val="none" w:sz="0" w:space="0" w:color="auto"/>
        <w:bottom w:val="none" w:sz="0" w:space="0" w:color="auto"/>
        <w:right w:val="none" w:sz="0" w:space="0" w:color="auto"/>
      </w:divBdr>
    </w:div>
    <w:div w:id="2101412959">
      <w:bodyDiv w:val="1"/>
      <w:marLeft w:val="0"/>
      <w:marRight w:val="0"/>
      <w:marTop w:val="0"/>
      <w:marBottom w:val="0"/>
      <w:divBdr>
        <w:top w:val="none" w:sz="0" w:space="0" w:color="auto"/>
        <w:left w:val="none" w:sz="0" w:space="0" w:color="auto"/>
        <w:bottom w:val="none" w:sz="0" w:space="0" w:color="auto"/>
        <w:right w:val="none" w:sz="0" w:space="0" w:color="auto"/>
      </w:divBdr>
    </w:div>
    <w:div w:id="2124952915">
      <w:bodyDiv w:val="1"/>
      <w:marLeft w:val="0"/>
      <w:marRight w:val="0"/>
      <w:marTop w:val="0"/>
      <w:marBottom w:val="0"/>
      <w:divBdr>
        <w:top w:val="none" w:sz="0" w:space="0" w:color="auto"/>
        <w:left w:val="none" w:sz="0" w:space="0" w:color="auto"/>
        <w:bottom w:val="none" w:sz="0" w:space="0" w:color="auto"/>
        <w:right w:val="none" w:sz="0" w:space="0" w:color="auto"/>
      </w:divBdr>
      <w:divsChild>
        <w:div w:id="1691637883">
          <w:marLeft w:val="0"/>
          <w:marRight w:val="0"/>
          <w:marTop w:val="0"/>
          <w:marBottom w:val="0"/>
          <w:divBdr>
            <w:top w:val="none" w:sz="0" w:space="0" w:color="auto"/>
            <w:left w:val="none" w:sz="0" w:space="0" w:color="auto"/>
            <w:bottom w:val="none" w:sz="0" w:space="0" w:color="auto"/>
            <w:right w:val="none" w:sz="0" w:space="0" w:color="auto"/>
          </w:divBdr>
          <w:divsChild>
            <w:div w:id="603614839">
              <w:marLeft w:val="0"/>
              <w:marRight w:val="0"/>
              <w:marTop w:val="0"/>
              <w:marBottom w:val="0"/>
              <w:divBdr>
                <w:top w:val="none" w:sz="0" w:space="0" w:color="auto"/>
                <w:left w:val="none" w:sz="0" w:space="0" w:color="auto"/>
                <w:bottom w:val="none" w:sz="0" w:space="0" w:color="auto"/>
                <w:right w:val="none" w:sz="0" w:space="0" w:color="auto"/>
              </w:divBdr>
              <w:divsChild>
                <w:div w:id="362051336">
                  <w:marLeft w:val="0"/>
                  <w:marRight w:val="0"/>
                  <w:marTop w:val="0"/>
                  <w:marBottom w:val="0"/>
                  <w:divBdr>
                    <w:top w:val="none" w:sz="0" w:space="0" w:color="auto"/>
                    <w:left w:val="none" w:sz="0" w:space="0" w:color="auto"/>
                    <w:bottom w:val="none" w:sz="0" w:space="0" w:color="auto"/>
                    <w:right w:val="none" w:sz="0" w:space="0" w:color="auto"/>
                  </w:divBdr>
                  <w:divsChild>
                    <w:div w:id="7112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6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D860-3370-B245-B79B-FFA7B021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4468</Words>
  <Characters>25471</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PEZEL</dc:creator>
  <cp:keywords/>
  <dc:description/>
  <cp:lastModifiedBy>Dawid Kedra</cp:lastModifiedBy>
  <cp:revision>2</cp:revision>
  <dcterms:created xsi:type="dcterms:W3CDTF">2021-10-06T10:21:00Z</dcterms:created>
  <dcterms:modified xsi:type="dcterms:W3CDTF">2021-10-06T10:21:00Z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id="CgW1INvN"/&gt;&lt;style id="http://www.zotero.org/styles/jacc-cardiovascular-imaging" hasBibliography="1" bibliographyStyleHasBeenSet="1"/&gt;&lt;prefs&gt;&lt;pref name="fieldType" value="Field"/&gt;&lt;pref name="don</vt:lpwstr>
  </property>
  <property fmtid="{D5CDD505-2E9C-101B-9397-08002B2CF9AE}" pid="3" name="ZOTERO_PREF_2">
    <vt:lpwstr>tAskDelayCitationUpdates" value="true"/&gt;&lt;/prefs&gt;&lt;/data&gt;</vt:lpwstr>
  </property>
</Properties>
</file>