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15256E">
      <w:pPr>
        <w:pStyle w:val="SupplementaryMaterial"/>
        <w:contextualSpacing/>
        <w:rPr>
          <w:b w:val="0"/>
        </w:rPr>
      </w:pPr>
      <w:r w:rsidRPr="001549D3">
        <w:t>Supplementary Material</w:t>
      </w:r>
    </w:p>
    <w:p w14:paraId="4CFBBBFC" w14:textId="1B43153E" w:rsidR="001F44AE" w:rsidRPr="00994A3D" w:rsidRDefault="0050453D" w:rsidP="001F44AE">
      <w:pPr>
        <w:pStyle w:val="Heading1"/>
        <w:contextualSpacing/>
      </w:pPr>
      <w:r>
        <w:t>INTERNAL CONTROLS</w:t>
      </w:r>
    </w:p>
    <w:p w14:paraId="706781F8" w14:textId="77777777" w:rsidR="001F44AE" w:rsidRPr="002807CD" w:rsidRDefault="001F44AE" w:rsidP="001F44AE">
      <w:pPr>
        <w:tabs>
          <w:tab w:val="left" w:pos="0"/>
        </w:tabs>
        <w:spacing w:before="0" w:after="0"/>
        <w:contextualSpacing/>
        <w:rPr>
          <w:b/>
          <w:bCs/>
          <w:color w:val="000000" w:themeColor="text1"/>
        </w:rPr>
      </w:pPr>
      <w:r w:rsidRPr="002807CD">
        <w:rPr>
          <w:b/>
          <w:bCs/>
          <w:color w:val="000000" w:themeColor="text1"/>
        </w:rPr>
        <w:t xml:space="preserve">1.1 </w:t>
      </w:r>
      <w:r w:rsidRPr="002807CD">
        <w:rPr>
          <w:b/>
          <w:bCs/>
          <w:color w:val="000000" w:themeColor="text1"/>
        </w:rPr>
        <w:tab/>
        <w:t>Anthropometrics</w:t>
      </w:r>
    </w:p>
    <w:p w14:paraId="4DF1F59D" w14:textId="77777777" w:rsidR="001F44AE" w:rsidRDefault="001F44AE" w:rsidP="001F44AE">
      <w:pPr>
        <w:tabs>
          <w:tab w:val="left" w:pos="0"/>
        </w:tabs>
        <w:spacing w:before="0" w:after="0"/>
        <w:contextualSpacing/>
        <w:rPr>
          <w:color w:val="000000" w:themeColor="text1"/>
        </w:rPr>
      </w:pPr>
    </w:p>
    <w:p w14:paraId="56685EE0" w14:textId="77777777" w:rsidR="001F44AE" w:rsidRDefault="001F44AE" w:rsidP="001F44AE">
      <w:pPr>
        <w:tabs>
          <w:tab w:val="left" w:pos="0"/>
        </w:tabs>
        <w:spacing w:before="0" w:after="0"/>
        <w:contextualSpacing/>
        <w:rPr>
          <w:color w:val="000000" w:themeColor="text1"/>
        </w:rPr>
      </w:pPr>
      <w:r>
        <w:rPr>
          <w:color w:val="000000" w:themeColor="text1"/>
        </w:rPr>
        <w:t xml:space="preserve">1.1.1 </w:t>
      </w:r>
      <w:r>
        <w:rPr>
          <w:color w:val="000000" w:themeColor="text1"/>
        </w:rPr>
        <w:tab/>
      </w:r>
      <w:r w:rsidRPr="002807CD">
        <w:rPr>
          <w:color w:val="000000" w:themeColor="text1"/>
        </w:rPr>
        <w:t>Height</w:t>
      </w:r>
    </w:p>
    <w:p w14:paraId="7D0CA537" w14:textId="77777777" w:rsidR="001F44AE" w:rsidRDefault="001F44AE" w:rsidP="001F44AE">
      <w:pPr>
        <w:tabs>
          <w:tab w:val="left" w:pos="0"/>
        </w:tabs>
        <w:spacing w:before="0" w:after="0"/>
        <w:contextualSpacing/>
        <w:rPr>
          <w:color w:val="000000" w:themeColor="text1"/>
        </w:rPr>
      </w:pPr>
    </w:p>
    <w:p w14:paraId="692B3A1F" w14:textId="77777777" w:rsidR="001F44AE" w:rsidRPr="002807CD" w:rsidRDefault="001F44AE" w:rsidP="001F44AE">
      <w:pPr>
        <w:tabs>
          <w:tab w:val="left" w:pos="0"/>
        </w:tabs>
        <w:spacing w:before="0" w:after="0"/>
        <w:contextualSpacing/>
        <w:rPr>
          <w:color w:val="000000" w:themeColor="text1"/>
        </w:rPr>
      </w:pPr>
      <w:r>
        <w:rPr>
          <w:color w:val="000000" w:themeColor="text1"/>
        </w:rPr>
        <w:tab/>
        <w:t>Subject height will be measured in centimeters with a flexible tape measure while the subject is standing flat footed, without shoes, against a wall.</w:t>
      </w:r>
    </w:p>
    <w:p w14:paraId="3A619CF1" w14:textId="77777777" w:rsidR="001F44AE" w:rsidRDefault="001F44AE" w:rsidP="001F44AE">
      <w:pPr>
        <w:tabs>
          <w:tab w:val="left" w:pos="0"/>
        </w:tabs>
        <w:spacing w:before="0" w:after="0"/>
        <w:contextualSpacing/>
        <w:rPr>
          <w:color w:val="000000" w:themeColor="text1"/>
        </w:rPr>
      </w:pPr>
    </w:p>
    <w:p w14:paraId="4DCE8FAF" w14:textId="77777777" w:rsidR="001F44AE" w:rsidRDefault="001F44AE" w:rsidP="001F44AE">
      <w:pPr>
        <w:tabs>
          <w:tab w:val="left" w:pos="0"/>
        </w:tabs>
        <w:spacing w:before="0" w:after="0"/>
        <w:contextualSpacing/>
        <w:rPr>
          <w:color w:val="000000" w:themeColor="text1"/>
        </w:rPr>
      </w:pPr>
      <w:r>
        <w:rPr>
          <w:color w:val="000000" w:themeColor="text1"/>
        </w:rPr>
        <w:t>1.1.2</w:t>
      </w:r>
      <w:r>
        <w:rPr>
          <w:color w:val="000000" w:themeColor="text1"/>
        </w:rPr>
        <w:tab/>
        <w:t>Body Mass</w:t>
      </w:r>
    </w:p>
    <w:p w14:paraId="086B0704" w14:textId="77777777" w:rsidR="001F44AE" w:rsidRDefault="001F44AE" w:rsidP="001F44AE">
      <w:pPr>
        <w:tabs>
          <w:tab w:val="left" w:pos="0"/>
        </w:tabs>
        <w:spacing w:before="0" w:after="0"/>
        <w:contextualSpacing/>
        <w:rPr>
          <w:color w:val="000000" w:themeColor="text1"/>
        </w:rPr>
      </w:pPr>
    </w:p>
    <w:p w14:paraId="0CF8E126" w14:textId="77777777" w:rsidR="001F44AE" w:rsidRPr="002807CD" w:rsidRDefault="001F44AE" w:rsidP="001F44AE">
      <w:pPr>
        <w:tabs>
          <w:tab w:val="left" w:pos="0"/>
        </w:tabs>
        <w:spacing w:before="0" w:after="0"/>
        <w:contextualSpacing/>
        <w:rPr>
          <w:color w:val="000000" w:themeColor="text1"/>
        </w:rPr>
      </w:pPr>
      <w:r>
        <w:rPr>
          <w:color w:val="000000" w:themeColor="text1"/>
        </w:rPr>
        <w:tab/>
        <w:t>Subject body mass will be measured in kilograms with a standard scale. The subject will be asked to remove their shoes, excess clothing (e.g., coat), and all objects in their pockets.</w:t>
      </w:r>
    </w:p>
    <w:p w14:paraId="42E2273A" w14:textId="77777777" w:rsidR="001F44AE" w:rsidRDefault="001F44AE" w:rsidP="001F44AE">
      <w:pPr>
        <w:tabs>
          <w:tab w:val="left" w:pos="0"/>
        </w:tabs>
        <w:spacing w:before="0" w:after="0"/>
        <w:contextualSpacing/>
        <w:rPr>
          <w:color w:val="000000" w:themeColor="text1"/>
        </w:rPr>
      </w:pPr>
    </w:p>
    <w:p w14:paraId="7907AD4A" w14:textId="77777777" w:rsidR="001F44AE" w:rsidRDefault="001F44AE" w:rsidP="001F44AE">
      <w:pPr>
        <w:tabs>
          <w:tab w:val="left" w:pos="0"/>
        </w:tabs>
        <w:spacing w:before="0" w:after="0"/>
        <w:contextualSpacing/>
        <w:rPr>
          <w:color w:val="000000" w:themeColor="text1"/>
        </w:rPr>
      </w:pPr>
      <w:r w:rsidRPr="001F44AE">
        <w:rPr>
          <w:color w:val="000000" w:themeColor="text1"/>
        </w:rPr>
        <w:t>1.1.3</w:t>
      </w:r>
      <w:r w:rsidRPr="001F44AE">
        <w:rPr>
          <w:color w:val="000000" w:themeColor="text1"/>
        </w:rPr>
        <w:tab/>
        <w:t>Neck circumference</w:t>
      </w:r>
    </w:p>
    <w:p w14:paraId="368FEC31" w14:textId="77777777" w:rsidR="001F44AE" w:rsidRDefault="001F44AE" w:rsidP="001F44AE">
      <w:pPr>
        <w:tabs>
          <w:tab w:val="left" w:pos="0"/>
        </w:tabs>
        <w:spacing w:before="0" w:after="0"/>
        <w:contextualSpacing/>
        <w:rPr>
          <w:color w:val="000000" w:themeColor="text1"/>
        </w:rPr>
      </w:pPr>
      <w:r>
        <w:rPr>
          <w:color w:val="000000" w:themeColor="text1"/>
        </w:rPr>
        <w:tab/>
      </w:r>
    </w:p>
    <w:p w14:paraId="4A64D477" w14:textId="77777777" w:rsidR="001F44AE" w:rsidRPr="002807CD" w:rsidRDefault="001F44AE" w:rsidP="001F44AE">
      <w:pPr>
        <w:tabs>
          <w:tab w:val="left" w:pos="0"/>
        </w:tabs>
        <w:spacing w:before="0" w:after="0"/>
        <w:contextualSpacing/>
        <w:rPr>
          <w:color w:val="000000" w:themeColor="text1"/>
        </w:rPr>
      </w:pPr>
      <w:r>
        <w:rPr>
          <w:color w:val="000000" w:themeColor="text1"/>
        </w:rPr>
        <w:tab/>
        <w:t>Subject neck circumference will be measured in centimeters with a flexible tape measure around the thickest part of the neck while the subject is in a seated position.</w:t>
      </w:r>
    </w:p>
    <w:p w14:paraId="1937A9B5" w14:textId="77777777" w:rsidR="001F44AE" w:rsidRDefault="001F44AE" w:rsidP="001F44AE">
      <w:pPr>
        <w:tabs>
          <w:tab w:val="left" w:pos="0"/>
        </w:tabs>
        <w:spacing w:before="0" w:after="0"/>
        <w:contextualSpacing/>
        <w:rPr>
          <w:color w:val="000000" w:themeColor="text1"/>
        </w:rPr>
      </w:pPr>
    </w:p>
    <w:p w14:paraId="07763B61" w14:textId="77777777" w:rsidR="001F44AE" w:rsidRDefault="001F44AE" w:rsidP="001F44AE">
      <w:pPr>
        <w:tabs>
          <w:tab w:val="left" w:pos="0"/>
        </w:tabs>
        <w:spacing w:before="0" w:after="0"/>
        <w:contextualSpacing/>
        <w:rPr>
          <w:color w:val="000000" w:themeColor="text1"/>
        </w:rPr>
      </w:pPr>
      <w:r w:rsidRPr="002807CD">
        <w:rPr>
          <w:b/>
          <w:bCs/>
          <w:color w:val="000000" w:themeColor="text1"/>
        </w:rPr>
        <w:t>1.2</w:t>
      </w:r>
      <w:r w:rsidRPr="002807CD">
        <w:rPr>
          <w:b/>
          <w:bCs/>
          <w:color w:val="000000" w:themeColor="text1"/>
        </w:rPr>
        <w:tab/>
      </w:r>
      <w:r>
        <w:rPr>
          <w:b/>
          <w:bCs/>
          <w:color w:val="000000" w:themeColor="text1"/>
        </w:rPr>
        <w:t>Surveys</w:t>
      </w:r>
      <w:r w:rsidRPr="002807CD">
        <w:rPr>
          <w:color w:val="000000" w:themeColor="text1"/>
        </w:rPr>
        <w:t xml:space="preserve"> </w:t>
      </w:r>
    </w:p>
    <w:p w14:paraId="5DD0BBAC" w14:textId="77777777" w:rsidR="001F44AE" w:rsidRDefault="001F44AE" w:rsidP="001F44AE">
      <w:pPr>
        <w:tabs>
          <w:tab w:val="left" w:pos="0"/>
        </w:tabs>
        <w:spacing w:before="0" w:after="0"/>
        <w:contextualSpacing/>
        <w:rPr>
          <w:color w:val="000000" w:themeColor="text1"/>
        </w:rPr>
      </w:pPr>
    </w:p>
    <w:p w14:paraId="2BBCA19C" w14:textId="77777777" w:rsidR="001F44AE" w:rsidRDefault="001F44AE" w:rsidP="001F44AE">
      <w:pPr>
        <w:tabs>
          <w:tab w:val="left" w:pos="0"/>
        </w:tabs>
        <w:spacing w:before="0" w:after="0"/>
        <w:contextualSpacing/>
        <w:rPr>
          <w:color w:val="000000" w:themeColor="text1"/>
        </w:rPr>
      </w:pPr>
      <w:r>
        <w:rPr>
          <w:color w:val="000000" w:themeColor="text1"/>
        </w:rPr>
        <w:tab/>
        <w:t xml:space="preserve">The following surveys will be completed at home in a single session between Visit 1 and Visit 2 at Baseline, after the 24-week intervention, and at 4- and 12-weeks after the intervention: </w:t>
      </w:r>
      <w:r w:rsidRPr="002807CD">
        <w:rPr>
          <w:color w:val="000000" w:themeColor="text1"/>
        </w:rPr>
        <w:t xml:space="preserve">Pittsburgh Sleep Quality Index (PSQI) </w:t>
      </w:r>
      <w:r w:rsidRPr="002807CD">
        <w:rPr>
          <w:color w:val="000000" w:themeColor="text1"/>
        </w:rPr>
        <w:fldChar w:fldCharType="begin"/>
      </w:r>
      <w:r>
        <w:rPr>
          <w:color w:val="000000" w:themeColor="text1"/>
        </w:rPr>
        <w:instrText xml:space="preserve"> ADDIN ZOTERO_ITEM CSL_CITATION {"citationID":"a2c03raup9v","properties":{"formattedCitation":"[1]","plainCitation":"[1]","noteIndex":0},"citationItems":[{"id":3113,"uris":["http://zotero.org/users/2288642/items/9PJ7QUN5"],"uri":["http://zotero.org/users/2288642/items/9PJ7QUN5"],"itemData":{"id":3113,"type":"article-journal","container-title":"Nature and Science of Sleep","DOI":"10.2147/NSS.S40608","ISSN":"1179-1608","journalAbbreviation":"NSS","language":"en","page":"15-21","source":"DOI.org (Crossref)","title":"Relationship between the Pittsburgh Sleep Quality Index and the Epworth Sleepiness Scale in a sleep laboratory referral population","volume":"5","author":[{"family":"Mondal","given":"P"},{"family":"Gjevre","given":"JA"},{"family":"Taylor-Gjevre","given":"RM"},{"family":"Lim","given":"HJ"}],"issued":{"date-parts":[["2013"]]}}}],"schema":"https://github.com/citation-style-language/schema/raw/master/csl-citation.json"} </w:instrText>
      </w:r>
      <w:r w:rsidRPr="002807CD">
        <w:rPr>
          <w:color w:val="000000" w:themeColor="text1"/>
        </w:rPr>
        <w:fldChar w:fldCharType="separate"/>
      </w:r>
      <w:r>
        <w:rPr>
          <w:color w:val="000000"/>
        </w:rPr>
        <w:t>[1]</w:t>
      </w:r>
      <w:r w:rsidRPr="002807CD">
        <w:rPr>
          <w:color w:val="000000" w:themeColor="text1"/>
        </w:rPr>
        <w:fldChar w:fldCharType="end"/>
      </w:r>
      <w:r>
        <w:rPr>
          <w:color w:val="000000" w:themeColor="text1"/>
        </w:rPr>
        <w:t xml:space="preserve">, </w:t>
      </w:r>
      <w:r w:rsidRPr="002807CD">
        <w:rPr>
          <w:color w:val="000000" w:themeColor="text1"/>
        </w:rPr>
        <w:t xml:space="preserve">Epworth Sleepiness Scale (ESS) </w:t>
      </w:r>
      <w:r w:rsidRPr="002807CD">
        <w:rPr>
          <w:color w:val="000000" w:themeColor="text1"/>
        </w:rPr>
        <w:fldChar w:fldCharType="begin"/>
      </w:r>
      <w:r>
        <w:rPr>
          <w:color w:val="000000" w:themeColor="text1"/>
        </w:rPr>
        <w:instrText xml:space="preserve"> ADDIN ZOTERO_ITEM CSL_CITATION {"citationID":"a1i4qvg0enr","properties":{"formattedCitation":"[1]","plainCitation":"[1]","noteIndex":0},"citationItems":[{"id":3113,"uris":["http://zotero.org/users/2288642/items/9PJ7QUN5"],"uri":["http://zotero.org/users/2288642/items/9PJ7QUN5"],"itemData":{"id":3113,"type":"article-journal","container-title":"Nature and Science of Sleep","DOI":"10.2147/NSS.S40608","ISSN":"1179-1608","journalAbbreviation":"NSS","language":"en","page":"15-21","source":"DOI.org (Crossref)","title":"Relationship between the Pittsburgh Sleep Quality Index and the Epworth Sleepiness Scale in a sleep laboratory referral population","volume":"5","author":[{"family":"Mondal","given":"P"},{"family":"Gjevre","given":"JA"},{"family":"Taylor-Gjevre","given":"RM"},{"family":"Lim","given":"HJ"}],"issued":{"date-parts":[["2013"]]}}}],"schema":"https://github.com/citation-style-language/schema/raw/master/csl-citation.json"} </w:instrText>
      </w:r>
      <w:r w:rsidRPr="002807CD">
        <w:rPr>
          <w:color w:val="000000" w:themeColor="text1"/>
        </w:rPr>
        <w:fldChar w:fldCharType="separate"/>
      </w:r>
      <w:r>
        <w:rPr>
          <w:color w:val="000000"/>
        </w:rPr>
        <w:t>[1]</w:t>
      </w:r>
      <w:r w:rsidRPr="002807CD">
        <w:rPr>
          <w:color w:val="000000" w:themeColor="text1"/>
        </w:rPr>
        <w:fldChar w:fldCharType="end"/>
      </w:r>
      <w:r>
        <w:rPr>
          <w:color w:val="000000" w:themeColor="text1"/>
        </w:rPr>
        <w:t xml:space="preserve">, </w:t>
      </w:r>
      <w:r w:rsidRPr="002807CD">
        <w:rPr>
          <w:color w:val="000000" w:themeColor="text1"/>
        </w:rPr>
        <w:t xml:space="preserve">Community Healthy Activities Model Program for Seniors (CHAMPS) physical activity questionnaire </w:t>
      </w:r>
      <w:r w:rsidRPr="002807CD">
        <w:rPr>
          <w:color w:val="000000" w:themeColor="text1"/>
        </w:rPr>
        <w:fldChar w:fldCharType="begin"/>
      </w:r>
      <w:r>
        <w:rPr>
          <w:color w:val="000000" w:themeColor="text1"/>
        </w:rPr>
        <w:instrText xml:space="preserve"> ADDIN ZOTERO_ITEM CSL_CITATION {"citationID":"a1epl1khljm","properties":{"formattedCitation":"[2]","plainCitation":"[2]","noteIndex":0},"citationItems":[{"id":3120,"uris":["http://zotero.org/users/2288642/items/XRP7XM2C"],"uri":["http://zotero.org/users/2288642/items/XRP7XM2C"],"itemData":{"id":3120,"type":"article-journal","abstract":"Background—Recent research highlights the potential value of differentiating between categories of physical activity intensities as predictors of health and well-being. This study sought to assess reliability and concurrent validity of sedentary (ie, 1 METs), low-light (ie, &gt; 1 and ≤2 METs; eg, playing cards), high-light (ie, &gt;2 and &lt;3 METs; eg, light walking), moderate-tovigorous physical activity (MVPA, ≥3 METs), and “total activity” (≥2 METs) from the CHAMPS survey. Further, this study explored over-reporting and double-reporting.","container-title":"Journal of Physical Activity and Health","DOI":"10.1123/jpah.9.2.225","ISSN":"1543-3080, 1543-5474","issue":"2","language":"en","page":"225-236","source":"DOI.org (Crossref)","title":"Reliability and validity of CHAMPS self-reported sedentary-to-vigorous intensity physical activity in older adults","volume":"9","author":[{"family":"Hekler","given":"Eric B."},{"family":"Buman","given":"Matthew P."},{"family":"Haskell","given":"William L."},{"family":"Conway","given":"Terry L."},{"family":"Cain","given":"Kelli L."},{"family":"Sallis","given":"James F."},{"family":"Saelens","given":"Brian E."},{"family":"Frank","given":"Lawrence D."},{"family":"Kerr","given":"Jacqueline"},{"family":"King","given":"Abby C."}],"issued":{"date-parts":[["2012"]]}}}],"schema":"https://github.com/citation-style-language/schema/raw/master/csl-citation.json"} </w:instrText>
      </w:r>
      <w:r w:rsidRPr="002807CD">
        <w:rPr>
          <w:color w:val="000000" w:themeColor="text1"/>
        </w:rPr>
        <w:fldChar w:fldCharType="separate"/>
      </w:r>
      <w:r>
        <w:rPr>
          <w:color w:val="000000"/>
        </w:rPr>
        <w:t>[2]</w:t>
      </w:r>
      <w:r w:rsidRPr="002807CD">
        <w:rPr>
          <w:color w:val="000000" w:themeColor="text1"/>
        </w:rPr>
        <w:fldChar w:fldCharType="end"/>
      </w:r>
      <w:r>
        <w:rPr>
          <w:color w:val="000000" w:themeColor="text1"/>
        </w:rPr>
        <w:t>.</w:t>
      </w:r>
    </w:p>
    <w:p w14:paraId="7E909544" w14:textId="77777777" w:rsidR="001F44AE" w:rsidRDefault="001F44AE" w:rsidP="001F44AE">
      <w:pPr>
        <w:tabs>
          <w:tab w:val="left" w:pos="0"/>
        </w:tabs>
        <w:spacing w:before="0" w:after="0"/>
        <w:contextualSpacing/>
        <w:rPr>
          <w:color w:val="000000" w:themeColor="text1"/>
        </w:rPr>
      </w:pPr>
    </w:p>
    <w:p w14:paraId="0BBB495E" w14:textId="77777777" w:rsidR="001F44AE" w:rsidRDefault="001F44AE" w:rsidP="001F44AE">
      <w:pPr>
        <w:tabs>
          <w:tab w:val="left" w:pos="0"/>
        </w:tabs>
        <w:spacing w:before="0" w:after="0"/>
        <w:contextualSpacing/>
        <w:rPr>
          <w:rStyle w:val="Hyperlink"/>
          <w:b/>
          <w:bCs/>
          <w:color w:val="000000" w:themeColor="text1"/>
          <w:u w:val="none"/>
        </w:rPr>
      </w:pPr>
      <w:r w:rsidRPr="002807CD">
        <w:rPr>
          <w:rStyle w:val="Hyperlink"/>
          <w:b/>
          <w:bCs/>
          <w:color w:val="000000" w:themeColor="text1"/>
          <w:u w:val="none"/>
        </w:rPr>
        <w:t>1.3</w:t>
      </w:r>
      <w:r w:rsidRPr="002807CD">
        <w:rPr>
          <w:rStyle w:val="Hyperlink"/>
          <w:b/>
          <w:bCs/>
          <w:color w:val="000000" w:themeColor="text1"/>
          <w:u w:val="none"/>
        </w:rPr>
        <w:tab/>
        <w:t>Actigraphy</w:t>
      </w:r>
    </w:p>
    <w:p w14:paraId="2AFA51C6" w14:textId="77777777" w:rsidR="001F44AE" w:rsidRDefault="001F44AE" w:rsidP="001F44AE">
      <w:pPr>
        <w:tabs>
          <w:tab w:val="left" w:pos="0"/>
        </w:tabs>
        <w:spacing w:before="0" w:after="0"/>
        <w:contextualSpacing/>
        <w:rPr>
          <w:rStyle w:val="Hyperlink"/>
          <w:b/>
          <w:bCs/>
          <w:color w:val="000000" w:themeColor="text1"/>
          <w:u w:val="none"/>
        </w:rPr>
      </w:pPr>
    </w:p>
    <w:p w14:paraId="601FDC5D" w14:textId="77777777" w:rsidR="001F44AE" w:rsidRPr="005B403A" w:rsidRDefault="001F44AE" w:rsidP="001F44AE">
      <w:pPr>
        <w:tabs>
          <w:tab w:val="left" w:pos="0"/>
        </w:tabs>
        <w:spacing w:before="0" w:after="0"/>
        <w:contextualSpacing/>
        <w:rPr>
          <w:rStyle w:val="Hyperlink"/>
          <w:color w:val="000000" w:themeColor="text1"/>
          <w:u w:val="none"/>
        </w:rPr>
      </w:pPr>
      <w:r>
        <w:rPr>
          <w:rStyle w:val="Hyperlink"/>
          <w:b/>
          <w:bCs/>
          <w:color w:val="000000" w:themeColor="text1"/>
          <w:u w:val="none"/>
        </w:rPr>
        <w:tab/>
      </w:r>
      <w:r>
        <w:rPr>
          <w:rStyle w:val="Hyperlink"/>
          <w:color w:val="000000" w:themeColor="text1"/>
          <w:u w:val="none"/>
        </w:rPr>
        <w:t xml:space="preserve">Subjects will be provided a wGT3X-BT </w:t>
      </w:r>
      <w:proofErr w:type="spellStart"/>
      <w:r>
        <w:rPr>
          <w:rStyle w:val="Hyperlink"/>
          <w:color w:val="000000" w:themeColor="text1"/>
          <w:u w:val="none"/>
        </w:rPr>
        <w:t>ActiGraph</w:t>
      </w:r>
      <w:proofErr w:type="spellEnd"/>
      <w:r>
        <w:rPr>
          <w:rStyle w:val="Hyperlink"/>
          <w:color w:val="000000" w:themeColor="text1"/>
          <w:u w:val="none"/>
        </w:rPr>
        <w:t xml:space="preserve"> (</w:t>
      </w:r>
      <w:proofErr w:type="spellStart"/>
      <w:r>
        <w:rPr>
          <w:rStyle w:val="Hyperlink"/>
          <w:color w:val="000000" w:themeColor="text1"/>
          <w:u w:val="none"/>
        </w:rPr>
        <w:t>ActiGraph</w:t>
      </w:r>
      <w:proofErr w:type="spellEnd"/>
      <w:r>
        <w:rPr>
          <w:rStyle w:val="Hyperlink"/>
          <w:color w:val="000000" w:themeColor="text1"/>
          <w:u w:val="none"/>
        </w:rPr>
        <w:t>, LLC, Pensacola, FL, USA) to be worn on the non-dominant wrist for 7 days to determine habitual physical activity level. Subjects will be instructed to wear the device continuously during the 7-day period. The Actigraph will be supplied to the subject at the first and last in-person exercise visits, to be returned after the 7-day period is complete.</w:t>
      </w:r>
    </w:p>
    <w:p w14:paraId="4155C7E8" w14:textId="77777777" w:rsidR="001F44AE" w:rsidRDefault="001F44AE" w:rsidP="001F44AE">
      <w:pPr>
        <w:tabs>
          <w:tab w:val="left" w:pos="0"/>
        </w:tabs>
        <w:spacing w:before="0" w:after="0"/>
        <w:contextualSpacing/>
        <w:rPr>
          <w:rStyle w:val="Hyperlink"/>
          <w:color w:val="000000" w:themeColor="text1"/>
          <w:u w:val="none"/>
        </w:rPr>
      </w:pPr>
    </w:p>
    <w:p w14:paraId="12E2ED3F" w14:textId="77777777" w:rsidR="001F44AE" w:rsidRPr="0015256E" w:rsidRDefault="001F44AE" w:rsidP="001F44AE">
      <w:pPr>
        <w:tabs>
          <w:tab w:val="left" w:pos="0"/>
        </w:tabs>
        <w:spacing w:before="0" w:after="0"/>
        <w:contextualSpacing/>
        <w:rPr>
          <w:rStyle w:val="Hyperlink"/>
          <w:color w:val="000000" w:themeColor="text1"/>
          <w:u w:val="none"/>
        </w:rPr>
      </w:pPr>
      <w:r w:rsidRPr="002807CD">
        <w:rPr>
          <w:rStyle w:val="Hyperlink"/>
          <w:b/>
          <w:bCs/>
          <w:color w:val="000000" w:themeColor="text1"/>
          <w:u w:val="none"/>
        </w:rPr>
        <w:t>1.4</w:t>
      </w:r>
      <w:r w:rsidRPr="002807CD">
        <w:rPr>
          <w:rStyle w:val="Hyperlink"/>
          <w:b/>
          <w:bCs/>
          <w:color w:val="000000" w:themeColor="text1"/>
          <w:u w:val="none"/>
        </w:rPr>
        <w:tab/>
        <w:t>Spirometry</w:t>
      </w:r>
    </w:p>
    <w:p w14:paraId="26B434D3" w14:textId="77777777" w:rsidR="001F44AE" w:rsidRDefault="001F44AE" w:rsidP="001F44AE">
      <w:pPr>
        <w:contextualSpacing/>
        <w:rPr>
          <w:rStyle w:val="Hyperlink"/>
          <w:b/>
          <w:bCs/>
          <w:color w:val="000000" w:themeColor="text1"/>
          <w:u w:val="none"/>
        </w:rPr>
      </w:pPr>
    </w:p>
    <w:p w14:paraId="6A5B3933" w14:textId="77777777" w:rsidR="001F44AE" w:rsidRPr="00975835" w:rsidRDefault="001F44AE" w:rsidP="001F44AE">
      <w:pPr>
        <w:contextualSpacing/>
        <w:rPr>
          <w:rStyle w:val="Hyperlink"/>
          <w:color w:val="000000" w:themeColor="text1"/>
          <w:u w:val="none"/>
        </w:rPr>
      </w:pPr>
      <w:r>
        <w:rPr>
          <w:rStyle w:val="Hyperlink"/>
          <w:b/>
          <w:bCs/>
          <w:color w:val="000000" w:themeColor="text1"/>
          <w:u w:val="none"/>
        </w:rPr>
        <w:tab/>
      </w:r>
      <w:r>
        <w:rPr>
          <w:rStyle w:val="Hyperlink"/>
          <w:color w:val="000000" w:themeColor="text1"/>
          <w:u w:val="none"/>
        </w:rPr>
        <w:t xml:space="preserve">Estimates of lung volume and airflow rates will be collected with the </w:t>
      </w:r>
      <w:proofErr w:type="spellStart"/>
      <w:r>
        <w:rPr>
          <w:rStyle w:val="Hyperlink"/>
          <w:color w:val="000000" w:themeColor="text1"/>
          <w:u w:val="none"/>
        </w:rPr>
        <w:t>MiniSpir</w:t>
      </w:r>
      <w:proofErr w:type="spellEnd"/>
      <w:r>
        <w:rPr>
          <w:rStyle w:val="Hyperlink"/>
          <w:color w:val="000000" w:themeColor="text1"/>
          <w:u w:val="none"/>
        </w:rPr>
        <w:t xml:space="preserve"> MIR spirometer (Medical International Research USA, Inc., New Berlin, WI, USA) and analyzed using </w:t>
      </w:r>
      <w:proofErr w:type="spellStart"/>
      <w:r>
        <w:rPr>
          <w:rStyle w:val="Hyperlink"/>
          <w:color w:val="000000" w:themeColor="text1"/>
          <w:u w:val="none"/>
        </w:rPr>
        <w:t>Winspiro</w:t>
      </w:r>
      <w:proofErr w:type="spellEnd"/>
      <w:r>
        <w:rPr>
          <w:rStyle w:val="Hyperlink"/>
          <w:color w:val="000000" w:themeColor="text1"/>
          <w:u w:val="none"/>
        </w:rPr>
        <w:t xml:space="preserve"> Pro software (Medical International Research USA, Inc., New Berlin, WI, USA) to determine if airflow limitations are present. Subjects will be fitted with nose plugs to prevent airflow through the nose. Subjects will then be instructed to inhale fully and then put the </w:t>
      </w:r>
      <w:proofErr w:type="spellStart"/>
      <w:r>
        <w:rPr>
          <w:rStyle w:val="Hyperlink"/>
          <w:color w:val="000000" w:themeColor="text1"/>
          <w:u w:val="none"/>
        </w:rPr>
        <w:t>MiniSpir</w:t>
      </w:r>
      <w:proofErr w:type="spellEnd"/>
      <w:r>
        <w:rPr>
          <w:rStyle w:val="Hyperlink"/>
          <w:color w:val="000000" w:themeColor="text1"/>
          <w:u w:val="none"/>
        </w:rPr>
        <w:t xml:space="preserve"> device in their mouth. They will then exhale as forcefully as possible until they can no longer exhale, at which </w:t>
      </w:r>
      <w:r>
        <w:rPr>
          <w:rStyle w:val="Hyperlink"/>
          <w:color w:val="000000" w:themeColor="text1"/>
          <w:u w:val="none"/>
        </w:rPr>
        <w:lastRenderedPageBreak/>
        <w:t xml:space="preserve">point they will inhale as forcefully as possible until they can no longer inhale. Subjects will perform three trials with 1 minute of rest between trials. </w:t>
      </w:r>
    </w:p>
    <w:p w14:paraId="48AE3C5C" w14:textId="77777777" w:rsidR="001F44AE" w:rsidRDefault="001F44AE" w:rsidP="001F44AE">
      <w:pPr>
        <w:contextualSpacing/>
        <w:rPr>
          <w:rStyle w:val="Hyperlink"/>
          <w:b/>
          <w:bCs/>
          <w:color w:val="000000" w:themeColor="text1"/>
          <w:u w:val="none"/>
        </w:rPr>
      </w:pPr>
    </w:p>
    <w:p w14:paraId="5F4E5F4D" w14:textId="77777777" w:rsidR="001F44AE" w:rsidRPr="002807CD" w:rsidRDefault="001F44AE" w:rsidP="001F44AE">
      <w:pPr>
        <w:contextualSpacing/>
        <w:rPr>
          <w:rStyle w:val="Hyperlink"/>
          <w:b/>
          <w:bCs/>
          <w:color w:val="000000" w:themeColor="text1"/>
          <w:u w:val="none"/>
        </w:rPr>
      </w:pPr>
      <w:r w:rsidRPr="002807CD">
        <w:rPr>
          <w:rStyle w:val="Hyperlink"/>
          <w:b/>
          <w:bCs/>
          <w:color w:val="000000" w:themeColor="text1"/>
          <w:u w:val="none"/>
        </w:rPr>
        <w:t>1.5</w:t>
      </w:r>
      <w:r w:rsidRPr="002807CD">
        <w:rPr>
          <w:rStyle w:val="Hyperlink"/>
          <w:b/>
          <w:bCs/>
          <w:color w:val="000000" w:themeColor="text1"/>
          <w:u w:val="none"/>
        </w:rPr>
        <w:tab/>
        <w:t xml:space="preserve">Sleep </w:t>
      </w:r>
      <w:r>
        <w:rPr>
          <w:rStyle w:val="Hyperlink"/>
          <w:b/>
          <w:bCs/>
          <w:color w:val="000000" w:themeColor="text1"/>
          <w:u w:val="none"/>
        </w:rPr>
        <w:t xml:space="preserve">and Physical Activity </w:t>
      </w:r>
      <w:r w:rsidRPr="002807CD">
        <w:rPr>
          <w:rStyle w:val="Hyperlink"/>
          <w:b/>
          <w:bCs/>
          <w:color w:val="000000" w:themeColor="text1"/>
          <w:u w:val="none"/>
        </w:rPr>
        <w:t>Diary</w:t>
      </w:r>
    </w:p>
    <w:p w14:paraId="5CAAEA8F" w14:textId="77777777" w:rsidR="001F44AE" w:rsidRDefault="001F44AE" w:rsidP="001F44AE">
      <w:pPr>
        <w:contextualSpacing/>
        <w:rPr>
          <w:rStyle w:val="Hyperlink"/>
          <w:b/>
          <w:bCs/>
          <w:color w:val="000000" w:themeColor="text1"/>
          <w:u w:val="none"/>
        </w:rPr>
      </w:pPr>
    </w:p>
    <w:p w14:paraId="23F544C5" w14:textId="77777777" w:rsidR="001F44AE" w:rsidRDefault="001F44AE" w:rsidP="001F44AE">
      <w:pPr>
        <w:contextualSpacing/>
        <w:rPr>
          <w:rStyle w:val="Hyperlink"/>
          <w:color w:val="000000" w:themeColor="text1"/>
          <w:u w:val="none"/>
        </w:rPr>
      </w:pPr>
      <w:r>
        <w:rPr>
          <w:rStyle w:val="Hyperlink"/>
          <w:color w:val="000000" w:themeColor="text1"/>
          <w:u w:val="none"/>
        </w:rPr>
        <w:tab/>
        <w:t xml:space="preserve">Subjects will record daily sleep characteristics (duration, sleep latency, waking events, wake time, and sleep quality) and physical activity characteristics (type, duration, and intensity) to ensure consistency of lifestyle behaviors. </w:t>
      </w:r>
    </w:p>
    <w:p w14:paraId="135C04B9" w14:textId="77777777" w:rsidR="001F44AE" w:rsidRDefault="001F44AE" w:rsidP="001F44AE">
      <w:pPr>
        <w:contextualSpacing/>
        <w:rPr>
          <w:rStyle w:val="Hyperlink"/>
          <w:color w:val="000000" w:themeColor="text1"/>
          <w:u w:val="none"/>
        </w:rPr>
      </w:pPr>
    </w:p>
    <w:p w14:paraId="4C2DE7CD" w14:textId="0D901A31" w:rsidR="001F44AE" w:rsidRPr="00B03CF5" w:rsidRDefault="00BF43BB" w:rsidP="001F44AE">
      <w:pPr>
        <w:contextualSpacing/>
        <w:rPr>
          <w:rStyle w:val="Hyperlink"/>
          <w:b/>
          <w:bCs/>
          <w:color w:val="000000" w:themeColor="text1"/>
          <w:u w:val="none"/>
        </w:rPr>
      </w:pPr>
      <w:r>
        <w:rPr>
          <w:rStyle w:val="Hyperlink"/>
          <w:b/>
          <w:bCs/>
          <w:color w:val="000000" w:themeColor="text1"/>
          <w:u w:val="none"/>
        </w:rPr>
        <w:t>2</w:t>
      </w:r>
      <w:r w:rsidR="001F44AE" w:rsidRPr="00B03CF5">
        <w:rPr>
          <w:rStyle w:val="Hyperlink"/>
          <w:b/>
          <w:bCs/>
          <w:color w:val="000000" w:themeColor="text1"/>
          <w:u w:val="none"/>
        </w:rPr>
        <w:tab/>
      </w:r>
      <w:r>
        <w:rPr>
          <w:rStyle w:val="Hyperlink"/>
          <w:b/>
          <w:bCs/>
          <w:color w:val="000000" w:themeColor="text1"/>
          <w:u w:val="none"/>
        </w:rPr>
        <w:t>BLOOD PROCESSING</w:t>
      </w:r>
    </w:p>
    <w:p w14:paraId="18227EF6" w14:textId="77777777" w:rsidR="001F44AE" w:rsidRDefault="001F44AE" w:rsidP="001F44AE">
      <w:pPr>
        <w:contextualSpacing/>
        <w:rPr>
          <w:rStyle w:val="Hyperlink"/>
          <w:color w:val="000000" w:themeColor="text1"/>
          <w:u w:val="none"/>
        </w:rPr>
      </w:pPr>
    </w:p>
    <w:p w14:paraId="7E6D74E3" w14:textId="77777777" w:rsidR="001F44AE" w:rsidRPr="00B03CF5" w:rsidRDefault="001F44AE" w:rsidP="001F44AE">
      <w:pPr>
        <w:contextualSpacing/>
        <w:rPr>
          <w:rStyle w:val="Hyperlink"/>
          <w:rFonts w:cs="Times New Roman"/>
          <w:color w:val="000000" w:themeColor="text1"/>
          <w:szCs w:val="24"/>
          <w:u w:val="none"/>
        </w:rPr>
      </w:pPr>
      <w:r>
        <w:rPr>
          <w:rStyle w:val="Hyperlink"/>
          <w:rFonts w:cs="Times New Roman"/>
          <w:color w:val="000000" w:themeColor="text1"/>
          <w:szCs w:val="24"/>
          <w:u w:val="none"/>
        </w:rPr>
        <w:tab/>
        <w:t xml:space="preserve">Approximately 10 mL of blood will be collected after 20 minutes of supine rest during Visit 2 at baseline, post-intervention, and 4- and 12-week follow-up. Immediately after collection, the Research Technician will process the blood samples. The samples will be centrifuged at 1000 G-Force at 4º C for 20 minutes. Upon completion, plasma will be extracted with a 1000 µL pipette and separated into 1 mL cryotubes. Samples will be placed in -80º C freezer until batch analysis can be completed. </w:t>
      </w:r>
    </w:p>
    <w:p w14:paraId="482A1A48" w14:textId="77777777" w:rsidR="001F44AE" w:rsidRDefault="001F44AE" w:rsidP="001F44AE">
      <w:pPr>
        <w:contextualSpacing/>
        <w:rPr>
          <w:rStyle w:val="Hyperlink"/>
          <w:color w:val="000000" w:themeColor="text1"/>
          <w:szCs w:val="24"/>
          <w:u w:val="none"/>
        </w:rPr>
      </w:pPr>
    </w:p>
    <w:p w14:paraId="123F12B4" w14:textId="09734610" w:rsidR="001F44AE" w:rsidRPr="00506893" w:rsidRDefault="00BF43BB" w:rsidP="001F44AE">
      <w:pPr>
        <w:contextualSpacing/>
        <w:rPr>
          <w:rStyle w:val="Hyperlink"/>
          <w:b/>
          <w:bCs/>
          <w:color w:val="000000" w:themeColor="text1"/>
          <w:szCs w:val="24"/>
          <w:u w:val="none"/>
        </w:rPr>
      </w:pPr>
      <w:r>
        <w:rPr>
          <w:rStyle w:val="Hyperlink"/>
          <w:b/>
          <w:bCs/>
          <w:color w:val="000000" w:themeColor="text1"/>
          <w:szCs w:val="24"/>
          <w:u w:val="none"/>
        </w:rPr>
        <w:t>3</w:t>
      </w:r>
      <w:r w:rsidR="001F44AE">
        <w:rPr>
          <w:rStyle w:val="Hyperlink"/>
          <w:b/>
          <w:bCs/>
          <w:color w:val="000000" w:themeColor="text1"/>
          <w:szCs w:val="24"/>
          <w:u w:val="none"/>
        </w:rPr>
        <w:tab/>
        <w:t>REFERENCES</w:t>
      </w:r>
    </w:p>
    <w:p w14:paraId="18BD2F00" w14:textId="77777777" w:rsidR="001F44AE" w:rsidRPr="00506893" w:rsidRDefault="001F44AE" w:rsidP="001F44AE">
      <w:pPr>
        <w:pStyle w:val="Bibliography"/>
        <w:rPr>
          <w:rFonts w:cs="Times New Roman"/>
          <w:color w:val="000000"/>
        </w:rPr>
      </w:pPr>
      <w:r>
        <w:rPr>
          <w:b/>
          <w:bCs/>
          <w:color w:val="000000" w:themeColor="text1"/>
          <w:szCs w:val="24"/>
        </w:rPr>
        <w:fldChar w:fldCharType="begin"/>
      </w:r>
      <w:r>
        <w:rPr>
          <w:b/>
          <w:bCs/>
          <w:color w:val="000000" w:themeColor="text1"/>
          <w:szCs w:val="24"/>
        </w:rPr>
        <w:instrText xml:space="preserve"> ADDIN ZOTERO_BIBL {"uncited":[],"omitted":[],"custom":[]} CSL_BIBLIOGRAPHY </w:instrText>
      </w:r>
      <w:r>
        <w:rPr>
          <w:b/>
          <w:bCs/>
          <w:color w:val="000000" w:themeColor="text1"/>
          <w:szCs w:val="24"/>
        </w:rPr>
        <w:fldChar w:fldCharType="separate"/>
      </w:r>
      <w:r w:rsidRPr="00506893">
        <w:rPr>
          <w:rFonts w:cs="Times New Roman"/>
          <w:color w:val="000000"/>
        </w:rPr>
        <w:t xml:space="preserve">1. </w:t>
      </w:r>
      <w:r w:rsidRPr="00506893">
        <w:rPr>
          <w:rFonts w:cs="Times New Roman"/>
          <w:color w:val="000000"/>
        </w:rPr>
        <w:tab/>
        <w:t>Mondal P, Gjevre J, Taylor-Gjevre R, Lim H. Relationship between the Pittsburgh Sleep Quality Index and the Epworth Sleepiness Scale in a sleep laboratory referral population. Nat Sci Sleep. 2013;5:15–21. doi:10.2147/NSS.S40608</w:t>
      </w:r>
    </w:p>
    <w:p w14:paraId="2CC0E1E7" w14:textId="77777777" w:rsidR="001F44AE" w:rsidRPr="00506893" w:rsidRDefault="001F44AE" w:rsidP="001F44AE">
      <w:pPr>
        <w:pStyle w:val="Bibliography"/>
        <w:rPr>
          <w:rFonts w:cs="Times New Roman"/>
          <w:color w:val="000000"/>
        </w:rPr>
      </w:pPr>
      <w:r w:rsidRPr="00506893">
        <w:rPr>
          <w:rFonts w:cs="Times New Roman"/>
          <w:color w:val="000000"/>
        </w:rPr>
        <w:t xml:space="preserve">2. </w:t>
      </w:r>
      <w:r w:rsidRPr="00506893">
        <w:rPr>
          <w:rFonts w:cs="Times New Roman"/>
          <w:color w:val="000000"/>
        </w:rPr>
        <w:tab/>
        <w:t>Hekler EB, Buman MP, Haskell WL, Conway TL, Cain KL, Sallis JF, et al. Reliability and validity of CHAMPS self-reported sedentary-to-vigorous intensity physical activity in older adults. J Phys Act Health. 2012;9(2):225–36. doi:10.1123/jpah.9.2.225</w:t>
      </w:r>
    </w:p>
    <w:p w14:paraId="6B01A23B" w14:textId="7EA718A8" w:rsidR="00054032" w:rsidRPr="00054032" w:rsidRDefault="001F44AE" w:rsidP="001F44AE">
      <w:pPr>
        <w:contextualSpacing/>
        <w:rPr>
          <w:b/>
          <w:bCs/>
          <w:color w:val="000000" w:themeColor="text1"/>
          <w:szCs w:val="24"/>
        </w:rPr>
      </w:pPr>
      <w:r>
        <w:rPr>
          <w:b/>
          <w:bCs/>
          <w:color w:val="000000" w:themeColor="text1"/>
          <w:szCs w:val="24"/>
        </w:rPr>
        <w:fldChar w:fldCharType="end"/>
      </w:r>
    </w:p>
    <w:sectPr w:rsidR="00054032" w:rsidRPr="00054032"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6B14" w14:textId="77777777" w:rsidR="00AF445D" w:rsidRDefault="00AF445D" w:rsidP="00117666">
      <w:pPr>
        <w:spacing w:after="0"/>
      </w:pPr>
      <w:r>
        <w:separator/>
      </w:r>
    </w:p>
  </w:endnote>
  <w:endnote w:type="continuationSeparator" w:id="0">
    <w:p w14:paraId="70BDD9BF" w14:textId="77777777" w:rsidR="00AF445D" w:rsidRDefault="00AF445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7E486C"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7E486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7E486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7E486C"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7E486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7E486C"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FAC8" w14:textId="77777777" w:rsidR="00AF445D" w:rsidRDefault="00AF445D" w:rsidP="00117666">
      <w:pPr>
        <w:spacing w:after="0"/>
      </w:pPr>
      <w:r>
        <w:separator/>
      </w:r>
    </w:p>
  </w:footnote>
  <w:footnote w:type="continuationSeparator" w:id="0">
    <w:p w14:paraId="71146FFD" w14:textId="77777777" w:rsidR="00AF445D" w:rsidRDefault="00AF445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7E486C"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7E486C"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4BC"/>
    <w:multiLevelType w:val="hybridMultilevel"/>
    <w:tmpl w:val="60A65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5"/>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54032"/>
    <w:rsid w:val="00077D53"/>
    <w:rsid w:val="00105FD9"/>
    <w:rsid w:val="00117666"/>
    <w:rsid w:val="0015256E"/>
    <w:rsid w:val="001549D3"/>
    <w:rsid w:val="00160065"/>
    <w:rsid w:val="00177D84"/>
    <w:rsid w:val="001D2124"/>
    <w:rsid w:val="001F44AE"/>
    <w:rsid w:val="00267D18"/>
    <w:rsid w:val="00274347"/>
    <w:rsid w:val="002807CD"/>
    <w:rsid w:val="002868E2"/>
    <w:rsid w:val="002869C3"/>
    <w:rsid w:val="002936E4"/>
    <w:rsid w:val="002B4A57"/>
    <w:rsid w:val="002C74CA"/>
    <w:rsid w:val="003123F4"/>
    <w:rsid w:val="00322392"/>
    <w:rsid w:val="003544FB"/>
    <w:rsid w:val="003D2F2D"/>
    <w:rsid w:val="00401590"/>
    <w:rsid w:val="00447801"/>
    <w:rsid w:val="00452E9C"/>
    <w:rsid w:val="004735C8"/>
    <w:rsid w:val="004947A6"/>
    <w:rsid w:val="004961FF"/>
    <w:rsid w:val="004F07F8"/>
    <w:rsid w:val="004F0BC8"/>
    <w:rsid w:val="0050453D"/>
    <w:rsid w:val="00506893"/>
    <w:rsid w:val="00517A89"/>
    <w:rsid w:val="005250F2"/>
    <w:rsid w:val="00593EEA"/>
    <w:rsid w:val="005A5EEE"/>
    <w:rsid w:val="005B403A"/>
    <w:rsid w:val="005D24EC"/>
    <w:rsid w:val="006375C7"/>
    <w:rsid w:val="00654E8F"/>
    <w:rsid w:val="00660D05"/>
    <w:rsid w:val="006820B1"/>
    <w:rsid w:val="006B7D14"/>
    <w:rsid w:val="00701727"/>
    <w:rsid w:val="0070566C"/>
    <w:rsid w:val="00714C50"/>
    <w:rsid w:val="00725A7D"/>
    <w:rsid w:val="007501BE"/>
    <w:rsid w:val="00790BB3"/>
    <w:rsid w:val="007C206C"/>
    <w:rsid w:val="007E486C"/>
    <w:rsid w:val="00817DD6"/>
    <w:rsid w:val="0083759F"/>
    <w:rsid w:val="00885156"/>
    <w:rsid w:val="009151AA"/>
    <w:rsid w:val="0093429D"/>
    <w:rsid w:val="00943573"/>
    <w:rsid w:val="00964134"/>
    <w:rsid w:val="00970F7D"/>
    <w:rsid w:val="00975835"/>
    <w:rsid w:val="00994A3D"/>
    <w:rsid w:val="009C2B12"/>
    <w:rsid w:val="009F3CBA"/>
    <w:rsid w:val="00A174D9"/>
    <w:rsid w:val="00AA4D24"/>
    <w:rsid w:val="00AB6715"/>
    <w:rsid w:val="00AF445D"/>
    <w:rsid w:val="00B03CF5"/>
    <w:rsid w:val="00B1671E"/>
    <w:rsid w:val="00B25EB8"/>
    <w:rsid w:val="00B37F4D"/>
    <w:rsid w:val="00BD0824"/>
    <w:rsid w:val="00BF43BB"/>
    <w:rsid w:val="00C52A7B"/>
    <w:rsid w:val="00C56BAF"/>
    <w:rsid w:val="00C679AA"/>
    <w:rsid w:val="00C75972"/>
    <w:rsid w:val="00C94D8E"/>
    <w:rsid w:val="00CD066B"/>
    <w:rsid w:val="00CE4FEE"/>
    <w:rsid w:val="00D060CF"/>
    <w:rsid w:val="00DB59C3"/>
    <w:rsid w:val="00DC259A"/>
    <w:rsid w:val="00DE23E8"/>
    <w:rsid w:val="00DF7E9C"/>
    <w:rsid w:val="00E52377"/>
    <w:rsid w:val="00E537AD"/>
    <w:rsid w:val="00E64E17"/>
    <w:rsid w:val="00E866C9"/>
    <w:rsid w:val="00EA3D3C"/>
    <w:rsid w:val="00EB63C8"/>
    <w:rsid w:val="00EC090A"/>
    <w:rsid w:val="00ED20B5"/>
    <w:rsid w:val="00F46900"/>
    <w:rsid w:val="00F61D89"/>
    <w:rsid w:val="00F65ADA"/>
    <w:rsid w:val="00FF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15D50728-89EE-8E48-81DE-F2A016C0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link w:val="ListParagraphChar"/>
    <w:uiPriority w:val="72"/>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Bibliography">
    <w:name w:val="Bibliography"/>
    <w:basedOn w:val="Normal"/>
    <w:next w:val="Normal"/>
    <w:uiPriority w:val="37"/>
    <w:unhideWhenUsed/>
    <w:rsid w:val="00054032"/>
    <w:pPr>
      <w:tabs>
        <w:tab w:val="left" w:pos="380"/>
      </w:tabs>
      <w:ind w:left="384" w:hanging="384"/>
    </w:pPr>
  </w:style>
  <w:style w:type="character" w:customStyle="1" w:styleId="ListParagraphChar">
    <w:name w:val="List Paragraph Char"/>
    <w:basedOn w:val="DefaultParagraphFont"/>
    <w:link w:val="ListParagraph"/>
    <w:uiPriority w:val="72"/>
    <w:rsid w:val="00F65ADA"/>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116</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dc:description/>
  <cp:lastModifiedBy>Joshua Nicolini</cp:lastModifiedBy>
  <cp:revision>13</cp:revision>
  <cp:lastPrinted>2013-10-03T12:51:00Z</cp:lastPrinted>
  <dcterms:created xsi:type="dcterms:W3CDTF">2018-11-23T08:58:00Z</dcterms:created>
  <dcterms:modified xsi:type="dcterms:W3CDTF">2021-10-18T16:49:00Z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id="Qr7SR1gc"/&gt;&lt;style id="http://www.zotero.org/styles/vancouver-brackets" locale="en-US"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