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280670</wp:posOffset>
            </wp:positionV>
            <wp:extent cx="5266690" cy="3348355"/>
            <wp:effectExtent l="0" t="0" r="3810" b="4445"/>
            <wp:wrapSquare wrapText="bothSides"/>
            <wp:docPr id="1" name="图片 1" descr="Figur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S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Figure S1 Flow chart of study participants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Supplementary Table 1 The association between LAP and baPWV in diferent models in non- cancer </w:t>
      </w:r>
      <w:bookmarkStart w:id="0" w:name="OLE_LINK8"/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participants</w:t>
      </w:r>
      <w:bookmarkEnd w:id="0"/>
    </w:p>
    <w:tbl>
      <w:tblPr>
        <w:tblStyle w:val="4"/>
        <w:tblW w:w="11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690"/>
        <w:gridCol w:w="1844"/>
        <w:gridCol w:w="1844"/>
        <w:gridCol w:w="1844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 Index</w:t>
            </w:r>
          </w:p>
        </w:tc>
        <w:tc>
          <w:tcPr>
            <w:tcW w:w="5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baPWV, cm/s, </w:t>
            </w:r>
            <w:r>
              <w:rPr>
                <w:rStyle w:val="8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β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 xml:space="preserve"> (95%CI)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98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1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2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3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Model4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Per 1 unit increase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19.63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(9.28, 29.99)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42.54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(30.65, 54.43)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24.63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(10.40, 38.86)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24.00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(5.50, 42.50)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(5.52, 42.51)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Quartiles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 (0.14 to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14.75)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 (14.75 to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29.79)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43.39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(13.51, 73.27)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79.62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(52.28, 106.96)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67.85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(39.43, 96.28)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66.58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(29.01, 104.15)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66.71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(29.16, 104.26)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 (29.79 to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52.83)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29.46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(-1.03, 59.95)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102.98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(72.23, 133.74)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(48.77, 116.47)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84.24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(39.41, 129.06)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84.21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(39.40, 129.02)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 (52.83 to ≤514.60)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75.37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(44.05, 106.68)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150.40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(115.94, 184.86)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109.02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(68.56, 149.49)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116.23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(63.13, 169.33)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116.66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(63.58, 169.74)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model1 adjusted only for age, sex;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model 2 adjusted for prior covariates and BMI, SB</w:t>
      </w:r>
      <w:r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  <w:t xml:space="preserve">P, DBP, pulse rate, </w:t>
      </w:r>
      <w:r>
        <w:rPr>
          <w:rFonts w:hint="eastAsia" w:ascii="Times New Roman" w:hAnsi="Times New Roman" w:eastAsia="宋体"/>
          <w:color w:val="auto"/>
          <w:kern w:val="0"/>
          <w:szCs w:val="21"/>
          <w:lang w:val="en-US" w:eastAsia="zh-CN"/>
        </w:rPr>
        <w:t>pulse pressure,</w:t>
      </w:r>
      <w:r>
        <w:rPr>
          <w:rFonts w:hint="eastAsia" w:ascii="Times New Roman" w:hAnsi="Times New Roman" w:eastAsia="宋体"/>
          <w:color w:val="FF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>smoking status, drinking status,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3 adjusted for these prior covariates plus FBG, TC, HDL, LDL-C, Hcy, uric acid, eGFR, diabetes mellitus, antihypertensive drugs, antiplatelet drugs,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model 4 adjusted for these prior covariates plus the types of antihypertensive drugs, duration of hypertension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5 adjusted for these prior covariates plus glucose-lowering drugs.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 xml:space="preserve">Supplementary table 2 The association between LAP and elevated baPWV in diferent models in non- cancer </w:t>
      </w:r>
      <w:bookmarkStart w:id="1" w:name="OLE_LINK9"/>
      <w:r>
        <w:rPr>
          <w:rFonts w:hint="eastAsia" w:ascii="Times New Roman" w:hAnsi="Times New Roman" w:cs="Times New Roman" w:eastAsiaTheme="minorEastAsia"/>
          <w:color w:val="auto"/>
          <w:sz w:val="21"/>
          <w:szCs w:val="21"/>
          <w:lang w:val="en-US" w:eastAsia="zh-CN"/>
        </w:rPr>
        <w:t>participants</w:t>
      </w:r>
      <w:bookmarkEnd w:id="1"/>
    </w:p>
    <w:tbl>
      <w:tblPr>
        <w:tblStyle w:val="4"/>
        <w:tblW w:w="1106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690"/>
        <w:gridCol w:w="1844"/>
        <w:gridCol w:w="1844"/>
        <w:gridCol w:w="1844"/>
        <w:gridCol w:w="18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33" w:hRule="atLeast"/>
          <w:jc w:val="center"/>
        </w:trPr>
        <w:tc>
          <w:tcPr>
            <w:tcW w:w="1998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 Index</w:t>
            </w:r>
          </w:p>
        </w:tc>
        <w:tc>
          <w:tcPr>
            <w:tcW w:w="53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bookmarkStart w:id="2" w:name="OLE_LINK14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Elevated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baPWV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, OR (95%CI)</w:t>
            </w:r>
            <w:bookmarkEnd w:id="2"/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998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1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2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3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Model4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Per 1 unit increase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 (1.08, 1.25)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1.43 (1.28, 1.59)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 (1.09, 1.40) </w:t>
            </w:r>
          </w:p>
        </w:tc>
        <w:tc>
          <w:tcPr>
            <w:tcW w:w="184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 (1.01, 1.40)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 (1.01, 1.41)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Quartiles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 (0.14 to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14.75)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7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 (14.75 to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29.79)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 (1.02, 1.52)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1.64 (1.29, 2.08)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1.48 (1.15, 1.90)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 (1.00, 1.95)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1.40 (1.00, 1.95)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 (29.79 to</w:t>
            </w:r>
            <w:r>
              <w:rPr>
                <w:rStyle w:val="9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52.83)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1.24 (1.01, 1.52)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 (1.64, 2.82)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1.78 (1.31, 2.40)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 (1.21, 2.70)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1.81 (1.21, 2.70)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 (52.83 to ≤514.60)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1.69 (1.37, 2.10)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3.17 (2.33, 4.30)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 (1.54, 3.19)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 (1.27, 3.28)</w:t>
            </w: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2.04 (1.27, 3.28)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for trend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84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184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model1 adjusted only for age, sex;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model 2 adjusted for prior covariates and BMI, SBP, DBP,</w:t>
      </w:r>
      <w:r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  <w:t xml:space="preserve"> pulse rate, </w:t>
      </w:r>
      <w:r>
        <w:rPr>
          <w:rFonts w:hint="eastAsia" w:ascii="Times New Roman" w:hAnsi="Times New Roman" w:eastAsia="宋体"/>
          <w:color w:val="auto"/>
          <w:kern w:val="0"/>
          <w:szCs w:val="21"/>
          <w:lang w:val="en-US" w:eastAsia="zh-CN"/>
        </w:rPr>
        <w:t>pulse pressure,</w:t>
      </w:r>
      <w:r>
        <w:rPr>
          <w:rFonts w:hint="eastAsia" w:ascii="Times New Roman" w:hAnsi="Times New Roman" w:eastAsia="宋体"/>
          <w:color w:val="FF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smoking status, drinking status,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3 adjusted for these prior covariates plus FBG, TC, HDL, LDL-C, Hcy, uric acid, eGFR, diabetes mellitus, antihypertensive drugs, antiplatelet drugs,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4 adjusted for these prior covariates plus the types of antihypertensive drugs, duration of hypertension.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 w:eastAsiaTheme="minorEastAsia"/>
          <w:color w:val="auto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5 adjusted for these prior covariates plus glucose-lowering drugs. </w:t>
      </w: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both"/>
        <w:rPr>
          <w:rFonts w:hint="default" w:ascii="Times New Roman" w:hAnsi="Times New Roman" w:eastAsia="宋体" w:cs="Times New Roman"/>
          <w:szCs w:val="24"/>
        </w:rPr>
      </w:pPr>
    </w:p>
    <w:p>
      <w:pPr>
        <w:jc w:val="center"/>
        <w:rPr>
          <w:rFonts w:hint="default" w:ascii="等线" w:hAnsi="等线" w:eastAsia="等线" w:cs="Times New Roman"/>
          <w:kern w:val="2"/>
          <w:sz w:val="21"/>
          <w:szCs w:val="22"/>
          <w:lang w:val="en-US" w:eastAsia="zh-CN" w:bidi="ar-SA"/>
        </w:rPr>
      </w:pPr>
      <w:r>
        <w:rPr>
          <w:rFonts w:hint="default" w:ascii="Times New Roman" w:hAnsi="Times New Roman" w:eastAsia="宋体" w:cs="Times New Roman"/>
          <w:szCs w:val="24"/>
        </w:rPr>
        <w:t xml:space="preserve">Supplementary Table 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Cs w:val="24"/>
        </w:rPr>
        <w:t xml:space="preserve"> Clinical characteristics of the study population according to </w:t>
      </w:r>
      <w:bookmarkStart w:id="3" w:name="OLE_LINK5"/>
      <w:r>
        <w:rPr>
          <w:rFonts w:hint="eastAsia" w:ascii="Times New Roman" w:hAnsi="Times New Roman" w:eastAsia="宋体" w:cs="Times New Roman"/>
          <w:szCs w:val="24"/>
          <w:lang w:val="en-US" w:eastAsia="zh-CN"/>
        </w:rPr>
        <w:t>LAP</w:t>
      </w:r>
      <w:bookmarkEnd w:id="3"/>
      <w:r>
        <w:rPr>
          <w:rFonts w:hint="eastAsia" w:ascii="Times New Roman" w:hAnsi="Times New Roman" w:eastAsia="宋体" w:cs="Times New Roman"/>
          <w:szCs w:val="24"/>
          <w:lang w:val="en-US" w:eastAsia="zh-CN"/>
        </w:rPr>
        <w:t xml:space="preserve"> in males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4"/>
        <w:tblW w:w="64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3"/>
        <w:gridCol w:w="1869"/>
        <w:gridCol w:w="1823"/>
        <w:gridCol w:w="1989"/>
        <w:gridCol w:w="1721"/>
        <w:gridCol w:w="10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8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Variable</w:t>
            </w:r>
          </w:p>
        </w:tc>
        <w:tc>
          <w:tcPr>
            <w:tcW w:w="33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 LAP</w:t>
            </w:r>
          </w:p>
        </w:tc>
        <w:tc>
          <w:tcPr>
            <w:tcW w:w="460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8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1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2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4</w:t>
            </w:r>
          </w:p>
        </w:tc>
        <w:tc>
          <w:tcPr>
            <w:tcW w:w="460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LAP range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0.14 to</w:t>
            </w:r>
            <w:r>
              <w:rPr>
                <w:rStyle w:val="6"/>
                <w:lang w:val="en-US" w:eastAsia="zh-CN" w:bidi="ar"/>
              </w:rPr>
              <w:t>＜</w:t>
            </w:r>
            <w:r>
              <w:rPr>
                <w:rStyle w:val="7"/>
                <w:rFonts w:eastAsia="宋体"/>
                <w:lang w:val="en-US" w:eastAsia="zh-CN" w:bidi="ar"/>
              </w:rPr>
              <w:t>14.76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14.76 to</w:t>
            </w:r>
            <w:r>
              <w:rPr>
                <w:rStyle w:val="6"/>
                <w:lang w:val="en-US" w:eastAsia="zh-CN" w:bidi="ar"/>
              </w:rPr>
              <w:t>＜</w:t>
            </w:r>
            <w:r>
              <w:rPr>
                <w:rStyle w:val="7"/>
                <w:rFonts w:eastAsia="宋体"/>
                <w:lang w:val="en-US" w:eastAsia="zh-CN" w:bidi="ar"/>
              </w:rPr>
              <w:t>29.84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29.84 to</w:t>
            </w:r>
            <w:r>
              <w:rPr>
                <w:rStyle w:val="6"/>
                <w:lang w:val="en-US" w:eastAsia="zh-CN" w:bidi="ar"/>
              </w:rPr>
              <w:t>＜</w:t>
            </w:r>
            <w:r>
              <w:rPr>
                <w:rStyle w:val="7"/>
                <w:rFonts w:eastAsia="宋体"/>
                <w:lang w:val="en-US" w:eastAsia="zh-CN" w:bidi="ar"/>
              </w:rPr>
              <w:t>52.93</w:t>
            </w:r>
          </w:p>
        </w:tc>
        <w:tc>
          <w:tcPr>
            <w:tcW w:w="780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52.93 to ≤514.60</w:t>
            </w:r>
          </w:p>
        </w:tc>
        <w:tc>
          <w:tcPr>
            <w:tcW w:w="460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Participants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Age,year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67.84 ± 8.56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64.75 ± 9.37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63.02 ± 9.80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58.93 ± 9.68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BMI,kg/m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20.11 ± 2.12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23.21 ± 2.22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25.04 ± 2.38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26.45 ± 2.80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bookmarkStart w:id="4" w:name="OLE_LINK3" w:colFirst="0" w:colLast="0"/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current smoking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N (%)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 (57.57%)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 (45.32%)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 (40.92%)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 (48.90%)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current drinking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N (%)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 (41.85%)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 (39.84%)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 (41.12%)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 (48.46%)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SBP, mmHg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146.10 ± 19.50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145.70 ± 17.30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144.76 ± 16.25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 ± 17.06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DBP, mmHg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86.97 ± 11.13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 ± 11.10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 ± 10.92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94.07 ± 10.35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Pulse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rate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bpm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72.37 ± 14.67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74.02 ± 14.98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74.63 ± 14.66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77.52 ± 13.70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Hcy,μmol/L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21.05 ± 12.60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22.07 ± 15.60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20.23 ± 14.16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19.95 ± 13.75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G, mmol/L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5.64 ± 1.05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5.95 ± 1.16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 ± 1.59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6.82 ± 2.38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TC, mmol/L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4.68 ± 0.95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4.86 ± 0.98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5.14 ± 1.07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5.31 ± 1.21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HDL-C, mmol/L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1.67 ± 0.44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 ± 0.35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1.34 ± 0.31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1.22 ± 0.29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LDL-C, mmol/L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2.46 ± 0.63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2.76 ± 0.67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3.09 ± 0.73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3.24 ± 0.83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Uric acid, mmol/L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446.16 ± 109.94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463.69 ± 114.00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493.53 ± 119.82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532.21 ± 119.64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eGFR, mL/min/1.73 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82.07 ± 20.79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83.75 ± 20.38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85.39 ± 19.67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87.25 ± 19.06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Diabetes mellitus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$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 (8.44%)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 (15.32%)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 (19.16%)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 (29.96%)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Antihypertensive drugs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 (57.57%)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 (64.03%)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 (64.07%)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 (63.66%)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Antiplatelet drugs</w:t>
            </w:r>
          </w:p>
        </w:tc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 (1.16%)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 (3.39%)</w:t>
            </w:r>
          </w:p>
        </w:tc>
        <w:tc>
          <w:tcPr>
            <w:tcW w:w="901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 (3.79%)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 (1.54%)</w:t>
            </w: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Glucose-lowering drugs</w:t>
            </w:r>
          </w:p>
        </w:tc>
        <w:tc>
          <w:tcPr>
            <w:tcW w:w="847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 (1.73%)</w:t>
            </w:r>
          </w:p>
        </w:tc>
        <w:tc>
          <w:tcPr>
            <w:tcW w:w="826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 (3.87%)</w:t>
            </w:r>
          </w:p>
        </w:tc>
        <w:tc>
          <w:tcPr>
            <w:tcW w:w="901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 (4.59%)</w:t>
            </w:r>
          </w:p>
        </w:tc>
        <w:tc>
          <w:tcPr>
            <w:tcW w:w="780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 (6.17%)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Abbreviation: BMI, body mass index; SBP, systolic blood pressure; DBP, diastolic blood pressure; CHD, coronary heart disease; FPG: fasting plasma glucose; Hcy,</w:t>
      </w:r>
      <w:bookmarkStart w:id="5" w:name="OLE_LINK1"/>
      <w:r>
        <w:rPr>
          <w:rFonts w:hint="default" w:ascii="Times New Roman" w:hAnsi="Times New Roman" w:eastAsia="宋体" w:cs="Times New Roman"/>
          <w:szCs w:val="24"/>
        </w:rPr>
        <w:t xml:space="preserve"> homocysteine</w:t>
      </w:r>
      <w:bookmarkEnd w:id="5"/>
      <w:r>
        <w:rPr>
          <w:rFonts w:hint="default" w:ascii="Times New Roman" w:hAnsi="Times New Roman" w:eastAsia="宋体" w:cs="Times New Roman"/>
          <w:szCs w:val="24"/>
        </w:rPr>
        <w:t xml:space="preserve">; HDL-C, high-density lipoprotein cholesterol; TC, </w:t>
      </w:r>
      <w:bookmarkStart w:id="6" w:name="OLE_LINK2"/>
      <w:r>
        <w:rPr>
          <w:rFonts w:hint="default" w:ascii="Times New Roman" w:hAnsi="Times New Roman" w:eastAsia="宋体" w:cs="Times New Roman"/>
          <w:szCs w:val="24"/>
        </w:rPr>
        <w:t xml:space="preserve">total cholesterol; </w:t>
      </w:r>
      <w:bookmarkEnd w:id="6"/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LDL-C, low-density lipoprotein cholesterol;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4"/>
        </w:rPr>
        <w:t>eGFR, estimated glomerular filtration rate.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  <w:vertAlign w:val="superscript"/>
        </w:rPr>
        <w:t>$</w:t>
      </w:r>
      <w:r>
        <w:rPr>
          <w:rFonts w:hint="default" w:ascii="Times New Roman" w:hAnsi="Times New Roman" w:eastAsia="宋体" w:cs="Times New Roman"/>
          <w:szCs w:val="24"/>
        </w:rPr>
        <w:t>diabetes mellitus was defined as self-reported physician diagnosis of diabetes or FBG concentration ≥7.0 mmol/L or use of glucose-lowering drugs.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center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Supplementary Table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4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 xml:space="preserve"> Clinical characteristics of the study population according to LAP in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fe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males</w:t>
      </w:r>
    </w:p>
    <w:p>
      <w:pPr>
        <w:bidi w:val="0"/>
        <w:rPr>
          <w:rFonts w:hint="default"/>
          <w:lang w:val="en-US" w:eastAsia="zh-CN"/>
        </w:rPr>
      </w:pPr>
    </w:p>
    <w:tbl>
      <w:tblPr>
        <w:tblStyle w:val="4"/>
        <w:tblW w:w="647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2"/>
        <w:gridCol w:w="1869"/>
        <w:gridCol w:w="1823"/>
        <w:gridCol w:w="1988"/>
        <w:gridCol w:w="1721"/>
        <w:gridCol w:w="1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184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Variable</w:t>
            </w:r>
          </w:p>
        </w:tc>
        <w:tc>
          <w:tcPr>
            <w:tcW w:w="335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 LAP</w:t>
            </w:r>
          </w:p>
        </w:tc>
        <w:tc>
          <w:tcPr>
            <w:tcW w:w="461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value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184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1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2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3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Quartile 4</w:t>
            </w:r>
          </w:p>
        </w:tc>
        <w:tc>
          <w:tcPr>
            <w:tcW w:w="461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184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LAP range</w:t>
            </w:r>
          </w:p>
        </w:tc>
        <w:tc>
          <w:tcPr>
            <w:tcW w:w="847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to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/>
                <w:color w:val="000000"/>
                <w:szCs w:val="21"/>
                <w:u w:val="none"/>
                <w:lang w:val="en-US" w:eastAsia="zh-CN" w:bidi="ar"/>
              </w:rPr>
              <w:t>14.7</w:t>
            </w:r>
            <w:r>
              <w:rPr>
                <w:rFonts w:hint="eastAsia" w:ascii="Times New Roman" w:hAnsi="Times New Roman" w:eastAsia="宋体"/>
                <w:color w:val="000000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26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14.7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to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/>
                <w:color w:val="000000"/>
                <w:szCs w:val="21"/>
                <w:u w:val="none"/>
                <w:lang w:val="en-US" w:eastAsia="zh-CN" w:bidi="ar"/>
              </w:rPr>
              <w:t>29.8</w:t>
            </w:r>
            <w:r>
              <w:rPr>
                <w:rFonts w:hint="eastAsia" w:ascii="Times New Roman" w:hAnsi="Times New Roman" w:eastAsia="宋体"/>
                <w:color w:val="000000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29.8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to</w:t>
            </w:r>
            <w:r>
              <w:rPr>
                <w:rFonts w:hint="eastAsia" w:ascii="宋体" w:hAnsi="宋体" w:eastAsia="宋体" w:cs="宋体"/>
                <w:color w:val="000000"/>
                <w:szCs w:val="21"/>
                <w:u w:val="none"/>
                <w:lang w:val="en-US" w:eastAsia="zh-CN" w:bidi="ar"/>
              </w:rPr>
              <w:t>＜</w:t>
            </w:r>
            <w:r>
              <w:rPr>
                <w:rFonts w:hint="default" w:ascii="Times New Roman" w:hAnsi="Times New Roman" w:eastAsia="宋体"/>
                <w:color w:val="000000"/>
                <w:szCs w:val="21"/>
                <w:u w:val="none"/>
                <w:lang w:val="en-US" w:eastAsia="zh-CN" w:bidi="ar"/>
              </w:rPr>
              <w:t>52.</w:t>
            </w:r>
            <w:r>
              <w:rPr>
                <w:rFonts w:hint="eastAsia" w:ascii="Times New Roman" w:hAnsi="Times New Roman" w:eastAsia="宋体"/>
                <w:color w:val="000000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779" w:type="pct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52.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to ≤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480.6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Participants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365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730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Age,year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66.60 ± 9.33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65.76 ± 9.67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64.42 ± 8.72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62.38 ± 8.44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BMI,kg/m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19.43 ± 2.42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21.97 ± 2.32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24.14 ± 2.86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25.93 ± 3.22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current smoking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N (%)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 (11.23%)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 (8.16%)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 (6.99%)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 (5.14%)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</w:rPr>
              <w:t>current drinking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N (%)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 (8.49%)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 (7.67%)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 (7.81%)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 (5.91%)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0.706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SBP, mmHg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149.18 ± 17.88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148.76 ± 17.70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148.49 ± 16.09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149.02 ± 17.09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0.907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DBP, mmHg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85.14 ± 11.34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87.03 ± 10.58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87.69 ± 10.09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89.44 ± 10.11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Pulse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rate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, bpm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77.86 ± 18.17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76.88 ± 14.60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76.50 ± 12.63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79.06 ± 14.02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Hcy,μmol/L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 ± 7.87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16.00 ± 7.98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16.30 ± 7.77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15.92 ± 8.21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FBG, mmol/L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5.80 ± 1.07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5.87 ± 1.11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6.14 ± 1.75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6.67 ± 1.93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TC, mmol/L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5.05 ± 1.06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5.19 ± 1.03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5.38 ± 1.05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5.58 ± 1.17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HDL-C, mmol/L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1.79 ± 0.43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1.61 ± 0.37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1.49 ± 0.34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1.37 ± 0.34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LDL-C, mmol/L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2.62 ± 0.67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2.90 ± 0.72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3.15 ± 0.75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3.35 ± 0.80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Uric acid, mmol/L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346.06 ± 96.24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369.02 ± 99.40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386.44 ± 100.72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422.76 ± 108.62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eGFR, mL/min/1.73 m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88.33 ± 16.86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86.75 ± 18.95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88.73 ± 17.86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89.31 ± 19.31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Diabetes mellitus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superscript"/>
                <w:lang w:val="en-US" w:eastAsia="zh-CN" w:bidi="ar"/>
              </w:rPr>
              <w:t>$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 (9.59%)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 (13.05%)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 (19.18%)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 (30.85%)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Antihypertensive drugs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 (49.32%)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346 (56.44%)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442 (60.55%)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498 (64.01%)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Antiplatelet drugs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 (1.64%)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 (2.28%)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 (1.92%)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 (2.19%)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184" w:type="pct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Glucose-lowering drugs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 (1.92%)</w:t>
            </w:r>
          </w:p>
        </w:tc>
        <w:tc>
          <w:tcPr>
            <w:tcW w:w="1823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 (2.61%)</w:t>
            </w:r>
          </w:p>
        </w:tc>
        <w:tc>
          <w:tcPr>
            <w:tcW w:w="198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 (4.79%)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 (6.81%)</w:t>
            </w:r>
          </w:p>
        </w:tc>
        <w:tc>
          <w:tcPr>
            <w:tcW w:w="1018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&lt;0.001</w:t>
            </w:r>
          </w:p>
        </w:tc>
      </w:tr>
    </w:tbl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 xml:space="preserve">Abbreviation: BMI, body mass index; SBP, systolic blood pressure; DBP, </w:t>
      </w:r>
      <w:bookmarkStart w:id="7" w:name="OLE_LINK4"/>
      <w:r>
        <w:rPr>
          <w:rFonts w:hint="default" w:ascii="Times New Roman" w:hAnsi="Times New Roman" w:eastAsia="宋体" w:cs="Times New Roman"/>
          <w:szCs w:val="24"/>
        </w:rPr>
        <w:t>diastolic blood pressure</w:t>
      </w:r>
      <w:bookmarkEnd w:id="7"/>
      <w:r>
        <w:rPr>
          <w:rFonts w:hint="default" w:ascii="Times New Roman" w:hAnsi="Times New Roman" w:eastAsia="宋体" w:cs="Times New Roman"/>
          <w:szCs w:val="24"/>
        </w:rPr>
        <w:t xml:space="preserve">; CHD, coronary heart disease; FPG: fasting plasma glucose; Hcy, homocysteine; HDL-C, high-density lipoprotein cholesterol; TC, total cholesterol; </w:t>
      </w: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LDL-C, low-density lipoprotein cholesterol;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4"/>
        </w:rPr>
        <w:t>eGFR, estimated glomerular filtration rate.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  <w:vertAlign w:val="superscript"/>
        </w:rPr>
        <w:t>$</w:t>
      </w:r>
      <w:r>
        <w:rPr>
          <w:rFonts w:hint="default" w:ascii="Times New Roman" w:hAnsi="Times New Roman" w:eastAsia="宋体" w:cs="Times New Roman"/>
          <w:szCs w:val="24"/>
        </w:rPr>
        <w:t>diabetes mellitus was defined as self-reported physician diagnosis of diabetes or FBG concentration ≥7.0 mmol/L or use of glucose-lowering drugs.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jc w:val="center"/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8" w:name="OLE_LINK43"/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Supplementary Table 5 The association between LAP and baPWV in diferent models in diferent sex</w:t>
      </w:r>
    </w:p>
    <w:bookmarkEnd w:id="8"/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626"/>
        <w:gridCol w:w="1702"/>
        <w:gridCol w:w="1702"/>
        <w:gridCol w:w="17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2487" w:type="dxa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 Index</w:t>
            </w:r>
          </w:p>
        </w:tc>
        <w:tc>
          <w:tcPr>
            <w:tcW w:w="5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baPWV, cm/s, 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β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(95%CI)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1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2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3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male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Per 1 unit increase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19.48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(6.62, 32.33)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37.67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(21.79, 53.54)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23.68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(5.12, 42.24)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23.62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(5.09, 42.16)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Quartiles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 (0.14 to＜14.75)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 (14.75 to＜29.79)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30.01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(-8.04, 68.05)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64.92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(28.55, 101.28)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56.04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(18.29, 93.80)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55.45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(17.75, 93.15)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 (29.79 to＜52.83)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33.31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(-7.65, 74.28)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103.33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(59.97, 146.68)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91.26 (43.58, 138.94)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90.80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(43.18, 138.41)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 (52.83 to ≤514.60)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84.12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(40.27, 127.98)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149.25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(99.88, 198.62)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115.44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(58.04, 172.84)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115.93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(58.60, 173.25)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for trend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female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487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NeueLTStd-Lt" w:cs="Times New Roman"/>
                <w:color w:val="231F20"/>
                <w:kern w:val="0"/>
                <w:sz w:val="18"/>
                <w:szCs w:val="18"/>
                <w:lang w:val="en-US" w:eastAsia="zh-CN" w:bidi="ar"/>
              </w:rPr>
              <w:t>Per 1 unit increase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13.55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(-3.70, 30.80)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44.64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(25.70, 63.58)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24.37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(1.30, 47.43)</w:t>
            </w:r>
          </w:p>
        </w:tc>
        <w:tc>
          <w:tcPr>
            <w:tcW w:w="170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24.53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(1.46, 47.60)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Quartiles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 (0.34 to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＜14.77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 (14.77 to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＜29.81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50.89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(2.30, 99.48)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94.27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(51.13, 137.41)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84.29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(39.89, 128.69)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(40.06, 128.87)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 (29.81 to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＜52.85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16.73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(-30.50, 63.97)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98.46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(52.91, 144.00)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(28.05, 127.04)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77.52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(28.01, 127.02)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 (52.85 to ≤480.60)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60.45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(13.32, 107.58)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143.64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(94.11, 193.18)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102.37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(44.67, 160.07)</w:t>
            </w: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102.53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(44.83, 160.23)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48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for trend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  <w:tc>
          <w:tcPr>
            <w:tcW w:w="170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0.007</w:t>
            </w:r>
          </w:p>
        </w:tc>
      </w:tr>
    </w:tbl>
    <w:p>
      <w:pPr>
        <w:tabs>
          <w:tab w:val="left" w:pos="1372"/>
        </w:tabs>
        <w:bidi w:val="0"/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model1 adjusted only for age, sex; </w:t>
      </w:r>
    </w:p>
    <w:p>
      <w:pPr>
        <w:jc w:val="left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model 2 adjusted for prior covariates and BMI, S</w:t>
      </w:r>
      <w:r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  <w:t xml:space="preserve">BP, DBP, pulse rate, </w:t>
      </w:r>
      <w:r>
        <w:rPr>
          <w:rFonts w:hint="eastAsia" w:ascii="Times New Roman" w:hAnsi="Times New Roman" w:eastAsia="宋体"/>
          <w:color w:val="auto"/>
          <w:kern w:val="0"/>
          <w:szCs w:val="21"/>
          <w:lang w:val="en-US" w:eastAsia="zh-CN"/>
        </w:rPr>
        <w:t>pulse pressure,</w:t>
      </w:r>
      <w:r>
        <w:rPr>
          <w:rFonts w:hint="eastAsia" w:ascii="Times New Roman" w:hAnsi="Times New Roman" w:eastAsia="宋体"/>
          <w:color w:val="FF0000"/>
          <w:kern w:val="0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smoking status, drinking status, </w:t>
      </w:r>
    </w:p>
    <w:p>
      <w:pPr>
        <w:jc w:val="left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3 adjusted for these prior covariates plus FBG, TC, HDL, LDL-C, Hcy, uric acid, eGFR, diabetes mellitus, antihypertensive drugs, antiplatelet drugs, </w:t>
      </w:r>
    </w:p>
    <w:p>
      <w:pPr>
        <w:jc w:val="left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4 adjusted for these prior covariates plus glucose-lowering drugs. </w:t>
      </w:r>
    </w:p>
    <w:p>
      <w:pPr>
        <w:jc w:val="both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jc w:val="both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  <w:bookmarkStart w:id="10" w:name="_GoBack"/>
      <w:bookmarkEnd w:id="10"/>
    </w:p>
    <w:p>
      <w:pPr>
        <w:jc w:val="center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jc w:val="center"/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 xml:space="preserve">Supplementary Table 6 </w:t>
      </w:r>
      <w:bookmarkStart w:id="9" w:name="OLE_LINK7"/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>The association between LAP and elevated baPWV in diferent models</w:t>
      </w:r>
      <w:bookmarkEnd w:id="9"/>
      <w:r>
        <w:rPr>
          <w:rFonts w:hint="eastAsia" w:ascii="Times New Roman" w:hAnsi="Times New Roman" w:eastAsia="宋体" w:cs="Times New Roman"/>
          <w:color w:val="auto"/>
          <w:szCs w:val="24"/>
          <w:lang w:val="en-US" w:eastAsia="zh-CN"/>
        </w:rPr>
        <w:t xml:space="preserve"> in diferent sex</w:t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1416"/>
        <w:gridCol w:w="1416"/>
        <w:gridCol w:w="1416"/>
        <w:gridCol w:w="14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 Index</w:t>
            </w:r>
          </w:p>
        </w:tc>
        <w:tc>
          <w:tcPr>
            <w:tcW w:w="0" w:type="auto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Elevated baPWV, OR (95%CI)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 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Model4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HelveticaNeueLTStd-Lt" w:cs="Times New Roman"/>
                <w:color w:val="231F20"/>
                <w:kern w:val="0"/>
                <w:sz w:val="18"/>
                <w:szCs w:val="18"/>
                <w:lang w:val="en-US" w:eastAsia="zh-CN" w:bidi="ar"/>
              </w:rPr>
              <w:t>male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231F20"/>
                <w:kern w:val="0"/>
                <w:sz w:val="18"/>
                <w:szCs w:val="18"/>
                <w:u w:val="none"/>
                <w:lang w:val="en-US" w:eastAsia="zh-CN" w:bidi="ar"/>
              </w:rPr>
              <w:t>Per 1 unit increase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1.14 (1.05, 1.25)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1.29 (1.12, 1.49)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1.16 (0.98, 1.37)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 (0.98, 1.37)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Quartiles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 (0.14 to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Style w:val="10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14.75)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 (14.75 to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Style w:val="10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29.79)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1.12 (0.87, 1.46)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 (0.96, 1.83)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1.25 (0.88, 1.76)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 (0.88, 1.76)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 (29.79 to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val="en-US" w:eastAsia="zh-CN" w:bidi="ar"/>
              </w:rPr>
              <w:t>＜</w:t>
            </w:r>
            <w:r>
              <w:rPr>
                <w:rStyle w:val="10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52.83)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1.22 (0.92, 1.62)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 (1.20, 2.63)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1.63 (1.05, 2.55)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1.63 (1.04, 2.55)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 (52.83 to ≤514.60)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1.70 (1.25, 2.31)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2.58 (1.65, 4.03)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 (1.12, 3.27)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1.92 (1.12, 3.28)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P </w:t>
            </w:r>
            <w:r>
              <w:rPr>
                <w:rStyle w:val="10"/>
                <w:rFonts w:hint="default" w:ascii="Times New Roman" w:hAnsi="Times New Roman" w:eastAsia="宋体" w:cs="Times New Roman"/>
                <w:sz w:val="18"/>
                <w:szCs w:val="18"/>
                <w:lang w:val="en-US" w:eastAsia="zh-CN" w:bidi="ar"/>
              </w:rPr>
              <w:t>for trend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female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HelveticaNeueLTStd-Lt" w:cs="Times New Roman"/>
                <w:color w:val="231F20"/>
                <w:kern w:val="0"/>
                <w:sz w:val="18"/>
                <w:szCs w:val="18"/>
                <w:lang w:val="en-US" w:eastAsia="zh-CN" w:bidi="ar"/>
              </w:rPr>
              <w:t>Per 1 unit increase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1.19 (1.06, 1.33)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1.59 (1.35, 1.87)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 (1.09, 1.63)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1.33 (1.09, 1.63)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Quartiles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Q1 (0.34 to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＜14.77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Q2 (14.77 to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＜29.81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 (1.04, 1.96)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2.07 (1.43, 3.00)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 (1.26, 2.72)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1.85 (1.26, 2.72)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 (29.81 to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u w:val="none"/>
                <w:lang w:val="en-US" w:eastAsia="zh-CN" w:bidi="ar"/>
              </w:rPr>
              <w:t>＜52.85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1.32 (0.96, 1.80)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2.60 (1.75, 3.86)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 (1.32, 3.13)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2.03 (1.32, 3.13)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 (52.85 to ≤480.60)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1.78 (1.30, 2.44)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3.81 (2.47, 5.87)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2.55 (1.54, 4.22)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2.54 (1.54, 4.22)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0" w:type="auto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 for trend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0.003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&lt;0.001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  <w:tc>
          <w:tcPr>
            <w:tcW w:w="1416" w:type="dxa"/>
            <w:tcBorders>
              <w:top w:val="nil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0.001</w:t>
            </w:r>
          </w:p>
        </w:tc>
      </w:tr>
    </w:tbl>
    <w:p>
      <w:pPr>
        <w:jc w:val="center"/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model1 adjusted only for age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.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>model 2 adjusted for prior covariates and BMI, SBP, D</w:t>
      </w:r>
      <w:r>
        <w:rPr>
          <w:rFonts w:hint="default" w:ascii="Times New Roman" w:hAnsi="Times New Roman" w:eastAsia="宋体" w:cs="Times New Roman"/>
          <w:color w:val="auto"/>
          <w:szCs w:val="24"/>
          <w:lang w:val="en-US" w:eastAsia="zh-CN"/>
        </w:rPr>
        <w:t xml:space="preserve">BP, pulse rate, </w:t>
      </w:r>
      <w:r>
        <w:rPr>
          <w:rFonts w:hint="eastAsia" w:ascii="Times New Roman" w:hAnsi="Times New Roman" w:eastAsia="宋体"/>
          <w:color w:val="auto"/>
          <w:kern w:val="0"/>
          <w:szCs w:val="21"/>
          <w:lang w:val="en-US" w:eastAsia="zh-CN"/>
        </w:rPr>
        <w:t>pulse pressure,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smoking status, drinking status,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3 adjusted for these prior covariates plus FBG, TC, HDL, LDL-C, Hcy, uric acid, eGFR, diabetes mellitus, antihypertensive drugs, antiplatelet drugs,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model 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Cs w:val="24"/>
          <w:lang w:val="en-US" w:eastAsia="zh-CN"/>
        </w:rPr>
        <w:t xml:space="preserve"> adjusted for these prior covariates plus glucose-lowering drugs. </w:t>
      </w:r>
    </w:p>
    <w:p>
      <w:pPr>
        <w:keepNext w:val="0"/>
        <w:keepLines w:val="0"/>
        <w:pageBreakBefore w:val="0"/>
        <w:widowControl w:val="0"/>
        <w:tabs>
          <w:tab w:val="left" w:pos="13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宋体" w:cs="Times New Roman"/>
          <w:szCs w:val="24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NeueLTStd-L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A179DB59-FD7F-41AE-8D46-9D395FED5114}"/>
    <w:docVar w:name="KY_MEDREF_VERSION" w:val="3"/>
  </w:docVars>
  <w:rsids>
    <w:rsidRoot w:val="045E1702"/>
    <w:rsid w:val="02004F03"/>
    <w:rsid w:val="031713E0"/>
    <w:rsid w:val="038D16A3"/>
    <w:rsid w:val="045E1702"/>
    <w:rsid w:val="066A1827"/>
    <w:rsid w:val="098771DA"/>
    <w:rsid w:val="0BC47C2C"/>
    <w:rsid w:val="0C272694"/>
    <w:rsid w:val="0CD45C4C"/>
    <w:rsid w:val="0E415563"/>
    <w:rsid w:val="10BB784F"/>
    <w:rsid w:val="10C61D50"/>
    <w:rsid w:val="14DA3EC2"/>
    <w:rsid w:val="156407CB"/>
    <w:rsid w:val="157601E9"/>
    <w:rsid w:val="199E386A"/>
    <w:rsid w:val="19D76D7C"/>
    <w:rsid w:val="1BDA7B97"/>
    <w:rsid w:val="1C4816EE"/>
    <w:rsid w:val="1E466E3D"/>
    <w:rsid w:val="1E6E4153"/>
    <w:rsid w:val="23F23130"/>
    <w:rsid w:val="26BF58CE"/>
    <w:rsid w:val="27BB538C"/>
    <w:rsid w:val="289E3886"/>
    <w:rsid w:val="2A473AAA"/>
    <w:rsid w:val="2B41674B"/>
    <w:rsid w:val="2B7B1C5D"/>
    <w:rsid w:val="2C4402A1"/>
    <w:rsid w:val="2E876B6B"/>
    <w:rsid w:val="2FD45775"/>
    <w:rsid w:val="3073375D"/>
    <w:rsid w:val="30F1651D"/>
    <w:rsid w:val="32F96D49"/>
    <w:rsid w:val="365B7D25"/>
    <w:rsid w:val="36CC15BF"/>
    <w:rsid w:val="36D41217"/>
    <w:rsid w:val="375B2943"/>
    <w:rsid w:val="377C4D93"/>
    <w:rsid w:val="38AB5394"/>
    <w:rsid w:val="39697599"/>
    <w:rsid w:val="3AD13648"/>
    <w:rsid w:val="3B4E14F1"/>
    <w:rsid w:val="3BBF5B96"/>
    <w:rsid w:val="3E725142"/>
    <w:rsid w:val="40026051"/>
    <w:rsid w:val="40C96B6F"/>
    <w:rsid w:val="43884ABF"/>
    <w:rsid w:val="43AF64F0"/>
    <w:rsid w:val="43B65AD0"/>
    <w:rsid w:val="43E066A9"/>
    <w:rsid w:val="44004F9E"/>
    <w:rsid w:val="48C60564"/>
    <w:rsid w:val="48CE606D"/>
    <w:rsid w:val="499C12C5"/>
    <w:rsid w:val="4CD3324F"/>
    <w:rsid w:val="51823496"/>
    <w:rsid w:val="52547EC4"/>
    <w:rsid w:val="527A416D"/>
    <w:rsid w:val="545D5AF4"/>
    <w:rsid w:val="548412D3"/>
    <w:rsid w:val="54D82528"/>
    <w:rsid w:val="55DD6EED"/>
    <w:rsid w:val="578810DA"/>
    <w:rsid w:val="57F64296"/>
    <w:rsid w:val="581D1822"/>
    <w:rsid w:val="5AB741B0"/>
    <w:rsid w:val="5B4672E2"/>
    <w:rsid w:val="5CA90546"/>
    <w:rsid w:val="5CAB5526"/>
    <w:rsid w:val="5D3A4C25"/>
    <w:rsid w:val="5E6A130B"/>
    <w:rsid w:val="60D07D7A"/>
    <w:rsid w:val="638766EA"/>
    <w:rsid w:val="6531690D"/>
    <w:rsid w:val="65353540"/>
    <w:rsid w:val="68490412"/>
    <w:rsid w:val="689F0032"/>
    <w:rsid w:val="68B040DF"/>
    <w:rsid w:val="6B2A452A"/>
    <w:rsid w:val="6DA93E2C"/>
    <w:rsid w:val="6E5024FA"/>
    <w:rsid w:val="6EAA3C1F"/>
    <w:rsid w:val="710F044A"/>
    <w:rsid w:val="72A5093A"/>
    <w:rsid w:val="741C69DA"/>
    <w:rsid w:val="7544268D"/>
    <w:rsid w:val="76A35191"/>
    <w:rsid w:val="7789082B"/>
    <w:rsid w:val="78E13A5E"/>
    <w:rsid w:val="79492020"/>
    <w:rsid w:val="796E1A86"/>
    <w:rsid w:val="79B37DE1"/>
    <w:rsid w:val="7A747570"/>
    <w:rsid w:val="7B862CF4"/>
    <w:rsid w:val="7C8A4E29"/>
    <w:rsid w:val="7CCF0A8E"/>
    <w:rsid w:val="7CE00EED"/>
    <w:rsid w:val="7D1E1A15"/>
    <w:rsid w:val="7DF06F0E"/>
    <w:rsid w:val="7E046E5D"/>
    <w:rsid w:val="7EE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font01"/>
    <w:qFormat/>
    <w:uiPriority w:val="0"/>
    <w:rPr>
      <w:rFonts w:hint="default" w:ascii="Times New Roman" w:hAnsi="Times New Roman" w:cs="Times New Roman"/>
      <w:i/>
      <w:iCs/>
      <w:color w:val="000000"/>
      <w:sz w:val="18"/>
      <w:szCs w:val="18"/>
      <w:u w:val="none"/>
    </w:rPr>
  </w:style>
  <w:style w:type="character" w:customStyle="1" w:styleId="9">
    <w:name w:val="font5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71"/>
    <w:basedOn w:val="5"/>
    <w:qFormat/>
    <w:uiPriority w:val="0"/>
    <w:rPr>
      <w:rFonts w:hint="default" w:ascii="Times New Roman" w:hAnsi="Times New Roman" w:cs="Times New Roman"/>
      <w:i/>
      <w:iCs/>
      <w:color w:val="000000"/>
      <w:sz w:val="18"/>
      <w:szCs w:val="18"/>
      <w:u w:val="none"/>
    </w:rPr>
  </w:style>
  <w:style w:type="character" w:customStyle="1" w:styleId="12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tif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1629</Words>
  <Characters>8074</Characters>
  <Lines>0</Lines>
  <Paragraphs>0</Paragraphs>
  <TotalTime>0</TotalTime>
  <ScaleCrop>false</ScaleCrop>
  <LinksUpToDate>false</LinksUpToDate>
  <CharactersWithSpaces>9168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2021-11-11T01:52:00Z</dcterms:created>
  <dc:creator>石雨蒙</dc:creator>
  <cp:lastModifiedBy>石雨蒙</cp:lastModifiedBy>
  <dcterms:modified xsi:type="dcterms:W3CDTF">2021-12-23T08:19:48Z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5D44CD8DD3574643A7396A1AC9C3630A</vt:lpwstr>
  </property>
</Properties>
</file>