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38249C" w14:textId="660BE010" w:rsidR="008F2698" w:rsidRPr="00A874A3" w:rsidRDefault="008F2698" w:rsidP="008F2698">
      <w:pPr>
        <w:spacing w:line="480" w:lineRule="auto"/>
        <w:rPr>
          <w:rFonts w:ascii="Times New Roman" w:hAnsi="Times New Roman" w:cs="Times New Roman"/>
          <w:color w:val="000000" w:themeColor="text1"/>
          <w:sz w:val="20"/>
          <w:szCs w:val="20"/>
        </w:rPr>
      </w:pPr>
      <w:r w:rsidRPr="00A874A3">
        <w:rPr>
          <w:rFonts w:ascii="Times New Roman" w:hAnsi="Times New Roman" w:cs="Times New Roman"/>
          <w:color w:val="000000" w:themeColor="text1"/>
          <w:sz w:val="20"/>
          <w:szCs w:val="20"/>
        </w:rPr>
        <w:t>Supplementary Figures</w:t>
      </w:r>
    </w:p>
    <w:p w14:paraId="709FA7F7" w14:textId="4CCDE193" w:rsidR="008F2698" w:rsidRPr="00A874A3" w:rsidRDefault="00B7334A" w:rsidP="008F2698">
      <w:pPr>
        <w:spacing w:line="480" w:lineRule="auto"/>
        <w:rPr>
          <w:rFonts w:ascii="Times New Roman" w:hAnsi="Times New Roman" w:cs="Times New Roman"/>
          <w:color w:val="000000" w:themeColor="text1"/>
          <w:sz w:val="20"/>
          <w:szCs w:val="20"/>
        </w:rPr>
      </w:pPr>
      <w:r>
        <w:rPr>
          <w:rFonts w:ascii="Times New Roman" w:hAnsi="Times New Roman" w:cs="Times New Roman"/>
          <w:noProof/>
          <w:color w:val="000000" w:themeColor="text1"/>
          <w:sz w:val="20"/>
          <w:szCs w:val="20"/>
        </w:rPr>
        <w:drawing>
          <wp:inline distT="0" distB="0" distL="0" distR="0" wp14:anchorId="1153AE6E" wp14:editId="38B92905">
            <wp:extent cx="5270500" cy="6717665"/>
            <wp:effectExtent l="0" t="0" r="0" b="6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4"/>
                    <a:stretch>
                      <a:fillRect/>
                    </a:stretch>
                  </pic:blipFill>
                  <pic:spPr>
                    <a:xfrm>
                      <a:off x="0" y="0"/>
                      <a:ext cx="5270500" cy="6717665"/>
                    </a:xfrm>
                    <a:prstGeom prst="rect">
                      <a:avLst/>
                    </a:prstGeom>
                  </pic:spPr>
                </pic:pic>
              </a:graphicData>
            </a:graphic>
          </wp:inline>
        </w:drawing>
      </w:r>
    </w:p>
    <w:p w14:paraId="167C72C3" w14:textId="6E96B04D" w:rsidR="00C40A45" w:rsidRPr="00A874A3" w:rsidRDefault="00C40A45" w:rsidP="00C40A45">
      <w:pPr>
        <w:spacing w:line="480" w:lineRule="auto"/>
        <w:rPr>
          <w:rFonts w:ascii="Times New Roman" w:hAnsi="Times New Roman" w:cs="Times New Roman"/>
          <w:color w:val="000000" w:themeColor="text1"/>
          <w:sz w:val="20"/>
          <w:szCs w:val="20"/>
        </w:rPr>
      </w:pPr>
      <w:r w:rsidRPr="00A874A3">
        <w:rPr>
          <w:rFonts w:ascii="Times New Roman" w:hAnsi="Times New Roman" w:cs="Times New Roman"/>
          <w:color w:val="000000" w:themeColor="text1"/>
          <w:sz w:val="20"/>
          <w:szCs w:val="20"/>
        </w:rPr>
        <w:t xml:space="preserve">Figure S1. </w:t>
      </w:r>
      <w:r w:rsidRPr="00A874A3">
        <w:rPr>
          <w:rFonts w:ascii="Times New Roman" w:hAnsi="Times New Roman" w:cs="Times New Roman"/>
          <w:sz w:val="20"/>
          <w:szCs w:val="20"/>
        </w:rPr>
        <w:t xml:space="preserve">A. LYN expression in different tumor cell lines </w:t>
      </w:r>
      <w:r w:rsidR="00947D1B">
        <w:rPr>
          <w:rFonts w:ascii="Times New Roman" w:hAnsi="Times New Roman" w:cs="Times New Roman" w:hint="eastAsia"/>
          <w:sz w:val="20"/>
          <w:szCs w:val="20"/>
        </w:rPr>
        <w:t>bas</w:t>
      </w:r>
      <w:r w:rsidR="00947D1B">
        <w:rPr>
          <w:rFonts w:ascii="Times New Roman" w:hAnsi="Times New Roman" w:cs="Times New Roman"/>
          <w:sz w:val="20"/>
          <w:szCs w:val="20"/>
        </w:rPr>
        <w:t xml:space="preserve">ed on </w:t>
      </w:r>
      <w:r w:rsidR="009419A2">
        <w:rPr>
          <w:rFonts w:ascii="Times New Roman" w:hAnsi="Times New Roman" w:cs="Times New Roman"/>
          <w:sz w:val="20"/>
          <w:szCs w:val="20"/>
        </w:rPr>
        <w:t>HPA</w:t>
      </w:r>
      <w:r w:rsidR="00947D1B">
        <w:rPr>
          <w:rFonts w:ascii="Times New Roman" w:hAnsi="Times New Roman" w:cs="Times New Roman"/>
          <w:sz w:val="20"/>
          <w:szCs w:val="20"/>
        </w:rPr>
        <w:t xml:space="preserve"> datab</w:t>
      </w:r>
      <w:r w:rsidR="00BA402E">
        <w:rPr>
          <w:rFonts w:ascii="Times New Roman" w:hAnsi="Times New Roman" w:cs="Times New Roman"/>
          <w:sz w:val="20"/>
          <w:szCs w:val="20"/>
        </w:rPr>
        <w:t>a</w:t>
      </w:r>
      <w:r w:rsidR="00947D1B">
        <w:rPr>
          <w:rFonts w:ascii="Times New Roman" w:hAnsi="Times New Roman" w:cs="Times New Roman"/>
          <w:sz w:val="20"/>
          <w:szCs w:val="20"/>
        </w:rPr>
        <w:t>se</w:t>
      </w:r>
      <w:r w:rsidRPr="00A874A3">
        <w:rPr>
          <w:rFonts w:ascii="Times New Roman" w:hAnsi="Times New Roman" w:cs="Times New Roman"/>
          <w:sz w:val="20"/>
          <w:szCs w:val="20"/>
        </w:rPr>
        <w:t xml:space="preserve">. </w:t>
      </w:r>
      <w:r w:rsidR="0093628B">
        <w:rPr>
          <w:rFonts w:ascii="Times New Roman" w:hAnsi="Times New Roman" w:cs="Times New Roman"/>
          <w:sz w:val="20"/>
          <w:szCs w:val="20"/>
        </w:rPr>
        <w:t>B</w:t>
      </w:r>
      <w:r w:rsidRPr="00A874A3">
        <w:rPr>
          <w:rFonts w:ascii="Times New Roman" w:hAnsi="Times New Roman" w:cs="Times New Roman"/>
          <w:sz w:val="20"/>
          <w:szCs w:val="20"/>
        </w:rPr>
        <w:t xml:space="preserve">. LYN expression in different histopathologic classification from CGGA dataset. A, low-grade astrocytoma; AA, anaplastic astrocytoma; AO, anaplastic oligodendroglioma; GBM, glioblastoma; O, oligodendroglioma; </w:t>
      </w:r>
      <w:proofErr w:type="spellStart"/>
      <w:r w:rsidRPr="00A874A3">
        <w:rPr>
          <w:rFonts w:ascii="Times New Roman" w:hAnsi="Times New Roman" w:cs="Times New Roman"/>
          <w:sz w:val="20"/>
          <w:szCs w:val="20"/>
        </w:rPr>
        <w:t>rA</w:t>
      </w:r>
      <w:proofErr w:type="spellEnd"/>
      <w:r w:rsidRPr="00A874A3">
        <w:rPr>
          <w:rFonts w:ascii="Times New Roman" w:hAnsi="Times New Roman" w:cs="Times New Roman"/>
          <w:sz w:val="20"/>
          <w:szCs w:val="20"/>
        </w:rPr>
        <w:t xml:space="preserve">, recurrent astrocytoma; </w:t>
      </w:r>
      <w:proofErr w:type="spellStart"/>
      <w:r w:rsidRPr="00A874A3">
        <w:rPr>
          <w:rFonts w:ascii="Times New Roman" w:hAnsi="Times New Roman" w:cs="Times New Roman"/>
          <w:sz w:val="20"/>
          <w:szCs w:val="20"/>
        </w:rPr>
        <w:t>rAA</w:t>
      </w:r>
      <w:proofErr w:type="spellEnd"/>
      <w:r w:rsidRPr="00A874A3">
        <w:rPr>
          <w:rFonts w:ascii="Times New Roman" w:hAnsi="Times New Roman" w:cs="Times New Roman"/>
          <w:sz w:val="20"/>
          <w:szCs w:val="20"/>
        </w:rPr>
        <w:t xml:space="preserve">, recurrent anaplastic astrocytoma; </w:t>
      </w:r>
      <w:proofErr w:type="spellStart"/>
      <w:r w:rsidRPr="00A874A3">
        <w:rPr>
          <w:rFonts w:ascii="Times New Roman" w:hAnsi="Times New Roman" w:cs="Times New Roman"/>
          <w:sz w:val="20"/>
          <w:szCs w:val="20"/>
        </w:rPr>
        <w:t>rGBM</w:t>
      </w:r>
      <w:proofErr w:type="spellEnd"/>
      <w:r w:rsidRPr="00A874A3">
        <w:rPr>
          <w:rFonts w:ascii="Times New Roman" w:hAnsi="Times New Roman" w:cs="Times New Roman"/>
          <w:sz w:val="20"/>
          <w:szCs w:val="20"/>
        </w:rPr>
        <w:t xml:space="preserve">, recurrent glioblastoma; </w:t>
      </w:r>
      <w:proofErr w:type="spellStart"/>
      <w:r w:rsidRPr="00A874A3">
        <w:rPr>
          <w:rFonts w:ascii="Times New Roman" w:hAnsi="Times New Roman" w:cs="Times New Roman"/>
          <w:sz w:val="20"/>
          <w:szCs w:val="20"/>
        </w:rPr>
        <w:t>rO</w:t>
      </w:r>
      <w:proofErr w:type="spellEnd"/>
      <w:r w:rsidRPr="00A874A3">
        <w:rPr>
          <w:rFonts w:ascii="Times New Roman" w:hAnsi="Times New Roman" w:cs="Times New Roman"/>
          <w:sz w:val="20"/>
          <w:szCs w:val="20"/>
        </w:rPr>
        <w:t xml:space="preserve">, </w:t>
      </w:r>
      <w:r w:rsidRPr="00A874A3">
        <w:rPr>
          <w:rFonts w:ascii="Times New Roman" w:hAnsi="Times New Roman" w:cs="Times New Roman"/>
          <w:sz w:val="20"/>
          <w:szCs w:val="20"/>
        </w:rPr>
        <w:lastRenderedPageBreak/>
        <w:t xml:space="preserve">recurrent oligodendroglioma; </w:t>
      </w:r>
      <w:proofErr w:type="spellStart"/>
      <w:r w:rsidRPr="00A874A3">
        <w:rPr>
          <w:rFonts w:ascii="Times New Roman" w:hAnsi="Times New Roman" w:cs="Times New Roman"/>
          <w:sz w:val="20"/>
          <w:szCs w:val="20"/>
        </w:rPr>
        <w:t>sGBM</w:t>
      </w:r>
      <w:proofErr w:type="spellEnd"/>
      <w:r w:rsidRPr="00A874A3">
        <w:rPr>
          <w:rFonts w:ascii="Times New Roman" w:hAnsi="Times New Roman" w:cs="Times New Roman"/>
          <w:sz w:val="20"/>
          <w:szCs w:val="20"/>
        </w:rPr>
        <w:t xml:space="preserve">, secondary glioblastoma; AOA, anaplastic oligoastrocytoma; OA, oligoastrocytoma. </w:t>
      </w:r>
      <w:r w:rsidR="0093628B">
        <w:rPr>
          <w:rFonts w:ascii="Times New Roman" w:hAnsi="Times New Roman" w:cs="Times New Roman"/>
          <w:sz w:val="20"/>
          <w:szCs w:val="20"/>
        </w:rPr>
        <w:t>C</w:t>
      </w:r>
      <w:r w:rsidRPr="00A874A3">
        <w:rPr>
          <w:rFonts w:ascii="Times New Roman" w:hAnsi="Times New Roman" w:cs="Times New Roman"/>
          <w:sz w:val="20"/>
          <w:szCs w:val="20"/>
        </w:rPr>
        <w:t xml:space="preserve">. The LYN expression pattern in different radiographical regions in </w:t>
      </w:r>
      <w:r w:rsidR="003D6D33">
        <w:rPr>
          <w:rFonts w:ascii="Times New Roman" w:hAnsi="Times New Roman" w:cs="Times New Roman"/>
          <w:sz w:val="20"/>
          <w:szCs w:val="20"/>
        </w:rPr>
        <w:t>GILL dataset (</w:t>
      </w:r>
      <w:r w:rsidR="003D6D33" w:rsidRPr="003D6D33">
        <w:rPr>
          <w:rFonts w:ascii="Times New Roman" w:hAnsi="Times New Roman" w:cs="Times New Roman"/>
          <w:sz w:val="20"/>
          <w:szCs w:val="20"/>
        </w:rPr>
        <w:t>GSE59612</w:t>
      </w:r>
      <w:r w:rsidR="003D6D33">
        <w:rPr>
          <w:rFonts w:ascii="Times New Roman" w:hAnsi="Times New Roman" w:cs="Times New Roman"/>
          <w:sz w:val="20"/>
          <w:szCs w:val="20"/>
        </w:rPr>
        <w:t>)</w:t>
      </w:r>
      <w:r w:rsidRPr="00A874A3">
        <w:rPr>
          <w:rFonts w:ascii="Times New Roman" w:hAnsi="Times New Roman" w:cs="Times New Roman"/>
          <w:sz w:val="20"/>
          <w:szCs w:val="20"/>
        </w:rPr>
        <w:t xml:space="preserve">. </w:t>
      </w:r>
      <w:r w:rsidR="006A0B18" w:rsidRPr="00A874A3">
        <w:rPr>
          <w:rFonts w:ascii="Times New Roman" w:hAnsi="Times New Roman" w:cs="Times New Roman"/>
          <w:color w:val="000000" w:themeColor="text1"/>
          <w:sz w:val="20"/>
          <w:szCs w:val="20"/>
        </w:rPr>
        <w:t xml:space="preserve">Contrast-enhanced (CE), Non-contrast-enhanced (NCE), Normal tissues (NT). </w:t>
      </w:r>
      <w:r w:rsidR="0093628B">
        <w:rPr>
          <w:rFonts w:ascii="Times New Roman" w:hAnsi="Times New Roman" w:cs="Times New Roman"/>
          <w:sz w:val="20"/>
          <w:szCs w:val="20"/>
        </w:rPr>
        <w:t>D</w:t>
      </w:r>
      <w:r w:rsidRPr="00A874A3">
        <w:rPr>
          <w:rFonts w:ascii="Times New Roman" w:hAnsi="Times New Roman" w:cs="Times New Roman"/>
          <w:sz w:val="20"/>
          <w:szCs w:val="20"/>
        </w:rPr>
        <w:t xml:space="preserve">. Intra-tumor analysis of LYN expression. LE (Leading Edge), IT (Infiltrating </w:t>
      </w:r>
      <w:proofErr w:type="spellStart"/>
      <w:r w:rsidRPr="00A874A3">
        <w:rPr>
          <w:rFonts w:ascii="Times New Roman" w:hAnsi="Times New Roman" w:cs="Times New Roman"/>
          <w:sz w:val="20"/>
          <w:szCs w:val="20"/>
        </w:rPr>
        <w:t>Tumour</w:t>
      </w:r>
      <w:proofErr w:type="spellEnd"/>
      <w:r w:rsidRPr="00A874A3">
        <w:rPr>
          <w:rFonts w:ascii="Times New Roman" w:hAnsi="Times New Roman" w:cs="Times New Roman"/>
          <w:sz w:val="20"/>
          <w:szCs w:val="20"/>
        </w:rPr>
        <w:t xml:space="preserve">), CT (Cellular </w:t>
      </w:r>
      <w:proofErr w:type="spellStart"/>
      <w:r w:rsidRPr="00A874A3">
        <w:rPr>
          <w:rFonts w:ascii="Times New Roman" w:hAnsi="Times New Roman" w:cs="Times New Roman"/>
          <w:sz w:val="20"/>
          <w:szCs w:val="20"/>
        </w:rPr>
        <w:t>Tumour</w:t>
      </w:r>
      <w:proofErr w:type="spellEnd"/>
      <w:r w:rsidRPr="00A874A3">
        <w:rPr>
          <w:rFonts w:ascii="Times New Roman" w:hAnsi="Times New Roman" w:cs="Times New Roman"/>
          <w:sz w:val="20"/>
          <w:szCs w:val="20"/>
        </w:rPr>
        <w:t>), PAN (</w:t>
      </w:r>
      <w:proofErr w:type="spellStart"/>
      <w:r w:rsidRPr="00A874A3">
        <w:rPr>
          <w:rFonts w:ascii="Times New Roman" w:hAnsi="Times New Roman" w:cs="Times New Roman"/>
          <w:sz w:val="20"/>
          <w:szCs w:val="20"/>
        </w:rPr>
        <w:t>Pseudopalisading</w:t>
      </w:r>
      <w:proofErr w:type="spellEnd"/>
      <w:r w:rsidRPr="00A874A3">
        <w:rPr>
          <w:rFonts w:ascii="Times New Roman" w:hAnsi="Times New Roman" w:cs="Times New Roman"/>
          <w:sz w:val="20"/>
          <w:szCs w:val="20"/>
        </w:rPr>
        <w:t xml:space="preserve"> Cells Around Necrosis), PNZ (</w:t>
      </w:r>
      <w:proofErr w:type="spellStart"/>
      <w:r w:rsidRPr="00A874A3">
        <w:rPr>
          <w:rFonts w:ascii="Times New Roman" w:hAnsi="Times New Roman" w:cs="Times New Roman"/>
          <w:sz w:val="20"/>
          <w:szCs w:val="20"/>
        </w:rPr>
        <w:t>Perinecrotic</w:t>
      </w:r>
      <w:proofErr w:type="spellEnd"/>
      <w:r w:rsidRPr="00A874A3">
        <w:rPr>
          <w:rFonts w:ascii="Times New Roman" w:hAnsi="Times New Roman" w:cs="Times New Roman"/>
          <w:sz w:val="20"/>
          <w:szCs w:val="20"/>
        </w:rPr>
        <w:t xml:space="preserve"> Zone), MVP (Microvascular Proliferation), and HBV (Hyperplastic Blood Vessels). </w:t>
      </w:r>
      <w:r w:rsidR="0093628B">
        <w:rPr>
          <w:rFonts w:ascii="Times New Roman" w:hAnsi="Times New Roman" w:cs="Times New Roman"/>
          <w:sz w:val="20"/>
          <w:szCs w:val="20"/>
        </w:rPr>
        <w:t>E</w:t>
      </w:r>
      <w:r w:rsidR="0093628B" w:rsidRPr="00A874A3">
        <w:rPr>
          <w:rFonts w:ascii="Times New Roman" w:hAnsi="Times New Roman" w:cs="Times New Roman"/>
          <w:sz w:val="20"/>
          <w:szCs w:val="20"/>
        </w:rPr>
        <w:t>. LYN expression in primary, recurrent, and secondary gliomas.</w:t>
      </w:r>
      <w:r w:rsidR="0093628B">
        <w:rPr>
          <w:rFonts w:ascii="Times New Roman" w:hAnsi="Times New Roman" w:cs="Times New Roman"/>
          <w:sz w:val="20"/>
          <w:szCs w:val="20"/>
        </w:rPr>
        <w:t xml:space="preserve"> F</w:t>
      </w:r>
      <w:r w:rsidR="00B7334A" w:rsidRPr="00A874A3">
        <w:rPr>
          <w:rFonts w:ascii="Times New Roman" w:hAnsi="Times New Roman" w:cs="Times New Roman"/>
          <w:sz w:val="20"/>
          <w:szCs w:val="20"/>
        </w:rPr>
        <w:t>. LYN expression in different treatment outcomes.</w:t>
      </w:r>
      <w:r w:rsidR="00B7334A">
        <w:rPr>
          <w:rFonts w:ascii="Times New Roman" w:hAnsi="Times New Roman" w:cs="Times New Roman"/>
          <w:sz w:val="20"/>
          <w:szCs w:val="20"/>
        </w:rPr>
        <w:t xml:space="preserve"> </w:t>
      </w:r>
      <w:r w:rsidR="0093628B">
        <w:rPr>
          <w:rFonts w:ascii="Times New Roman" w:hAnsi="Times New Roman" w:cs="Times New Roman"/>
          <w:sz w:val="20"/>
          <w:szCs w:val="20"/>
        </w:rPr>
        <w:t>G</w:t>
      </w:r>
      <w:r w:rsidR="00B7334A" w:rsidRPr="00A874A3">
        <w:rPr>
          <w:rFonts w:ascii="Times New Roman" w:hAnsi="Times New Roman" w:cs="Times New Roman"/>
          <w:sz w:val="20"/>
          <w:szCs w:val="20"/>
        </w:rPr>
        <w:t>. ROC curves showed LYN as a predictor of 3-year and 5-year survival in TCGA and CGGA datasets.</w:t>
      </w:r>
    </w:p>
    <w:p w14:paraId="3F4B509F" w14:textId="2E477FBD" w:rsidR="00C40A45" w:rsidRPr="00A874A3" w:rsidRDefault="009A63A4" w:rsidP="00C40A45">
      <w:pPr>
        <w:spacing w:line="480" w:lineRule="auto"/>
        <w:rPr>
          <w:rFonts w:ascii="Times New Roman" w:hAnsi="Times New Roman" w:cs="Times New Roman"/>
          <w:color w:val="000000" w:themeColor="text1"/>
          <w:sz w:val="20"/>
          <w:szCs w:val="20"/>
        </w:rPr>
      </w:pPr>
      <w:r>
        <w:rPr>
          <w:rFonts w:ascii="Times New Roman" w:hAnsi="Times New Roman" w:cs="Times New Roman"/>
          <w:noProof/>
          <w:color w:val="000000" w:themeColor="text1"/>
          <w:sz w:val="20"/>
          <w:szCs w:val="20"/>
        </w:rPr>
        <w:drawing>
          <wp:inline distT="0" distB="0" distL="0" distR="0" wp14:anchorId="07FC3162" wp14:editId="70BE63BB">
            <wp:extent cx="5270500" cy="2259330"/>
            <wp:effectExtent l="0" t="0" r="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5"/>
                    <a:stretch>
                      <a:fillRect/>
                    </a:stretch>
                  </pic:blipFill>
                  <pic:spPr>
                    <a:xfrm>
                      <a:off x="0" y="0"/>
                      <a:ext cx="5270500" cy="2259330"/>
                    </a:xfrm>
                    <a:prstGeom prst="rect">
                      <a:avLst/>
                    </a:prstGeom>
                  </pic:spPr>
                </pic:pic>
              </a:graphicData>
            </a:graphic>
          </wp:inline>
        </w:drawing>
      </w:r>
    </w:p>
    <w:p w14:paraId="4760BCED" w14:textId="77777777" w:rsidR="00C40A45" w:rsidRPr="00A874A3" w:rsidRDefault="00C40A45" w:rsidP="00C40A45">
      <w:pPr>
        <w:spacing w:line="480" w:lineRule="auto"/>
        <w:rPr>
          <w:rFonts w:ascii="Times New Roman" w:hAnsi="Times New Roman" w:cs="Times New Roman"/>
          <w:sz w:val="20"/>
          <w:szCs w:val="20"/>
        </w:rPr>
      </w:pPr>
      <w:r w:rsidRPr="00A874A3">
        <w:rPr>
          <w:rFonts w:ascii="Times New Roman" w:hAnsi="Times New Roman" w:cs="Times New Roman"/>
          <w:color w:val="000000" w:themeColor="text1"/>
          <w:sz w:val="20"/>
          <w:szCs w:val="20"/>
        </w:rPr>
        <w:t xml:space="preserve">Figure S2. </w:t>
      </w:r>
      <w:r w:rsidRPr="00A874A3">
        <w:rPr>
          <w:rFonts w:ascii="Times New Roman" w:hAnsi="Times New Roman" w:cs="Times New Roman"/>
          <w:sz w:val="20"/>
          <w:szCs w:val="20"/>
        </w:rPr>
        <w:t>Disease specific survival and progressive free interval in glioma patients with low and high LYN expression. A. Kaplan – Meier analysis of disease specific survival was performed in pan-glioma, LGG and GBM patients. B. Kaplan – Meier analysis of progressive free interval was performed in pan-glioma, LGG and GBM patients.</w:t>
      </w:r>
    </w:p>
    <w:p w14:paraId="653CAFC7" w14:textId="75B1368C" w:rsidR="00C40A45" w:rsidRPr="00A874A3" w:rsidRDefault="009A63A4" w:rsidP="00C40A45">
      <w:pPr>
        <w:spacing w:line="480" w:lineRule="auto"/>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2A868DE6" wp14:editId="54C7FB42">
            <wp:extent cx="5270500" cy="4631055"/>
            <wp:effectExtent l="0" t="0" r="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6"/>
                    <a:stretch>
                      <a:fillRect/>
                    </a:stretch>
                  </pic:blipFill>
                  <pic:spPr>
                    <a:xfrm>
                      <a:off x="0" y="0"/>
                      <a:ext cx="5270500" cy="4631055"/>
                    </a:xfrm>
                    <a:prstGeom prst="rect">
                      <a:avLst/>
                    </a:prstGeom>
                  </pic:spPr>
                </pic:pic>
              </a:graphicData>
            </a:graphic>
          </wp:inline>
        </w:drawing>
      </w:r>
    </w:p>
    <w:p w14:paraId="643063C5" w14:textId="77777777" w:rsidR="00C40A45" w:rsidRPr="00A874A3" w:rsidRDefault="00C40A45" w:rsidP="00C40A45">
      <w:pPr>
        <w:spacing w:line="480" w:lineRule="auto"/>
        <w:rPr>
          <w:rFonts w:ascii="Times New Roman" w:hAnsi="Times New Roman" w:cs="Times New Roman"/>
          <w:sz w:val="20"/>
          <w:szCs w:val="20"/>
        </w:rPr>
      </w:pPr>
      <w:r w:rsidRPr="00A874A3">
        <w:rPr>
          <w:rFonts w:ascii="Times New Roman" w:hAnsi="Times New Roman" w:cs="Times New Roman"/>
          <w:sz w:val="20"/>
          <w:szCs w:val="20"/>
        </w:rPr>
        <w:t xml:space="preserve">Figure S3. Overall survival in glioma patients with low and high LYN expression. Kaplan – Meier analysis of overall survival was performed in pan-glioma, LGG and GBM patients based on CGGA325, CGGA693, </w:t>
      </w:r>
      <w:proofErr w:type="spellStart"/>
      <w:r w:rsidRPr="00A874A3">
        <w:rPr>
          <w:rFonts w:ascii="Times New Roman" w:hAnsi="Times New Roman" w:cs="Times New Roman"/>
          <w:sz w:val="20"/>
          <w:szCs w:val="20"/>
        </w:rPr>
        <w:t>CGGAarray</w:t>
      </w:r>
      <w:proofErr w:type="spellEnd"/>
      <w:r w:rsidRPr="00A874A3">
        <w:rPr>
          <w:rFonts w:ascii="Times New Roman" w:hAnsi="Times New Roman" w:cs="Times New Roman"/>
          <w:sz w:val="20"/>
          <w:szCs w:val="20"/>
        </w:rPr>
        <w:t>, and GSE108474 datasets.</w:t>
      </w:r>
    </w:p>
    <w:p w14:paraId="2F706DC9" w14:textId="5314F8D3" w:rsidR="00C40A45" w:rsidRPr="00A874A3" w:rsidRDefault="009A63A4" w:rsidP="00C40A45">
      <w:pPr>
        <w:spacing w:line="480" w:lineRule="auto"/>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669A9D27" wp14:editId="139524EE">
            <wp:extent cx="5270500" cy="5650865"/>
            <wp:effectExtent l="0" t="0" r="0" b="6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7"/>
                    <a:stretch>
                      <a:fillRect/>
                    </a:stretch>
                  </pic:blipFill>
                  <pic:spPr>
                    <a:xfrm>
                      <a:off x="0" y="0"/>
                      <a:ext cx="5270500" cy="5650865"/>
                    </a:xfrm>
                    <a:prstGeom prst="rect">
                      <a:avLst/>
                    </a:prstGeom>
                  </pic:spPr>
                </pic:pic>
              </a:graphicData>
            </a:graphic>
          </wp:inline>
        </w:drawing>
      </w:r>
    </w:p>
    <w:p w14:paraId="07307D1B" w14:textId="77777777" w:rsidR="00C40A45" w:rsidRPr="00A874A3" w:rsidRDefault="00C40A45" w:rsidP="00C40A45">
      <w:pPr>
        <w:spacing w:line="480" w:lineRule="auto"/>
        <w:rPr>
          <w:rFonts w:ascii="Times New Roman" w:hAnsi="Times New Roman" w:cs="Times New Roman"/>
          <w:sz w:val="20"/>
          <w:szCs w:val="20"/>
        </w:rPr>
      </w:pPr>
      <w:r w:rsidRPr="00A874A3">
        <w:rPr>
          <w:rFonts w:ascii="Times New Roman" w:hAnsi="Times New Roman" w:cs="Times New Roman"/>
          <w:sz w:val="20"/>
          <w:szCs w:val="20"/>
        </w:rPr>
        <w:t>Figure S4. Overall survival in pan-cancer analysis. Kaplan – Meier analysis of overall survival was performed based on low and high LYN expression. BRCA, Breast invasive carcinoma; CHOL, Cholangiocarcinoma; COAD, Colon adenocarcinoma; KIRC, kidney renal clear cell carcinoma; KIRP, Kidney renal papillary cell carcinoma; LAML, Acute Myeloid Leukemia; LIHC, hepatocellular carcinoma; MESO, Mesothelioma; OV, Ovarian serous cystadenocarcinoma; PAAD, Pancreatic adenocarcinoma; READ, Rectum adenocarcinoma; SARC, Sarcoma; SKCM, Skin Cutaneous Melanoma; TGCT, testicular germ cell tumor; THYM, Thymoma; UCEC, Uterine Corpus Endometrial Carcinoma; UCS, Uterine Carcinosarcoma; UVM, Uveal Melanoma.</w:t>
      </w:r>
    </w:p>
    <w:p w14:paraId="6A3C3A6A" w14:textId="724BA77F" w:rsidR="00C40A45" w:rsidRPr="00A874A3" w:rsidRDefault="009A63A4" w:rsidP="00C40A45">
      <w:pPr>
        <w:spacing w:line="480" w:lineRule="auto"/>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5B65BA15" wp14:editId="3FBBC136">
            <wp:extent cx="5270500" cy="6423025"/>
            <wp:effectExtent l="0" t="0" r="0" b="31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8"/>
                    <a:stretch>
                      <a:fillRect/>
                    </a:stretch>
                  </pic:blipFill>
                  <pic:spPr>
                    <a:xfrm>
                      <a:off x="0" y="0"/>
                      <a:ext cx="5270500" cy="6423025"/>
                    </a:xfrm>
                    <a:prstGeom prst="rect">
                      <a:avLst/>
                    </a:prstGeom>
                  </pic:spPr>
                </pic:pic>
              </a:graphicData>
            </a:graphic>
          </wp:inline>
        </w:drawing>
      </w:r>
    </w:p>
    <w:p w14:paraId="2399EAE6" w14:textId="77777777" w:rsidR="00C40A45" w:rsidRPr="00A874A3" w:rsidRDefault="00C40A45" w:rsidP="00C40A45">
      <w:pPr>
        <w:spacing w:line="480" w:lineRule="auto"/>
        <w:rPr>
          <w:rFonts w:ascii="Times New Roman" w:hAnsi="Times New Roman" w:cs="Times New Roman"/>
          <w:sz w:val="20"/>
          <w:szCs w:val="20"/>
        </w:rPr>
      </w:pPr>
      <w:r w:rsidRPr="00A874A3">
        <w:rPr>
          <w:rFonts w:ascii="Times New Roman" w:hAnsi="Times New Roman" w:cs="Times New Roman"/>
          <w:sz w:val="20"/>
          <w:szCs w:val="20"/>
        </w:rPr>
        <w:t xml:space="preserve">Figure S5. </w:t>
      </w:r>
      <w:r w:rsidRPr="00A874A3">
        <w:rPr>
          <w:rFonts w:ascii="Times New Roman" w:hAnsi="Times New Roman" w:cs="Times New Roman"/>
          <w:color w:val="000000" w:themeColor="text1"/>
          <w:sz w:val="20"/>
          <w:szCs w:val="20"/>
        </w:rPr>
        <w:t>The relationship between LYN and 28 immune cell populations based on A. TCGA pan-gliomas and B. CGGA pan-gliomas, respectively. C. The fraction of 22 immune infiltrating cells in LYN in TCGA. Within each group, the scattered dots represent immune cell expression values. D. The fraction of 22 immune infiltrating cells in LYN in CGGA. Within each group, the scattered dots represent immune cell expression values.</w:t>
      </w:r>
    </w:p>
    <w:p w14:paraId="62D52CBB" w14:textId="7CEA443B" w:rsidR="00C40A45" w:rsidRPr="00A874A3" w:rsidRDefault="009A63A4" w:rsidP="00C40A45">
      <w:pPr>
        <w:spacing w:line="480" w:lineRule="auto"/>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424899A6" wp14:editId="4F53B7A2">
            <wp:extent cx="5270500" cy="226377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9"/>
                    <a:stretch>
                      <a:fillRect/>
                    </a:stretch>
                  </pic:blipFill>
                  <pic:spPr>
                    <a:xfrm>
                      <a:off x="0" y="0"/>
                      <a:ext cx="5270500" cy="2263775"/>
                    </a:xfrm>
                    <a:prstGeom prst="rect">
                      <a:avLst/>
                    </a:prstGeom>
                  </pic:spPr>
                </pic:pic>
              </a:graphicData>
            </a:graphic>
          </wp:inline>
        </w:drawing>
      </w:r>
    </w:p>
    <w:p w14:paraId="2721DE19" w14:textId="77777777" w:rsidR="00C40A45" w:rsidRPr="00A874A3" w:rsidRDefault="00C40A45" w:rsidP="00C40A45">
      <w:pPr>
        <w:spacing w:line="480" w:lineRule="auto"/>
        <w:rPr>
          <w:rFonts w:ascii="Times New Roman" w:hAnsi="Times New Roman" w:cs="Times New Roman"/>
          <w:color w:val="000000" w:themeColor="text1"/>
          <w:sz w:val="20"/>
          <w:szCs w:val="20"/>
        </w:rPr>
      </w:pPr>
      <w:r w:rsidRPr="00A874A3">
        <w:rPr>
          <w:rFonts w:ascii="Times New Roman" w:hAnsi="Times New Roman" w:cs="Times New Roman"/>
          <w:color w:val="000000" w:themeColor="text1"/>
          <w:sz w:val="20"/>
          <w:szCs w:val="20"/>
        </w:rPr>
        <w:t>Figure S6. The relationship between LYN and inflammatory activities based on TCGA pan-gliomas and CGGA pan-gliomas, respectively.</w:t>
      </w:r>
    </w:p>
    <w:p w14:paraId="59522897" w14:textId="2542B6B3" w:rsidR="00C40A45" w:rsidRPr="00302B36" w:rsidRDefault="00302B36" w:rsidP="00C40A45">
      <w:pPr>
        <w:spacing w:line="480" w:lineRule="auto"/>
        <w:rPr>
          <w:rFonts w:ascii="Times New Roman" w:hAnsi="Times New Roman" w:cs="Times New Roman"/>
          <w:color w:val="000000" w:themeColor="text1"/>
          <w:sz w:val="20"/>
          <w:szCs w:val="20"/>
        </w:rPr>
      </w:pPr>
      <w:r>
        <w:rPr>
          <w:rFonts w:ascii="Times New Roman" w:hAnsi="Times New Roman" w:cs="Times New Roman"/>
          <w:noProof/>
          <w:color w:val="000000" w:themeColor="text1"/>
          <w:sz w:val="20"/>
          <w:szCs w:val="20"/>
        </w:rPr>
        <w:drawing>
          <wp:inline distT="0" distB="0" distL="0" distR="0" wp14:anchorId="0B67B6F0" wp14:editId="55604C00">
            <wp:extent cx="5270500" cy="36474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0"/>
                    <a:stretch>
                      <a:fillRect/>
                    </a:stretch>
                  </pic:blipFill>
                  <pic:spPr>
                    <a:xfrm>
                      <a:off x="0" y="0"/>
                      <a:ext cx="5270500" cy="3647440"/>
                    </a:xfrm>
                    <a:prstGeom prst="rect">
                      <a:avLst/>
                    </a:prstGeom>
                  </pic:spPr>
                </pic:pic>
              </a:graphicData>
            </a:graphic>
          </wp:inline>
        </w:drawing>
      </w:r>
    </w:p>
    <w:p w14:paraId="3FEC1BF2" w14:textId="77777777" w:rsidR="00C40A45" w:rsidRPr="00A874A3" w:rsidRDefault="00C40A45" w:rsidP="00C40A45">
      <w:pPr>
        <w:spacing w:line="480" w:lineRule="auto"/>
        <w:rPr>
          <w:rFonts w:ascii="Times New Roman" w:hAnsi="Times New Roman" w:cs="Times New Roman"/>
          <w:color w:val="000000" w:themeColor="text1"/>
          <w:sz w:val="20"/>
          <w:szCs w:val="20"/>
        </w:rPr>
      </w:pPr>
      <w:r w:rsidRPr="00A874A3">
        <w:rPr>
          <w:rFonts w:ascii="Times New Roman" w:hAnsi="Times New Roman" w:cs="Times New Roman"/>
          <w:color w:val="000000" w:themeColor="text1"/>
          <w:sz w:val="20"/>
          <w:szCs w:val="20"/>
        </w:rPr>
        <w:t>Figure S7. Heatmaps illustrating LYN related GO signaling pathways in A. TCGA pan-gliomas and B. CGGA pan-gliomas, respectively. Heatmaps illustrating LYN related KEGG signaling pathways in C. TCGA pan-gliomas and D. CGGA pan-gliomas, respectively. Expression values are z-transformed and are colored red for high expression and blue for low expression, as illustrated in the scale bar.</w:t>
      </w:r>
    </w:p>
    <w:p w14:paraId="5FF8ECC0" w14:textId="77777777" w:rsidR="00C40A45" w:rsidRPr="00A874A3" w:rsidRDefault="00C40A45" w:rsidP="00C40A45">
      <w:pPr>
        <w:spacing w:line="480" w:lineRule="auto"/>
        <w:rPr>
          <w:rFonts w:ascii="Times New Roman" w:hAnsi="Times New Roman" w:cs="Times New Roman"/>
          <w:sz w:val="20"/>
          <w:szCs w:val="20"/>
        </w:rPr>
      </w:pPr>
    </w:p>
    <w:p w14:paraId="477D8A8F" w14:textId="03874893" w:rsidR="00976B86" w:rsidRPr="00A874A3" w:rsidRDefault="00A874A3" w:rsidP="00A874A3">
      <w:pPr>
        <w:spacing w:line="480" w:lineRule="auto"/>
        <w:rPr>
          <w:rFonts w:ascii="Times New Roman" w:hAnsi="Times New Roman" w:cs="Times New Roman"/>
          <w:sz w:val="20"/>
          <w:szCs w:val="20"/>
        </w:rPr>
      </w:pPr>
      <w:r w:rsidRPr="00A874A3">
        <w:rPr>
          <w:rFonts w:ascii="Times New Roman" w:hAnsi="Times New Roman" w:cs="Times New Roman"/>
          <w:sz w:val="20"/>
          <w:szCs w:val="20"/>
        </w:rPr>
        <w:lastRenderedPageBreak/>
        <w:t xml:space="preserve">Table S1. Clinical characteristics of </w:t>
      </w:r>
      <w:proofErr w:type="spellStart"/>
      <w:r w:rsidRPr="00A874A3">
        <w:rPr>
          <w:rFonts w:ascii="Times New Roman" w:hAnsi="Times New Roman" w:cs="Times New Roman"/>
          <w:sz w:val="20"/>
          <w:szCs w:val="20"/>
        </w:rPr>
        <w:t>Xiangya</w:t>
      </w:r>
      <w:proofErr w:type="spellEnd"/>
      <w:r w:rsidRPr="00A874A3">
        <w:rPr>
          <w:rFonts w:ascii="Times New Roman" w:hAnsi="Times New Roman" w:cs="Times New Roman"/>
          <w:sz w:val="20"/>
          <w:szCs w:val="20"/>
        </w:rPr>
        <w:t xml:space="preserve"> cohort.</w:t>
      </w:r>
    </w:p>
    <w:sectPr w:rsidR="00976B86" w:rsidRPr="00A874A3">
      <w:pgSz w:w="11900" w:h="16840"/>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5"/>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2698"/>
    <w:rsid w:val="00001CC4"/>
    <w:rsid w:val="00011C11"/>
    <w:rsid w:val="0001211C"/>
    <w:rsid w:val="00034CB0"/>
    <w:rsid w:val="0005469E"/>
    <w:rsid w:val="0005565F"/>
    <w:rsid w:val="00062DAA"/>
    <w:rsid w:val="00080205"/>
    <w:rsid w:val="00081D00"/>
    <w:rsid w:val="00085CD0"/>
    <w:rsid w:val="000B3E17"/>
    <w:rsid w:val="000E0645"/>
    <w:rsid w:val="000E794A"/>
    <w:rsid w:val="000F7B24"/>
    <w:rsid w:val="0011067F"/>
    <w:rsid w:val="00123271"/>
    <w:rsid w:val="0013007E"/>
    <w:rsid w:val="0015606C"/>
    <w:rsid w:val="001611EA"/>
    <w:rsid w:val="0016348C"/>
    <w:rsid w:val="00187DBB"/>
    <w:rsid w:val="001A3D7F"/>
    <w:rsid w:val="001A7101"/>
    <w:rsid w:val="001D35ED"/>
    <w:rsid w:val="001F24CD"/>
    <w:rsid w:val="00214906"/>
    <w:rsid w:val="00225C1A"/>
    <w:rsid w:val="00233549"/>
    <w:rsid w:val="00251857"/>
    <w:rsid w:val="00256F93"/>
    <w:rsid w:val="00272841"/>
    <w:rsid w:val="00296D45"/>
    <w:rsid w:val="002A67CC"/>
    <w:rsid w:val="002A79D7"/>
    <w:rsid w:val="002B602B"/>
    <w:rsid w:val="002B6879"/>
    <w:rsid w:val="002C65EA"/>
    <w:rsid w:val="002E7C4E"/>
    <w:rsid w:val="00302B36"/>
    <w:rsid w:val="003216F5"/>
    <w:rsid w:val="0032401D"/>
    <w:rsid w:val="00353CA3"/>
    <w:rsid w:val="00366D3E"/>
    <w:rsid w:val="00393669"/>
    <w:rsid w:val="003937AA"/>
    <w:rsid w:val="003B421D"/>
    <w:rsid w:val="003D6D33"/>
    <w:rsid w:val="0042374A"/>
    <w:rsid w:val="00424B8E"/>
    <w:rsid w:val="004262DB"/>
    <w:rsid w:val="00435A7F"/>
    <w:rsid w:val="00436822"/>
    <w:rsid w:val="00446F29"/>
    <w:rsid w:val="00453E19"/>
    <w:rsid w:val="00465D28"/>
    <w:rsid w:val="00466A2E"/>
    <w:rsid w:val="0047468A"/>
    <w:rsid w:val="00477BFB"/>
    <w:rsid w:val="004879DE"/>
    <w:rsid w:val="004946CD"/>
    <w:rsid w:val="00495A21"/>
    <w:rsid w:val="004A4E0B"/>
    <w:rsid w:val="004A7631"/>
    <w:rsid w:val="004B2E9F"/>
    <w:rsid w:val="004D0354"/>
    <w:rsid w:val="004E2D0D"/>
    <w:rsid w:val="00512EE5"/>
    <w:rsid w:val="00532D4F"/>
    <w:rsid w:val="005533C6"/>
    <w:rsid w:val="00554CA4"/>
    <w:rsid w:val="00562272"/>
    <w:rsid w:val="005B72C8"/>
    <w:rsid w:val="005E0FE9"/>
    <w:rsid w:val="005E425F"/>
    <w:rsid w:val="00600092"/>
    <w:rsid w:val="0060494B"/>
    <w:rsid w:val="006061CE"/>
    <w:rsid w:val="00612548"/>
    <w:rsid w:val="00621F57"/>
    <w:rsid w:val="0062277B"/>
    <w:rsid w:val="0062320C"/>
    <w:rsid w:val="0062681A"/>
    <w:rsid w:val="0067405B"/>
    <w:rsid w:val="006777AD"/>
    <w:rsid w:val="006A0B18"/>
    <w:rsid w:val="006A1F34"/>
    <w:rsid w:val="006A315F"/>
    <w:rsid w:val="006A3CA4"/>
    <w:rsid w:val="006D6D56"/>
    <w:rsid w:val="006F38D1"/>
    <w:rsid w:val="00700DA3"/>
    <w:rsid w:val="00701396"/>
    <w:rsid w:val="00704C0F"/>
    <w:rsid w:val="00706E6A"/>
    <w:rsid w:val="00743FF2"/>
    <w:rsid w:val="00765668"/>
    <w:rsid w:val="00774FF3"/>
    <w:rsid w:val="0077737F"/>
    <w:rsid w:val="00780EC7"/>
    <w:rsid w:val="007960A9"/>
    <w:rsid w:val="007B1C67"/>
    <w:rsid w:val="007B7959"/>
    <w:rsid w:val="007E503D"/>
    <w:rsid w:val="00800C5C"/>
    <w:rsid w:val="008144B3"/>
    <w:rsid w:val="0082651B"/>
    <w:rsid w:val="00834C7C"/>
    <w:rsid w:val="008407E0"/>
    <w:rsid w:val="00877957"/>
    <w:rsid w:val="008A67DF"/>
    <w:rsid w:val="008B0EA3"/>
    <w:rsid w:val="008D069B"/>
    <w:rsid w:val="008D232D"/>
    <w:rsid w:val="008E27F6"/>
    <w:rsid w:val="008F2698"/>
    <w:rsid w:val="008F2B6E"/>
    <w:rsid w:val="008F5B55"/>
    <w:rsid w:val="0091113B"/>
    <w:rsid w:val="009232F7"/>
    <w:rsid w:val="009358FD"/>
    <w:rsid w:val="0093628B"/>
    <w:rsid w:val="00940742"/>
    <w:rsid w:val="009419A2"/>
    <w:rsid w:val="00947D1B"/>
    <w:rsid w:val="00953BD6"/>
    <w:rsid w:val="00962485"/>
    <w:rsid w:val="009637D4"/>
    <w:rsid w:val="009665C3"/>
    <w:rsid w:val="00976B86"/>
    <w:rsid w:val="009863DC"/>
    <w:rsid w:val="009A63A4"/>
    <w:rsid w:val="009C6749"/>
    <w:rsid w:val="009D34DD"/>
    <w:rsid w:val="009D4BB3"/>
    <w:rsid w:val="009E4BE2"/>
    <w:rsid w:val="009E6832"/>
    <w:rsid w:val="009E6F09"/>
    <w:rsid w:val="00A02344"/>
    <w:rsid w:val="00A05CA6"/>
    <w:rsid w:val="00A22CE2"/>
    <w:rsid w:val="00A3108D"/>
    <w:rsid w:val="00A501C3"/>
    <w:rsid w:val="00A668F1"/>
    <w:rsid w:val="00A66B9F"/>
    <w:rsid w:val="00A76952"/>
    <w:rsid w:val="00A858C3"/>
    <w:rsid w:val="00A874A3"/>
    <w:rsid w:val="00AA077D"/>
    <w:rsid w:val="00AB375B"/>
    <w:rsid w:val="00AB56D3"/>
    <w:rsid w:val="00AB77ED"/>
    <w:rsid w:val="00AB7F1E"/>
    <w:rsid w:val="00AE52E4"/>
    <w:rsid w:val="00AF70B0"/>
    <w:rsid w:val="00B400A9"/>
    <w:rsid w:val="00B57662"/>
    <w:rsid w:val="00B65DF7"/>
    <w:rsid w:val="00B7334A"/>
    <w:rsid w:val="00B763F5"/>
    <w:rsid w:val="00B831DA"/>
    <w:rsid w:val="00B92021"/>
    <w:rsid w:val="00BA402E"/>
    <w:rsid w:val="00BC5596"/>
    <w:rsid w:val="00BD4F15"/>
    <w:rsid w:val="00BE2A0E"/>
    <w:rsid w:val="00BE401A"/>
    <w:rsid w:val="00C07127"/>
    <w:rsid w:val="00C14E89"/>
    <w:rsid w:val="00C25FFF"/>
    <w:rsid w:val="00C40384"/>
    <w:rsid w:val="00C40A45"/>
    <w:rsid w:val="00C4296A"/>
    <w:rsid w:val="00C9540D"/>
    <w:rsid w:val="00CA3EB5"/>
    <w:rsid w:val="00CA42C1"/>
    <w:rsid w:val="00D0393A"/>
    <w:rsid w:val="00D0744A"/>
    <w:rsid w:val="00D10535"/>
    <w:rsid w:val="00D26D72"/>
    <w:rsid w:val="00D53830"/>
    <w:rsid w:val="00D610E7"/>
    <w:rsid w:val="00D660AC"/>
    <w:rsid w:val="00D7210F"/>
    <w:rsid w:val="00D75A29"/>
    <w:rsid w:val="00DA52F8"/>
    <w:rsid w:val="00DC1B7B"/>
    <w:rsid w:val="00DE066C"/>
    <w:rsid w:val="00E01A3D"/>
    <w:rsid w:val="00E03457"/>
    <w:rsid w:val="00E043D5"/>
    <w:rsid w:val="00E12BEB"/>
    <w:rsid w:val="00E22BD8"/>
    <w:rsid w:val="00E446F6"/>
    <w:rsid w:val="00E52ED5"/>
    <w:rsid w:val="00E63889"/>
    <w:rsid w:val="00E656CC"/>
    <w:rsid w:val="00E70145"/>
    <w:rsid w:val="00E763B7"/>
    <w:rsid w:val="00E94B36"/>
    <w:rsid w:val="00E9674E"/>
    <w:rsid w:val="00EC2B96"/>
    <w:rsid w:val="00EC3B2C"/>
    <w:rsid w:val="00ED22A5"/>
    <w:rsid w:val="00ED3A03"/>
    <w:rsid w:val="00ED4F28"/>
    <w:rsid w:val="00ED5ED1"/>
    <w:rsid w:val="00EF6F90"/>
    <w:rsid w:val="00F0781C"/>
    <w:rsid w:val="00F1511C"/>
    <w:rsid w:val="00FB33B7"/>
    <w:rsid w:val="00FB3F1E"/>
    <w:rsid w:val="00FB61A9"/>
    <w:rsid w:val="00FE599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56765B34"/>
  <w14:defaultImageDpi w14:val="32767"/>
  <w15:chartTrackingRefBased/>
  <w15:docId w15:val="{CBA737DC-8CB7-D048-B322-091A51375F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F2698"/>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3" Type="http://schemas.openxmlformats.org/officeDocument/2006/relationships/webSettings" Target="webSettings.xml"/><Relationship Id="rId7" Type="http://schemas.openxmlformats.org/officeDocument/2006/relationships/image" Target="media/image4.jp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fontTable" Target="fontTable.xml"/><Relationship Id="rId5" Type="http://schemas.openxmlformats.org/officeDocument/2006/relationships/image" Target="media/image2.jpg"/><Relationship Id="rId10" Type="http://schemas.openxmlformats.org/officeDocument/2006/relationships/image" Target="media/image7.jpg"/><Relationship Id="rId4" Type="http://schemas.openxmlformats.org/officeDocument/2006/relationships/image" Target="media/image1.jpg"/><Relationship Id="rId9" Type="http://schemas.openxmlformats.org/officeDocument/2006/relationships/image" Target="media/image6.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7</Pages>
  <Words>513</Words>
  <Characters>2925</Characters>
  <Application>Microsoft Office Word</Application>
  <DocSecurity>0</DocSecurity>
  <Lines>24</Lines>
  <Paragraphs>6</Paragraphs>
  <ScaleCrop>false</ScaleCrop>
  <Company/>
  <LinksUpToDate>false</LinksUpToDate>
  <CharactersWithSpaces>3432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TopEdit</cp:lastModifiedBy>
  <cp:revision>13</cp:revision>
  <dcterms:created xsi:type="dcterms:W3CDTF">2021-02-27T07:16:00Z</dcterms:created>
  <dcterms:modified xsi:type="dcterms:W3CDTF">2022-01-02T02:38:00Z</dcterms:modified>
</cp:coreProperties>
</file>