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F" w:rsidRPr="001549D3" w:rsidRDefault="00654E8F" w:rsidP="000B7CD4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p w:rsidR="000B7CD4" w:rsidRPr="00ED027C" w:rsidRDefault="000B7CD4" w:rsidP="000B7CD4">
      <w:pPr>
        <w:pStyle w:val="Heading1"/>
        <w:numPr>
          <w:ilvl w:val="0"/>
          <w:numId w:val="14"/>
        </w:numPr>
        <w:jc w:val="both"/>
      </w:pPr>
      <w:r w:rsidRPr="00ED027C">
        <w:t xml:space="preserve">Competitive ELISA for quantification of specific antibody against VHSV </w:t>
      </w:r>
    </w:p>
    <w:p w:rsidR="000B7CD4" w:rsidRDefault="000B7CD4" w:rsidP="000B7CD4">
      <w:pPr>
        <w:spacing w:line="276" w:lineRule="auto"/>
        <w:jc w:val="both"/>
      </w:pPr>
      <w:r w:rsidRPr="008C26A6">
        <w:t>Specific antibody (anti-VHSV Ig) quantification in the fish sera of the experimental fish groups was done by competitive enzyme-linked immunosorbent assays (c-ELISA)</w:t>
      </w:r>
      <w:r>
        <w:t xml:space="preserve"> according to the protocol of Kole et al. (16)</w:t>
      </w:r>
      <w:r w:rsidRPr="008C26A6">
        <w:t xml:space="preserve"> with </w:t>
      </w:r>
      <w:r>
        <w:t xml:space="preserve">necessary </w:t>
      </w:r>
      <w:r w:rsidRPr="008C26A6">
        <w:t>modifications.</w:t>
      </w:r>
      <w:r>
        <w:t xml:space="preserve"> </w:t>
      </w:r>
      <w:r w:rsidRPr="008C26A6">
        <w:t>Briefly, 100 µL of VHSV (10</w:t>
      </w:r>
      <w:r w:rsidRPr="008C26A6">
        <w:rPr>
          <w:vertAlign w:val="superscript"/>
        </w:rPr>
        <w:t>8</w:t>
      </w:r>
      <w:r w:rsidRPr="008C26A6">
        <w:t xml:space="preserve"> TCID</w:t>
      </w:r>
      <w:r w:rsidRPr="008C26A6">
        <w:rPr>
          <w:vertAlign w:val="subscript"/>
        </w:rPr>
        <w:t>50</w:t>
      </w:r>
      <w:r w:rsidRPr="008C26A6">
        <w:t xml:space="preserve">/mL) diluted in coating buffer (carbonate–bicarbonate buffer, pH 9.6) was coated in triplicate in 96-well ELISA plates (Nunc, Denmark) and incubated at 4 </w:t>
      </w:r>
      <w:r>
        <w:rPr>
          <w:rFonts w:cs="Times New Roman"/>
        </w:rPr>
        <w:t>°</w:t>
      </w:r>
      <w:r w:rsidRPr="008C26A6">
        <w:t>C overnight. The plate was washed with wash buffer (PBS-T, 0.05% tween20 in PBS</w:t>
      </w:r>
      <w:r>
        <w:t>,</w:t>
      </w:r>
      <w:r w:rsidRPr="008C26A6">
        <w:t xml:space="preserve"> pH 7.4) thr</w:t>
      </w:r>
      <w:r>
        <w:t xml:space="preserve">ee times </w:t>
      </w:r>
      <w:r w:rsidRPr="008C26A6">
        <w:t>for 5 min</w:t>
      </w:r>
      <w:r>
        <w:t>,</w:t>
      </w:r>
      <w:r w:rsidRPr="008C26A6">
        <w:t xml:space="preserve"> blocked </w:t>
      </w:r>
      <w:r>
        <w:t>with</w:t>
      </w:r>
      <w:r w:rsidRPr="008C26A6">
        <w:t xml:space="preserve"> 3</w:t>
      </w:r>
      <w:r>
        <w:t>8</w:t>
      </w:r>
      <w:r w:rsidRPr="008C26A6">
        <w:t xml:space="preserve">0 µL blocking buffer (3% bovine serum albumin </w:t>
      </w:r>
      <w:r>
        <w:t>[</w:t>
      </w:r>
      <w:r w:rsidRPr="008C26A6">
        <w:t>BSA</w:t>
      </w:r>
      <w:r>
        <w:t>]</w:t>
      </w:r>
      <w:r w:rsidRPr="008C26A6">
        <w:t xml:space="preserve"> solution in PBS-T)</w:t>
      </w:r>
      <w:r>
        <w:t>,</w:t>
      </w:r>
      <w:r w:rsidRPr="008C26A6">
        <w:t xml:space="preserve"> and incubated further for 1 h at </w:t>
      </w:r>
      <w:r>
        <w:t>37</w:t>
      </w:r>
      <w:r w:rsidRPr="008C26A6">
        <w:t xml:space="preserve"> </w:t>
      </w:r>
      <w:r>
        <w:rPr>
          <w:rFonts w:cs="Times New Roman"/>
        </w:rPr>
        <w:t>°</w:t>
      </w:r>
      <w:r w:rsidRPr="008C26A6">
        <w:t xml:space="preserve">C. The plates were washed with washing buffer </w:t>
      </w:r>
      <w:r>
        <w:t>three more times</w:t>
      </w:r>
      <w:r w:rsidRPr="008C26A6">
        <w:t xml:space="preserve"> for 5 min each. </w:t>
      </w:r>
      <w:r>
        <w:t xml:space="preserve">Serum (100 </w:t>
      </w:r>
      <w:r>
        <w:rPr>
          <w:rFonts w:cs="Times New Roman"/>
        </w:rPr>
        <w:t>μ</w:t>
      </w:r>
      <w:r>
        <w:t>L; standardized dilution at 1:40</w:t>
      </w:r>
      <w:r w:rsidRPr="008C26A6">
        <w:t xml:space="preserve"> in 1% BSA in PBS-T) sampled from </w:t>
      </w:r>
      <w:r>
        <w:t>2</w:t>
      </w:r>
      <w:r w:rsidRPr="008C26A6">
        <w:t xml:space="preserve"> experimental groups at different time points </w:t>
      </w:r>
      <w:r>
        <w:t>was</w:t>
      </w:r>
      <w:r w:rsidRPr="008C26A6">
        <w:t xml:space="preserve"> added </w:t>
      </w:r>
      <w:r>
        <w:t>to</w:t>
      </w:r>
      <w:r w:rsidRPr="008C26A6">
        <w:t xml:space="preserve"> different wells and incubated in an ELISA shaker at </w:t>
      </w:r>
      <w:r>
        <w:t>25</w:t>
      </w:r>
      <w:r w:rsidRPr="008C26A6">
        <w:t xml:space="preserve"> </w:t>
      </w:r>
      <w:r>
        <w:rPr>
          <w:rFonts w:cs="Times New Roman"/>
        </w:rPr>
        <w:t>°</w:t>
      </w:r>
      <w:r>
        <w:t xml:space="preserve">C </w:t>
      </w:r>
      <w:r w:rsidRPr="008C26A6">
        <w:t xml:space="preserve">for 1 h. Subsequently, 100 µL of diluted </w:t>
      </w:r>
      <w:r>
        <w:t xml:space="preserve">mouse monoclonal antibody </w:t>
      </w:r>
      <w:r w:rsidRPr="008C26A6">
        <w:t>(</w:t>
      </w:r>
      <w:r>
        <w:t xml:space="preserve">MAb; </w:t>
      </w:r>
      <w:r w:rsidRPr="008C26A6">
        <w:t>1:</w:t>
      </w:r>
      <w:r>
        <w:t>1</w:t>
      </w:r>
      <w:r w:rsidRPr="008C26A6">
        <w:t xml:space="preserve">00 in 1% BSA in PBS-T) </w:t>
      </w:r>
      <w:r>
        <w:t>against glycoprotein (G) of VHSV (Enbiogene, Korea)</w:t>
      </w:r>
      <w:r w:rsidRPr="008C26A6">
        <w:t xml:space="preserve"> was added to each well and kept at 4 </w:t>
      </w:r>
      <w:r>
        <w:rPr>
          <w:rFonts w:cs="Times New Roman"/>
        </w:rPr>
        <w:t>°</w:t>
      </w:r>
      <w:r w:rsidRPr="008C26A6">
        <w:t xml:space="preserve">C overnight. </w:t>
      </w:r>
      <w:r>
        <w:t>To read MAbs</w:t>
      </w:r>
      <w:r w:rsidRPr="008C26A6">
        <w:t>, 100 µL of MAb (1:</w:t>
      </w:r>
      <w:r>
        <w:t>1</w:t>
      </w:r>
      <w:r w:rsidRPr="008C26A6">
        <w:t xml:space="preserve">00) </w:t>
      </w:r>
      <w:r>
        <w:t xml:space="preserve">alone </w:t>
      </w:r>
      <w:r w:rsidRPr="008C26A6">
        <w:t xml:space="preserve">was added </w:t>
      </w:r>
      <w:r>
        <w:t>to three wells</w:t>
      </w:r>
      <w:r w:rsidRPr="008C26A6">
        <w:t xml:space="preserve"> of each plate. The plates were washed </w:t>
      </w:r>
      <w:r>
        <w:t>three times with</w:t>
      </w:r>
      <w:r w:rsidRPr="008C26A6">
        <w:t xml:space="preserve"> wash buffer on the following day and incubated with 100 µL of secondary antibody (Goat anti-mice HRP conjugate, Thermo Fisher Scientific, USA), </w:t>
      </w:r>
      <w:r>
        <w:t xml:space="preserve">which was </w:t>
      </w:r>
      <w:r w:rsidRPr="008C26A6">
        <w:t xml:space="preserve">freshly diluted in PBS-T </w:t>
      </w:r>
      <w:r>
        <w:t>at</w:t>
      </w:r>
      <w:r w:rsidRPr="008C26A6">
        <w:t xml:space="preserve"> 1:2000, at </w:t>
      </w:r>
      <w:r>
        <w:t>37</w:t>
      </w:r>
      <w:r w:rsidRPr="008C26A6">
        <w:t xml:space="preserve"> </w:t>
      </w:r>
      <w:r>
        <w:rPr>
          <w:rFonts w:cs="Times New Roman"/>
        </w:rPr>
        <w:t>°</w:t>
      </w:r>
      <w:r w:rsidRPr="008C26A6">
        <w:t>C for 1 h. The plates were thoroughly washed with PBS-T five times</w:t>
      </w:r>
      <w:r>
        <w:t>,</w:t>
      </w:r>
      <w:r w:rsidRPr="008C26A6">
        <w:t xml:space="preserve"> and substrate </w:t>
      </w:r>
      <w:r w:rsidRPr="008C26A6">
        <w:rPr>
          <w:i/>
          <w:iCs/>
        </w:rPr>
        <w:t>O</w:t>
      </w:r>
      <w:r w:rsidRPr="008C26A6">
        <w:t>-phenylenediamine tetra hydrochloride (OPD) solution (100 mg/m</w:t>
      </w:r>
      <w:r>
        <w:t>L</w:t>
      </w:r>
      <w:r w:rsidRPr="008C26A6">
        <w:t xml:space="preserve"> of </w:t>
      </w:r>
      <w:r w:rsidRPr="008C26A6">
        <w:rPr>
          <w:iCs/>
        </w:rPr>
        <w:t>OPD</w:t>
      </w:r>
      <w:r w:rsidRPr="008C26A6">
        <w:t xml:space="preserve"> and 40 μL of H</w:t>
      </w:r>
      <w:r w:rsidRPr="008C26A6">
        <w:rPr>
          <w:vertAlign w:val="subscript"/>
        </w:rPr>
        <w:t>2</w:t>
      </w:r>
      <w:r w:rsidRPr="008C26A6">
        <w:t>O</w:t>
      </w:r>
      <w:r w:rsidRPr="008C26A6">
        <w:rPr>
          <w:vertAlign w:val="subscript"/>
        </w:rPr>
        <w:t>2</w:t>
      </w:r>
      <w:r w:rsidRPr="008C26A6">
        <w:t xml:space="preserve"> </w:t>
      </w:r>
      <w:r>
        <w:t>[</w:t>
      </w:r>
      <w:r w:rsidRPr="008C26A6">
        <w:t>30% v/v</w:t>
      </w:r>
      <w:r>
        <w:t>]</w:t>
      </w:r>
      <w:r w:rsidRPr="008C26A6">
        <w:t xml:space="preserve"> in 5 mL of citrate </w:t>
      </w:r>
      <w:r>
        <w:t>[</w:t>
      </w:r>
      <w:r w:rsidRPr="008C26A6">
        <w:t>50 mM</w:t>
      </w:r>
      <w:r>
        <w:t>]</w:t>
      </w:r>
      <w:r w:rsidRPr="008C26A6">
        <w:t xml:space="preserve">–phosphate </w:t>
      </w:r>
      <w:r>
        <w:t>[</w:t>
      </w:r>
      <w:r w:rsidRPr="008C26A6">
        <w:t>100 mM</w:t>
      </w:r>
      <w:r>
        <w:t>]</w:t>
      </w:r>
      <w:r w:rsidRPr="008C26A6">
        <w:t xml:space="preserve"> buffer, pH 5) was added to each well. The plates were incubated for 20 min at 25 </w:t>
      </w:r>
      <w:r>
        <w:rPr>
          <w:rFonts w:cs="Times New Roman"/>
        </w:rPr>
        <w:t>°</w:t>
      </w:r>
      <w:r w:rsidRPr="008C26A6">
        <w:t xml:space="preserve">C in </w:t>
      </w:r>
      <w:r>
        <w:t xml:space="preserve">a </w:t>
      </w:r>
      <w:r w:rsidRPr="008C26A6">
        <w:t xml:space="preserve">dark chamber. </w:t>
      </w:r>
      <w:r>
        <w:t>Subsequently</w:t>
      </w:r>
      <w:r w:rsidRPr="008C26A6">
        <w:t>, the reaction was stopped with 50 µL of 2</w:t>
      </w:r>
      <w:r>
        <w:t xml:space="preserve"> </w:t>
      </w:r>
      <w:r w:rsidRPr="008C26A6">
        <w:t>N H</w:t>
      </w:r>
      <w:r w:rsidRPr="008C26A6">
        <w:rPr>
          <w:vertAlign w:val="subscript"/>
        </w:rPr>
        <w:t>2</w:t>
      </w:r>
      <w:r w:rsidRPr="008C26A6">
        <w:t>SO</w:t>
      </w:r>
      <w:r w:rsidRPr="008C26A6">
        <w:rPr>
          <w:vertAlign w:val="subscript"/>
        </w:rPr>
        <w:t>4</w:t>
      </w:r>
      <w:r>
        <w:t>,</w:t>
      </w:r>
      <w:r w:rsidRPr="008C26A6">
        <w:t xml:space="preserve"> and </w:t>
      </w:r>
      <w:r>
        <w:t xml:space="preserve">the </w:t>
      </w:r>
      <w:r w:rsidRPr="008C26A6">
        <w:t xml:space="preserve">optical density (OD) was recorded at 492 nm using </w:t>
      </w:r>
      <w:r>
        <w:t xml:space="preserve">a </w:t>
      </w:r>
      <w:r w:rsidRPr="008C26A6">
        <w:t xml:space="preserve">VERSA max microplate reader (Perkin Elmer, USA). </w:t>
      </w:r>
      <w:r>
        <w:t>Results were</w:t>
      </w:r>
      <w:r w:rsidRPr="008C26A6">
        <w:t xml:space="preserve"> expressed as percentage inhibition</w:t>
      </w:r>
      <w:r>
        <w:t xml:space="preserve"> according to the</w:t>
      </w:r>
      <w:r w:rsidRPr="008C26A6">
        <w:t xml:space="preserve"> following formula: PI = 100</w:t>
      </w:r>
      <w:r>
        <w:t xml:space="preserve"> </w:t>
      </w:r>
      <w:r w:rsidRPr="008C26A6">
        <w:t>- (mean OD</w:t>
      </w:r>
      <w:r w:rsidRPr="008C26A6">
        <w:rPr>
          <w:vertAlign w:val="subscript"/>
        </w:rPr>
        <w:t>492</w:t>
      </w:r>
      <w:r w:rsidRPr="008C26A6">
        <w:t xml:space="preserve"> of test serum </w:t>
      </w:r>
      <w:r>
        <w:rPr>
          <w:rFonts w:cs="Times New Roman"/>
        </w:rPr>
        <w:t>×</w:t>
      </w:r>
      <w:r w:rsidRPr="008C26A6">
        <w:t xml:space="preserve"> 100)/ (mean OD</w:t>
      </w:r>
      <w:r w:rsidRPr="008C26A6">
        <w:rPr>
          <w:vertAlign w:val="subscript"/>
        </w:rPr>
        <w:t>492</w:t>
      </w:r>
      <w:r>
        <w:t xml:space="preserve"> of MAb</w:t>
      </w:r>
      <w:r w:rsidRPr="008C26A6">
        <w:t>).</w:t>
      </w:r>
    </w:p>
    <w:p w:rsidR="000B7CD4" w:rsidRPr="00ED027C" w:rsidRDefault="000B7CD4" w:rsidP="000B7CD4">
      <w:pPr>
        <w:pStyle w:val="Heading1"/>
        <w:numPr>
          <w:ilvl w:val="0"/>
          <w:numId w:val="14"/>
        </w:numPr>
        <w:jc w:val="both"/>
      </w:pPr>
      <w:r w:rsidRPr="00ED027C">
        <w:t xml:space="preserve">Competitive ELISA for quantification of specific antibody against </w:t>
      </w:r>
      <w:r w:rsidRPr="00ED027C">
        <w:rPr>
          <w:i/>
        </w:rPr>
        <w:t xml:space="preserve">S. parauberis </w:t>
      </w:r>
      <w:r w:rsidRPr="00ED027C">
        <w:t xml:space="preserve">type I </w:t>
      </w:r>
    </w:p>
    <w:p w:rsidR="000B7CD4" w:rsidRDefault="000B7CD4" w:rsidP="000B7CD4">
      <w:pPr>
        <w:spacing w:line="276" w:lineRule="auto"/>
        <w:jc w:val="both"/>
      </w:pPr>
      <w:r w:rsidRPr="008C26A6">
        <w:t>Specific antibody (anti-</w:t>
      </w:r>
      <w:r w:rsidRPr="00ED027C">
        <w:rPr>
          <w:i/>
        </w:rPr>
        <w:t xml:space="preserve"> </w:t>
      </w:r>
      <w:r w:rsidRPr="003243BE">
        <w:rPr>
          <w:i/>
        </w:rPr>
        <w:t xml:space="preserve">S. parauberis </w:t>
      </w:r>
      <w:r w:rsidRPr="003243BE">
        <w:t>type I</w:t>
      </w:r>
      <w:r w:rsidRPr="008C26A6">
        <w:t xml:space="preserve"> Ig) quantification in the fish sera of the experimental fish groups was done by </w:t>
      </w:r>
      <w:r>
        <w:t>c-ELISA according to Kole et al. (16)</w:t>
      </w:r>
      <w:r w:rsidRPr="008C26A6">
        <w:t xml:space="preserve"> with </w:t>
      </w:r>
      <w:r>
        <w:t>necessary</w:t>
      </w:r>
      <w:r w:rsidRPr="008C26A6">
        <w:t xml:space="preserve"> modifications.</w:t>
      </w:r>
      <w:r>
        <w:t xml:space="preserve"> </w:t>
      </w:r>
      <w:r w:rsidRPr="008C26A6">
        <w:t xml:space="preserve">Briefly, 100 µL of </w:t>
      </w:r>
      <w:r w:rsidRPr="003243BE">
        <w:t>harvested bacteria diluted in PBS (adjusted to OD</w:t>
      </w:r>
      <w:r w:rsidRPr="003243BE">
        <w:rPr>
          <w:vertAlign w:val="subscript"/>
        </w:rPr>
        <w:t xml:space="preserve">540 </w:t>
      </w:r>
      <w:r w:rsidRPr="003243BE">
        <w:t>= 1)</w:t>
      </w:r>
      <w:r w:rsidRPr="008C26A6">
        <w:t xml:space="preserve"> was coated in triplicate in 96-well ELISA plates (Nunc, Denmark) </w:t>
      </w:r>
      <w:r>
        <w:t xml:space="preserve">and incubated at 4 </w:t>
      </w:r>
      <w:r>
        <w:rPr>
          <w:rFonts w:cs="Times New Roman"/>
        </w:rPr>
        <w:t>°</w:t>
      </w:r>
      <w:r>
        <w:t xml:space="preserve">C overnight. Then, 50 </w:t>
      </w:r>
      <w:r w:rsidRPr="008C26A6">
        <w:t>µL</w:t>
      </w:r>
      <w:r>
        <w:t xml:space="preserve"> of poly L-lysine (Sigma-Aldrich, USA) solution (diluted at 1:4000 in PBS) was added, and plates were incubated at 50 </w:t>
      </w:r>
      <w:r>
        <w:rPr>
          <w:rFonts w:cs="Times New Roman"/>
        </w:rPr>
        <w:t>°</w:t>
      </w:r>
      <w:r>
        <w:t>C</w:t>
      </w:r>
      <w:r w:rsidRPr="008C26A6">
        <w:t xml:space="preserve"> </w:t>
      </w:r>
      <w:r>
        <w:t xml:space="preserve">for 1 h. </w:t>
      </w:r>
      <w:r w:rsidRPr="008C26A6">
        <w:t xml:space="preserve">The plate was </w:t>
      </w:r>
      <w:r>
        <w:t xml:space="preserve">then </w:t>
      </w:r>
      <w:r w:rsidRPr="008C26A6">
        <w:t>washed with wash buffer (PBS-T, 0.05% tween20 in PBS</w:t>
      </w:r>
      <w:r>
        <w:t>,</w:t>
      </w:r>
      <w:r w:rsidRPr="008C26A6">
        <w:t xml:space="preserve"> pH 7.4) </w:t>
      </w:r>
      <w:r>
        <w:t>three times</w:t>
      </w:r>
      <w:r w:rsidRPr="008C26A6">
        <w:t xml:space="preserve"> for 5 min</w:t>
      </w:r>
      <w:r>
        <w:t>,</w:t>
      </w:r>
      <w:r w:rsidRPr="008C26A6">
        <w:t xml:space="preserve"> blocked </w:t>
      </w:r>
      <w:r>
        <w:t>with</w:t>
      </w:r>
      <w:r w:rsidRPr="008C26A6">
        <w:t xml:space="preserve"> 3</w:t>
      </w:r>
      <w:r>
        <w:t>8</w:t>
      </w:r>
      <w:r w:rsidRPr="008C26A6">
        <w:t xml:space="preserve">0 µL blocking buffer (3% </w:t>
      </w:r>
      <w:r>
        <w:t xml:space="preserve">BSA </w:t>
      </w:r>
      <w:r w:rsidRPr="008C26A6">
        <w:t>solution in PBS-T)</w:t>
      </w:r>
      <w:r>
        <w:t>,</w:t>
      </w:r>
      <w:r w:rsidRPr="008C26A6">
        <w:t xml:space="preserve"> and incubated further for 1 h at </w:t>
      </w:r>
      <w:r>
        <w:t>37</w:t>
      </w:r>
      <w:r w:rsidRPr="008C26A6">
        <w:t xml:space="preserve"> </w:t>
      </w:r>
      <w:r>
        <w:rPr>
          <w:rFonts w:cs="Times New Roman"/>
        </w:rPr>
        <w:t>°</w:t>
      </w:r>
      <w:r w:rsidRPr="008C26A6">
        <w:t xml:space="preserve">C. The plates were washed with washing buffer </w:t>
      </w:r>
      <w:r>
        <w:t>three more times</w:t>
      </w:r>
      <w:r w:rsidRPr="008C26A6">
        <w:t xml:space="preserve"> for 5 min each. </w:t>
      </w:r>
      <w:r>
        <w:t xml:space="preserve">Serum (100 </w:t>
      </w:r>
      <w:r>
        <w:rPr>
          <w:rFonts w:cs="Times New Roman"/>
        </w:rPr>
        <w:t>μ</w:t>
      </w:r>
      <w:r>
        <w:t>L; standardized dilution at 1:40</w:t>
      </w:r>
      <w:r w:rsidRPr="008C26A6">
        <w:t xml:space="preserve"> in 1% BSA in PBS-T) sampled from </w:t>
      </w:r>
      <w:r>
        <w:t>two</w:t>
      </w:r>
      <w:r w:rsidRPr="008C26A6">
        <w:t xml:space="preserve"> experimental groups at different time points </w:t>
      </w:r>
      <w:r>
        <w:t>was</w:t>
      </w:r>
      <w:r w:rsidRPr="008C26A6">
        <w:t xml:space="preserve"> added </w:t>
      </w:r>
      <w:r>
        <w:t>to</w:t>
      </w:r>
      <w:r w:rsidRPr="008C26A6">
        <w:t xml:space="preserve"> different wells and incubated in an ELISA </w:t>
      </w:r>
      <w:r w:rsidRPr="008C26A6">
        <w:lastRenderedPageBreak/>
        <w:t xml:space="preserve">shaker at </w:t>
      </w:r>
      <w:r>
        <w:t>25</w:t>
      </w:r>
      <w:r w:rsidRPr="008C26A6">
        <w:t xml:space="preserve"> </w:t>
      </w:r>
      <w:r>
        <w:rPr>
          <w:rFonts w:cs="Times New Roman"/>
        </w:rPr>
        <w:t>°</w:t>
      </w:r>
      <w:r>
        <w:t>C</w:t>
      </w:r>
      <w:r w:rsidRPr="008C26A6">
        <w:t xml:space="preserve"> for 1 h. Subsequently, 100 µL of diluted (1:</w:t>
      </w:r>
      <w:r>
        <w:t>2</w:t>
      </w:r>
      <w:r w:rsidRPr="008C26A6">
        <w:t xml:space="preserve">00 in 1% BSA in PBS-T) </w:t>
      </w:r>
      <w:r>
        <w:t xml:space="preserve">rabbit </w:t>
      </w:r>
      <w:r w:rsidRPr="003243BE">
        <w:t xml:space="preserve">polyclonal antibody (PAb) against </w:t>
      </w:r>
      <w:r w:rsidRPr="003243BE">
        <w:rPr>
          <w:i/>
        </w:rPr>
        <w:t xml:space="preserve">S. parauberis </w:t>
      </w:r>
      <w:r w:rsidRPr="003243BE">
        <w:t>type I</w:t>
      </w:r>
      <w:r>
        <w:t xml:space="preserve"> (Enbiogene, Korea)</w:t>
      </w:r>
      <w:r w:rsidRPr="008C26A6">
        <w:t xml:space="preserve"> was added to each well and kept at 4 </w:t>
      </w:r>
      <w:r>
        <w:rPr>
          <w:rFonts w:cs="Times New Roman"/>
        </w:rPr>
        <w:t>°</w:t>
      </w:r>
      <w:r w:rsidRPr="008C26A6">
        <w:t xml:space="preserve">C overnight. </w:t>
      </w:r>
      <w:r>
        <w:t>To read PAbs</w:t>
      </w:r>
      <w:r w:rsidRPr="008C26A6">
        <w:t xml:space="preserve">, 100 µL of </w:t>
      </w:r>
      <w:r>
        <w:t>P</w:t>
      </w:r>
      <w:r w:rsidRPr="008C26A6">
        <w:t>Ab (1:</w:t>
      </w:r>
      <w:r>
        <w:t>2</w:t>
      </w:r>
      <w:r w:rsidRPr="008C26A6">
        <w:t>00)</w:t>
      </w:r>
      <w:r>
        <w:t xml:space="preserve"> alone</w:t>
      </w:r>
      <w:r w:rsidRPr="008C26A6">
        <w:t xml:space="preserve"> was added </w:t>
      </w:r>
      <w:r>
        <w:t>to three wells</w:t>
      </w:r>
      <w:r w:rsidRPr="008C26A6">
        <w:t xml:space="preserve"> of each plate. The plates were washed </w:t>
      </w:r>
      <w:r>
        <w:t>three times</w:t>
      </w:r>
      <w:r w:rsidRPr="008C26A6">
        <w:t xml:space="preserve"> </w:t>
      </w:r>
      <w:r>
        <w:t>with</w:t>
      </w:r>
      <w:r w:rsidRPr="008C26A6">
        <w:t xml:space="preserve"> wash buffer on the following day and incubated with 100 µL of secondary antibody (Goat anti-</w:t>
      </w:r>
      <w:r>
        <w:t>rabbit</w:t>
      </w:r>
      <w:r w:rsidRPr="008C26A6">
        <w:t xml:space="preserve"> HRP conjugate, </w:t>
      </w:r>
      <w:r>
        <w:t>GW Vitek</w:t>
      </w:r>
      <w:r w:rsidRPr="008C26A6">
        <w:t xml:space="preserve">, </w:t>
      </w:r>
      <w:r>
        <w:t>Korea</w:t>
      </w:r>
      <w:r w:rsidRPr="008C26A6">
        <w:t xml:space="preserve">), </w:t>
      </w:r>
      <w:r>
        <w:t xml:space="preserve">which was </w:t>
      </w:r>
      <w:r w:rsidRPr="008C26A6">
        <w:t xml:space="preserve">freshly diluted in PBS-T </w:t>
      </w:r>
      <w:r>
        <w:t>at</w:t>
      </w:r>
      <w:r w:rsidRPr="008C26A6">
        <w:t xml:space="preserve"> 1:</w:t>
      </w:r>
      <w:r>
        <w:t>4</w:t>
      </w:r>
      <w:r w:rsidRPr="008C26A6">
        <w:t xml:space="preserve">000, at </w:t>
      </w:r>
      <w:r>
        <w:t>37</w:t>
      </w:r>
      <w:r w:rsidRPr="008C26A6">
        <w:t xml:space="preserve"> </w:t>
      </w:r>
      <w:r>
        <w:rPr>
          <w:rFonts w:cs="Times New Roman"/>
        </w:rPr>
        <w:t>°</w:t>
      </w:r>
      <w:r w:rsidRPr="008C26A6">
        <w:t>C for 1 h. The plates were thoroughly washed with PBS-T five times</w:t>
      </w:r>
      <w:r>
        <w:t>,</w:t>
      </w:r>
      <w:r w:rsidRPr="008C26A6">
        <w:t xml:space="preserve"> and </w:t>
      </w:r>
      <w:r>
        <w:t>OPD</w:t>
      </w:r>
      <w:r w:rsidRPr="008C26A6">
        <w:t xml:space="preserve"> solution (100 mg/m</w:t>
      </w:r>
      <w:r>
        <w:t>L</w:t>
      </w:r>
      <w:r w:rsidRPr="008C26A6">
        <w:t xml:space="preserve"> of </w:t>
      </w:r>
      <w:r w:rsidRPr="008C26A6">
        <w:rPr>
          <w:iCs/>
        </w:rPr>
        <w:t>OPD</w:t>
      </w:r>
      <w:r w:rsidRPr="008C26A6">
        <w:t xml:space="preserve"> and 40 μL of H</w:t>
      </w:r>
      <w:r w:rsidRPr="008C26A6">
        <w:rPr>
          <w:vertAlign w:val="subscript"/>
        </w:rPr>
        <w:t>2</w:t>
      </w:r>
      <w:r w:rsidRPr="008C26A6">
        <w:t>O</w:t>
      </w:r>
      <w:r w:rsidRPr="008C26A6">
        <w:rPr>
          <w:vertAlign w:val="subscript"/>
        </w:rPr>
        <w:t>2</w:t>
      </w:r>
      <w:r w:rsidRPr="008C26A6">
        <w:t xml:space="preserve"> </w:t>
      </w:r>
      <w:r>
        <w:t>[</w:t>
      </w:r>
      <w:r w:rsidRPr="008C26A6">
        <w:t>30% v/v</w:t>
      </w:r>
      <w:r>
        <w:t>]</w:t>
      </w:r>
      <w:r w:rsidRPr="008C26A6">
        <w:t xml:space="preserve"> in 5 mL of citrate </w:t>
      </w:r>
      <w:r>
        <w:t>[</w:t>
      </w:r>
      <w:r w:rsidRPr="008C26A6">
        <w:t>50 mM</w:t>
      </w:r>
      <w:r>
        <w:t>]</w:t>
      </w:r>
      <w:r w:rsidRPr="008C26A6">
        <w:t xml:space="preserve">–phosphate </w:t>
      </w:r>
      <w:r>
        <w:t>[</w:t>
      </w:r>
      <w:r w:rsidRPr="008C26A6">
        <w:t>100 mM</w:t>
      </w:r>
      <w:r>
        <w:t>]</w:t>
      </w:r>
      <w:r w:rsidRPr="008C26A6">
        <w:t xml:space="preserve"> buffer, pH 5) was added to each well. The plates were incubated for 20 min at 25 </w:t>
      </w:r>
      <w:r>
        <w:rPr>
          <w:rFonts w:cs="Times New Roman"/>
        </w:rPr>
        <w:t>°</w:t>
      </w:r>
      <w:r w:rsidRPr="008C26A6">
        <w:t xml:space="preserve">C in </w:t>
      </w:r>
      <w:r>
        <w:t xml:space="preserve">a </w:t>
      </w:r>
      <w:r w:rsidRPr="008C26A6">
        <w:t xml:space="preserve">dark chamber. </w:t>
      </w:r>
      <w:r>
        <w:t>Subsequently</w:t>
      </w:r>
      <w:r w:rsidRPr="008C26A6">
        <w:t>, the reaction was stopped with 50 µL of 2</w:t>
      </w:r>
      <w:r>
        <w:t xml:space="preserve"> </w:t>
      </w:r>
      <w:r w:rsidRPr="008C26A6">
        <w:t>N H</w:t>
      </w:r>
      <w:r w:rsidRPr="008C26A6">
        <w:rPr>
          <w:vertAlign w:val="subscript"/>
        </w:rPr>
        <w:t>2</w:t>
      </w:r>
      <w:r w:rsidRPr="008C26A6">
        <w:t>SO</w:t>
      </w:r>
      <w:r w:rsidRPr="008C26A6">
        <w:rPr>
          <w:vertAlign w:val="subscript"/>
        </w:rPr>
        <w:t>4</w:t>
      </w:r>
      <w:r>
        <w:t>,</w:t>
      </w:r>
      <w:r w:rsidRPr="008C26A6">
        <w:t xml:space="preserve"> and</w:t>
      </w:r>
      <w:r>
        <w:t xml:space="preserve"> the OD at 492 nm was recorded using a </w:t>
      </w:r>
      <w:r w:rsidRPr="008C26A6">
        <w:t>VERSA max microplate reader (Perkin Elmer, USA). The result was expressed as percentage inhibition</w:t>
      </w:r>
      <w:r>
        <w:t xml:space="preserve"> according to the </w:t>
      </w:r>
      <w:r w:rsidRPr="008C26A6">
        <w:t>following formula: PI = 100</w:t>
      </w:r>
      <w:r>
        <w:t xml:space="preserve"> </w:t>
      </w:r>
      <w:r w:rsidRPr="008C26A6">
        <w:t>- (mean OD</w:t>
      </w:r>
      <w:r w:rsidRPr="008C26A6">
        <w:rPr>
          <w:vertAlign w:val="subscript"/>
        </w:rPr>
        <w:t>492</w:t>
      </w:r>
      <w:r w:rsidRPr="008C26A6">
        <w:t xml:space="preserve"> of test serum </w:t>
      </w:r>
      <w:r>
        <w:rPr>
          <w:rFonts w:cs="Times New Roman"/>
        </w:rPr>
        <w:t>×</w:t>
      </w:r>
      <w:r w:rsidRPr="008C26A6">
        <w:t xml:space="preserve"> 100)/ (mean OD</w:t>
      </w:r>
      <w:r w:rsidRPr="008C26A6">
        <w:rPr>
          <w:vertAlign w:val="subscript"/>
        </w:rPr>
        <w:t>492</w:t>
      </w:r>
      <w:r w:rsidRPr="008C26A6">
        <w:t xml:space="preserve"> of </w:t>
      </w:r>
      <w:r>
        <w:t>PAb</w:t>
      </w:r>
      <w:r w:rsidRPr="008C26A6">
        <w:t>).</w:t>
      </w:r>
    </w:p>
    <w:p w:rsidR="000B7CD4" w:rsidRPr="00ED027C" w:rsidRDefault="000B7CD4" w:rsidP="000B7CD4">
      <w:pPr>
        <w:pStyle w:val="Heading1"/>
        <w:numPr>
          <w:ilvl w:val="0"/>
          <w:numId w:val="14"/>
        </w:numPr>
        <w:jc w:val="both"/>
      </w:pPr>
      <w:r w:rsidRPr="00ED027C">
        <w:t xml:space="preserve">Competitive ELISA for quantification of specific antibody against </w:t>
      </w:r>
      <w:r w:rsidRPr="00ED027C">
        <w:rPr>
          <w:i/>
        </w:rPr>
        <w:t>M. avidus</w:t>
      </w:r>
      <w:r w:rsidRPr="00ED027C">
        <w:t xml:space="preserve"> </w:t>
      </w:r>
    </w:p>
    <w:p w:rsidR="000B7CD4" w:rsidRPr="00055F9C" w:rsidRDefault="000B7CD4" w:rsidP="000B7CD4">
      <w:pPr>
        <w:spacing w:line="276" w:lineRule="auto"/>
        <w:jc w:val="both"/>
      </w:pPr>
      <w:r w:rsidRPr="008C26A6">
        <w:t>Specific antibody (anti-</w:t>
      </w:r>
      <w:r w:rsidRPr="00ED027C">
        <w:rPr>
          <w:i/>
        </w:rPr>
        <w:t xml:space="preserve"> </w:t>
      </w:r>
      <w:r w:rsidRPr="003243BE">
        <w:rPr>
          <w:i/>
        </w:rPr>
        <w:t>M. avidus</w:t>
      </w:r>
      <w:r w:rsidRPr="008C26A6">
        <w:t xml:space="preserve"> Ig) quantification in the fish sera of the experimental fish groups was done </w:t>
      </w:r>
      <w:r>
        <w:t>using c-ELISA according to Kole et al. (16)</w:t>
      </w:r>
      <w:r w:rsidRPr="008C26A6">
        <w:t xml:space="preserve"> with </w:t>
      </w:r>
      <w:r>
        <w:t xml:space="preserve">necessary </w:t>
      </w:r>
      <w:r w:rsidRPr="008C26A6">
        <w:t>modifications.</w:t>
      </w:r>
      <w:r>
        <w:t xml:space="preserve"> </w:t>
      </w:r>
      <w:r w:rsidRPr="008C26A6">
        <w:t xml:space="preserve">Briefly, 100 µL of </w:t>
      </w:r>
      <w:r w:rsidRPr="003243BE">
        <w:rPr>
          <w:rFonts w:eastAsia="Batang"/>
          <w:i/>
        </w:rPr>
        <w:t>M. avidus</w:t>
      </w:r>
      <w:r w:rsidRPr="003243BE">
        <w:rPr>
          <w:rFonts w:eastAsia="Batang"/>
        </w:rPr>
        <w:t xml:space="preserve"> (</w:t>
      </w:r>
      <w:r w:rsidRPr="003243BE">
        <w:rPr>
          <w:rFonts w:eastAsia="Gulim"/>
        </w:rPr>
        <w:t>4.4</w:t>
      </w:r>
      <w:r>
        <w:rPr>
          <w:rFonts w:eastAsia="Gulim"/>
        </w:rPr>
        <w:t xml:space="preserve"> </w:t>
      </w:r>
      <w:r w:rsidRPr="003243BE">
        <w:rPr>
          <w:rFonts w:eastAsia="Gulim"/>
        </w:rPr>
        <w:t>×</w:t>
      </w:r>
      <w:r>
        <w:rPr>
          <w:rFonts w:eastAsia="Gulim"/>
        </w:rPr>
        <w:t xml:space="preserve"> </w:t>
      </w:r>
      <w:r w:rsidRPr="003243BE">
        <w:rPr>
          <w:rFonts w:eastAsia="Gulim"/>
        </w:rPr>
        <w:t>10</w:t>
      </w:r>
      <w:r w:rsidRPr="003243BE">
        <w:rPr>
          <w:rFonts w:eastAsia="Gulim"/>
          <w:vertAlign w:val="superscript"/>
        </w:rPr>
        <w:t xml:space="preserve">4 </w:t>
      </w:r>
      <w:r w:rsidRPr="003243BE">
        <w:rPr>
          <w:rFonts w:eastAsia="Gulim"/>
        </w:rPr>
        <w:t>cells</w:t>
      </w:r>
      <w:r w:rsidRPr="003243BE">
        <w:rPr>
          <w:rFonts w:eastAsia="Batang"/>
        </w:rPr>
        <w:t>/mL)</w:t>
      </w:r>
      <w:r w:rsidRPr="008C26A6">
        <w:t xml:space="preserve"> diluted in coating buffer (carbonate–bicarbonate buffer, pH 9.6) was coated in triplicate in 96-well ELISA plates (Nunc, Denmark) and incubated at 4 </w:t>
      </w:r>
      <w:r>
        <w:rPr>
          <w:rFonts w:cs="Times New Roman"/>
        </w:rPr>
        <w:t>°</w:t>
      </w:r>
      <w:r w:rsidRPr="008C26A6">
        <w:t>C overnight. The plate was washed with wash buffer (PBS-T, 0.05% tween20 in PBS</w:t>
      </w:r>
      <w:r>
        <w:t>,</w:t>
      </w:r>
      <w:r w:rsidRPr="008C26A6">
        <w:t xml:space="preserve"> pH 7.4) </w:t>
      </w:r>
      <w:r>
        <w:t>three times</w:t>
      </w:r>
      <w:r w:rsidRPr="008C26A6">
        <w:t xml:space="preserve"> for 5 min</w:t>
      </w:r>
      <w:r>
        <w:t xml:space="preserve">, </w:t>
      </w:r>
      <w:r w:rsidRPr="008C26A6">
        <w:t xml:space="preserve">blocked </w:t>
      </w:r>
      <w:r>
        <w:t>with</w:t>
      </w:r>
      <w:r w:rsidRPr="008C26A6">
        <w:t xml:space="preserve"> 3</w:t>
      </w:r>
      <w:r>
        <w:t>8</w:t>
      </w:r>
      <w:r w:rsidRPr="008C26A6">
        <w:t xml:space="preserve">0 µL blocking buffer (3% </w:t>
      </w:r>
      <w:r>
        <w:t>BSA</w:t>
      </w:r>
      <w:r w:rsidRPr="008C26A6">
        <w:t xml:space="preserve"> solution in PBS-T)</w:t>
      </w:r>
      <w:r>
        <w:t>,</w:t>
      </w:r>
      <w:r w:rsidRPr="008C26A6">
        <w:t xml:space="preserve"> and incubated further for 1 h at </w:t>
      </w:r>
      <w:r>
        <w:t>37</w:t>
      </w:r>
      <w:r w:rsidRPr="008C26A6">
        <w:t xml:space="preserve"> </w:t>
      </w:r>
      <w:r>
        <w:rPr>
          <w:rFonts w:cs="Times New Roman"/>
        </w:rPr>
        <w:t>°</w:t>
      </w:r>
      <w:r w:rsidRPr="008C26A6">
        <w:t xml:space="preserve">C. The plates were washed </w:t>
      </w:r>
      <w:r>
        <w:t xml:space="preserve">three more times </w:t>
      </w:r>
      <w:r w:rsidRPr="008C26A6">
        <w:t xml:space="preserve">with washing buffer for 5 min each. </w:t>
      </w:r>
      <w:r>
        <w:t xml:space="preserve">Serum (100 </w:t>
      </w:r>
      <w:r>
        <w:rPr>
          <w:rFonts w:cs="Times New Roman"/>
        </w:rPr>
        <w:t>μ</w:t>
      </w:r>
      <w:r>
        <w:t>L; standardized dilution at 1:40</w:t>
      </w:r>
      <w:r w:rsidRPr="008C26A6">
        <w:t xml:space="preserve"> in 1% BSA in PBS-T) </w:t>
      </w:r>
      <w:r>
        <w:t>from two</w:t>
      </w:r>
      <w:r w:rsidRPr="008C26A6">
        <w:t xml:space="preserve"> experimental groups at different time points </w:t>
      </w:r>
      <w:r>
        <w:t>was</w:t>
      </w:r>
      <w:r w:rsidRPr="008C26A6">
        <w:t xml:space="preserve"> added </w:t>
      </w:r>
      <w:r>
        <w:t>to</w:t>
      </w:r>
      <w:r w:rsidRPr="008C26A6">
        <w:t xml:space="preserve"> different wells and incubated in an ELISA shaker at </w:t>
      </w:r>
      <w:r>
        <w:t>25</w:t>
      </w:r>
      <w:r w:rsidRPr="008C26A6">
        <w:t xml:space="preserve"> </w:t>
      </w:r>
      <w:r>
        <w:rPr>
          <w:rFonts w:cs="Times New Roman"/>
        </w:rPr>
        <w:t>°</w:t>
      </w:r>
      <w:r>
        <w:t xml:space="preserve">C </w:t>
      </w:r>
      <w:r w:rsidRPr="008C26A6">
        <w:t>for 1 h. Subsequently, 100 µL of diluted (1:</w:t>
      </w:r>
      <w:r>
        <w:t>2</w:t>
      </w:r>
      <w:r w:rsidRPr="008C26A6">
        <w:t xml:space="preserve">00 in 1% BSA in PBS-T) </w:t>
      </w:r>
      <w:r>
        <w:t>rabbit PAb</w:t>
      </w:r>
      <w:r w:rsidRPr="003243BE">
        <w:t xml:space="preserve"> against </w:t>
      </w:r>
      <w:r w:rsidRPr="003243BE">
        <w:rPr>
          <w:rFonts w:eastAsia="Batang"/>
          <w:i/>
        </w:rPr>
        <w:t>M. avidus</w:t>
      </w:r>
      <w:r w:rsidRPr="003243BE">
        <w:rPr>
          <w:rFonts w:eastAsia="Batang"/>
        </w:rPr>
        <w:t xml:space="preserve"> YS2 strain</w:t>
      </w:r>
      <w:r>
        <w:t xml:space="preserve"> </w:t>
      </w:r>
      <w:r w:rsidRPr="003243BE">
        <w:rPr>
          <w:rFonts w:eastAsia="Batang"/>
        </w:rPr>
        <w:t>(previously developed in our laboratory)</w:t>
      </w:r>
      <w:r w:rsidRPr="008C26A6">
        <w:t xml:space="preserve"> was added to each well and kept at 4 </w:t>
      </w:r>
      <w:r>
        <w:rPr>
          <w:rFonts w:cs="Times New Roman"/>
        </w:rPr>
        <w:t>°</w:t>
      </w:r>
      <w:r w:rsidRPr="008C26A6">
        <w:t xml:space="preserve">C overnight. </w:t>
      </w:r>
      <w:r>
        <w:t>To read PAbs</w:t>
      </w:r>
      <w:r w:rsidRPr="008C26A6">
        <w:t xml:space="preserve">, 100 µL of </w:t>
      </w:r>
      <w:r>
        <w:t>P</w:t>
      </w:r>
      <w:r w:rsidRPr="008C26A6">
        <w:t>Ab (1:</w:t>
      </w:r>
      <w:r>
        <w:t>2</w:t>
      </w:r>
      <w:r w:rsidRPr="008C26A6">
        <w:t xml:space="preserve">00) </w:t>
      </w:r>
      <w:r>
        <w:t xml:space="preserve">alone was added to three wells </w:t>
      </w:r>
      <w:r w:rsidRPr="008C26A6">
        <w:t xml:space="preserve">of each plate. The plates were washed </w:t>
      </w:r>
      <w:r>
        <w:t>three times with</w:t>
      </w:r>
      <w:r w:rsidRPr="008C26A6">
        <w:t xml:space="preserve"> wash buffer on the following day and incubated with 100 µL of secondary antibody (Goat anti-</w:t>
      </w:r>
      <w:r>
        <w:t>rabbit</w:t>
      </w:r>
      <w:r w:rsidRPr="008C26A6">
        <w:t xml:space="preserve"> HRP conjugate, </w:t>
      </w:r>
      <w:r>
        <w:t>GW Vitek</w:t>
      </w:r>
      <w:r w:rsidRPr="008C26A6">
        <w:t xml:space="preserve">, </w:t>
      </w:r>
      <w:r>
        <w:t>Korea</w:t>
      </w:r>
      <w:r w:rsidRPr="008C26A6">
        <w:t xml:space="preserve">), </w:t>
      </w:r>
      <w:r>
        <w:t xml:space="preserve">which was </w:t>
      </w:r>
      <w:r w:rsidRPr="008C26A6">
        <w:t xml:space="preserve">freshly diluted in PBS-T </w:t>
      </w:r>
      <w:r>
        <w:t>at</w:t>
      </w:r>
      <w:r w:rsidRPr="008C26A6">
        <w:t xml:space="preserve"> 1:</w:t>
      </w:r>
      <w:r>
        <w:t>4</w:t>
      </w:r>
      <w:r w:rsidRPr="008C26A6">
        <w:t xml:space="preserve">000, at </w:t>
      </w:r>
      <w:r>
        <w:t>37</w:t>
      </w:r>
      <w:r w:rsidRPr="008C26A6">
        <w:t xml:space="preserve"> </w:t>
      </w:r>
      <w:r>
        <w:rPr>
          <w:rFonts w:cs="Times New Roman"/>
        </w:rPr>
        <w:t>°</w:t>
      </w:r>
      <w:r w:rsidRPr="008C26A6">
        <w:t>C for 1 h. The plates were thoroughly washed with PBS-T five times</w:t>
      </w:r>
      <w:r>
        <w:t xml:space="preserve">, and OPD solution </w:t>
      </w:r>
      <w:r w:rsidRPr="008C26A6">
        <w:t>(100 mg/m</w:t>
      </w:r>
      <w:r>
        <w:t>L</w:t>
      </w:r>
      <w:r w:rsidRPr="008C26A6">
        <w:t xml:space="preserve"> of </w:t>
      </w:r>
      <w:r w:rsidRPr="008C26A6">
        <w:rPr>
          <w:iCs/>
        </w:rPr>
        <w:t>OPD</w:t>
      </w:r>
      <w:r w:rsidRPr="008C26A6">
        <w:t xml:space="preserve"> and 40 μL of H</w:t>
      </w:r>
      <w:r w:rsidRPr="008C26A6">
        <w:rPr>
          <w:vertAlign w:val="subscript"/>
        </w:rPr>
        <w:t>2</w:t>
      </w:r>
      <w:r w:rsidRPr="008C26A6">
        <w:t>O</w:t>
      </w:r>
      <w:r w:rsidRPr="008C26A6">
        <w:rPr>
          <w:vertAlign w:val="subscript"/>
        </w:rPr>
        <w:t>2</w:t>
      </w:r>
      <w:r w:rsidRPr="008C26A6">
        <w:t xml:space="preserve"> </w:t>
      </w:r>
      <w:r>
        <w:t>[</w:t>
      </w:r>
      <w:r w:rsidRPr="008C26A6">
        <w:t>30% v/v</w:t>
      </w:r>
      <w:r>
        <w:t>]</w:t>
      </w:r>
      <w:r w:rsidRPr="008C26A6">
        <w:t xml:space="preserve"> in 5 mL of citrate </w:t>
      </w:r>
      <w:r>
        <w:t>[</w:t>
      </w:r>
      <w:r w:rsidRPr="008C26A6">
        <w:t>50 mM</w:t>
      </w:r>
      <w:r>
        <w:t>]</w:t>
      </w:r>
      <w:r w:rsidRPr="008C26A6">
        <w:t xml:space="preserve">–phosphate </w:t>
      </w:r>
      <w:r>
        <w:t>[</w:t>
      </w:r>
      <w:r w:rsidRPr="008C26A6">
        <w:t>100 mM</w:t>
      </w:r>
      <w:r>
        <w:t>]</w:t>
      </w:r>
      <w:r w:rsidRPr="008C26A6">
        <w:t xml:space="preserve"> buffer, pH 5) was added to each well. The plates were incubated for 20 min at 25 </w:t>
      </w:r>
      <w:r>
        <w:rPr>
          <w:rFonts w:cs="Times New Roman"/>
        </w:rPr>
        <w:t>°</w:t>
      </w:r>
      <w:r w:rsidRPr="008C26A6">
        <w:t xml:space="preserve">C in </w:t>
      </w:r>
      <w:r>
        <w:t xml:space="preserve">a </w:t>
      </w:r>
      <w:r w:rsidRPr="008C26A6">
        <w:t xml:space="preserve">dark chamber. </w:t>
      </w:r>
      <w:r>
        <w:t>Subsequently,</w:t>
      </w:r>
      <w:r w:rsidRPr="008C26A6">
        <w:t xml:space="preserve"> the reaction was stopped with 50 µL of 2</w:t>
      </w:r>
      <w:r>
        <w:t xml:space="preserve"> </w:t>
      </w:r>
      <w:r w:rsidRPr="008C26A6">
        <w:t>N H</w:t>
      </w:r>
      <w:r w:rsidRPr="008C26A6">
        <w:rPr>
          <w:vertAlign w:val="subscript"/>
        </w:rPr>
        <w:t>2</w:t>
      </w:r>
      <w:r w:rsidRPr="008C26A6">
        <w:t>SO</w:t>
      </w:r>
      <w:r w:rsidRPr="008C26A6">
        <w:rPr>
          <w:vertAlign w:val="subscript"/>
        </w:rPr>
        <w:t>4</w:t>
      </w:r>
      <w:r>
        <w:t xml:space="preserve">, and the OD at 492 nm was recorded using a </w:t>
      </w:r>
      <w:r w:rsidRPr="008C26A6">
        <w:t>VERSA max microplate reader (Perkin Elmer, USA). The result was expressed as percentage inhibition</w:t>
      </w:r>
      <w:r>
        <w:t xml:space="preserve"> according to the</w:t>
      </w:r>
      <w:r w:rsidRPr="008C26A6">
        <w:t xml:space="preserve"> following formula: PI = 100</w:t>
      </w:r>
      <w:r>
        <w:t xml:space="preserve"> </w:t>
      </w:r>
      <w:r w:rsidRPr="008C26A6">
        <w:t>- (mean OD</w:t>
      </w:r>
      <w:r w:rsidRPr="008C26A6">
        <w:rPr>
          <w:vertAlign w:val="subscript"/>
        </w:rPr>
        <w:t>492</w:t>
      </w:r>
      <w:r w:rsidRPr="008C26A6">
        <w:t xml:space="preserve"> of test serum </w:t>
      </w:r>
      <w:r>
        <w:rPr>
          <w:rFonts w:cs="Times New Roman"/>
        </w:rPr>
        <w:t>×</w:t>
      </w:r>
      <w:r w:rsidRPr="008C26A6">
        <w:t xml:space="preserve"> 100)/ (mean OD</w:t>
      </w:r>
      <w:r w:rsidRPr="008C26A6">
        <w:rPr>
          <w:vertAlign w:val="subscript"/>
        </w:rPr>
        <w:t>492</w:t>
      </w:r>
      <w:r w:rsidRPr="008C26A6">
        <w:t xml:space="preserve"> of </w:t>
      </w:r>
      <w:r>
        <w:t>PAb</w:t>
      </w:r>
      <w:r w:rsidRPr="008C26A6">
        <w:t>).</w:t>
      </w:r>
    </w:p>
    <w:p w:rsidR="000B7CD4" w:rsidRDefault="000B7CD4" w:rsidP="000B7CD4">
      <w:pPr>
        <w:pStyle w:val="Heading1"/>
        <w:numPr>
          <w:ilvl w:val="0"/>
          <w:numId w:val="14"/>
        </w:numPr>
        <w:jc w:val="both"/>
      </w:pPr>
      <w:r w:rsidRPr="00882B7A">
        <w:t>Quantitative expression analysis of immune genes in experimental samples</w:t>
      </w:r>
    </w:p>
    <w:p w:rsidR="00994A3D" w:rsidRPr="000B7CD4" w:rsidRDefault="000B7CD4" w:rsidP="000B7CD4">
      <w:pPr>
        <w:pStyle w:val="Heading1"/>
        <w:numPr>
          <w:ilvl w:val="0"/>
          <w:numId w:val="0"/>
        </w:numPr>
        <w:spacing w:line="276" w:lineRule="auto"/>
        <w:jc w:val="both"/>
        <w:rPr>
          <w:b w:val="0"/>
        </w:rPr>
      </w:pPr>
      <w:r w:rsidRPr="000B7CD4">
        <w:rPr>
          <w:b w:val="0"/>
          <w:lang w:val="en-GB"/>
        </w:rPr>
        <w:t>Gene-specific primers for immune-related genes were designed using Primer3Plus based on available sequences from the NCBI database and are listed in Supplementary Table 1. Olive flounder β-actin was selected as a housekeeping gene. Real-time PCR was carried out in an Exicycler</w:t>
      </w:r>
      <w:r w:rsidRPr="000B7CD4">
        <w:rPr>
          <w:b w:val="0"/>
          <w:vertAlign w:val="superscript"/>
          <w:lang w:val="en-GB"/>
        </w:rPr>
        <w:t>TM</w:t>
      </w:r>
      <w:r w:rsidRPr="000B7CD4">
        <w:rPr>
          <w:b w:val="0"/>
          <w:lang w:val="en-GB"/>
        </w:rPr>
        <w:t xml:space="preserve"> 96 Real-Time </w:t>
      </w:r>
      <w:r w:rsidRPr="000B7CD4">
        <w:rPr>
          <w:b w:val="0"/>
          <w:lang w:val="en-GB"/>
        </w:rPr>
        <w:lastRenderedPageBreak/>
        <w:t>Quantitative Thermal Block (Bioneer, Korea) using SYBR Green AccuPower® PCR PreMix (Bioneer). For relative quantification of each gene, cDNA was synthesized from the head kidney, spleen, skin and gills from the experimental and naive groups and used as a template. The reaction was performed in duplicate in a final reaction volume of 20 µL with initial denaturation at 94</w:t>
      </w:r>
      <w:r w:rsidRPr="000B7CD4">
        <w:rPr>
          <w:b w:val="0"/>
          <w:bCs/>
        </w:rPr>
        <w:t xml:space="preserve"> °</w:t>
      </w:r>
      <w:r w:rsidRPr="000B7CD4">
        <w:rPr>
          <w:b w:val="0"/>
          <w:lang w:val="en-GB"/>
        </w:rPr>
        <w:t xml:space="preserve">C for 10 min, followed by 35 cycles of 20 s of denaturation (94 </w:t>
      </w:r>
      <w:r w:rsidRPr="000B7CD4">
        <w:rPr>
          <w:b w:val="0"/>
          <w:bCs/>
        </w:rPr>
        <w:t>⁰</w:t>
      </w:r>
      <w:r w:rsidRPr="000B7CD4">
        <w:rPr>
          <w:b w:val="0"/>
          <w:lang w:val="en-GB"/>
        </w:rPr>
        <w:t>C), annealing (temperature is given in Supplementary Table 1), and scanning. The threshold cycle (Ct) value was determined using the automatic setting on the Bioneer Exicycler</w:t>
      </w:r>
      <w:r w:rsidRPr="000B7CD4">
        <w:rPr>
          <w:b w:val="0"/>
          <w:vertAlign w:val="superscript"/>
          <w:lang w:val="en-GB"/>
        </w:rPr>
        <w:t>TM</w:t>
      </w:r>
      <w:r w:rsidRPr="000B7CD4">
        <w:rPr>
          <w:b w:val="0"/>
          <w:lang w:val="en-GB"/>
        </w:rPr>
        <w:t xml:space="preserve"> 96 Real-Time PCR system. Relative quantification of immune response was estimated using the 2</w:t>
      </w:r>
      <w:r w:rsidRPr="000B7CD4">
        <w:rPr>
          <w:b w:val="0"/>
          <w:vertAlign w:val="superscript"/>
          <w:lang w:val="en-GB"/>
        </w:rPr>
        <w:t>- ΔΔCt</w:t>
      </w:r>
      <w:r w:rsidRPr="000B7CD4">
        <w:rPr>
          <w:b w:val="0"/>
          <w:lang w:val="en-GB"/>
        </w:rPr>
        <w:t xml:space="preserve"> method (25).</w:t>
      </w:r>
      <w:r w:rsidR="00994A3D" w:rsidRPr="000B7CD4">
        <w:rPr>
          <w:b w:val="0"/>
        </w:rPr>
        <w:t xml:space="preserve"> </w:t>
      </w:r>
    </w:p>
    <w:p w:rsidR="00DE23E8" w:rsidRDefault="00DE23E8" w:rsidP="000B7CD4">
      <w:pPr>
        <w:spacing w:before="240"/>
        <w:jc w:val="both"/>
      </w:pPr>
    </w:p>
    <w:p w:rsidR="000B7CD4" w:rsidRDefault="000B7CD4" w:rsidP="000B7CD4">
      <w:pPr>
        <w:pStyle w:val="Heading1"/>
        <w:numPr>
          <w:ilvl w:val="0"/>
          <w:numId w:val="14"/>
        </w:numPr>
        <w:ind w:left="562" w:hanging="562"/>
        <w:contextualSpacing/>
      </w:pPr>
      <w:r w:rsidRPr="00F979BF">
        <w:rPr>
          <w:lang w:val="en-GB"/>
        </w:rPr>
        <w:t>Supplementary Table 1</w:t>
      </w:r>
      <w:r>
        <w:rPr>
          <w:lang w:val="en-GB"/>
        </w:rPr>
        <w:t xml:space="preserve">. </w:t>
      </w:r>
      <w:r w:rsidRPr="0027678A">
        <w:t>Primers used for real-time PCR</w:t>
      </w:r>
    </w:p>
    <w:tbl>
      <w:tblPr>
        <w:tblpPr w:leftFromText="142" w:rightFromText="142" w:vertAnchor="text" w:horzAnchor="margin" w:tblpXSpec="center" w:tblpY="403"/>
        <w:tblW w:w="105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094"/>
        <w:gridCol w:w="1312"/>
        <w:gridCol w:w="954"/>
        <w:gridCol w:w="3596"/>
        <w:gridCol w:w="3584"/>
        <w:gridCol w:w="497"/>
      </w:tblGrid>
      <w:tr w:rsidR="000B7CD4" w:rsidRPr="000B7CD4" w:rsidTr="00A201E9">
        <w:trPr>
          <w:trHeight w:val="357"/>
        </w:trPr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Target gene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GenBank acc. no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Product length</w:t>
            </w:r>
          </w:p>
        </w:tc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Sense primer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Antisense primer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T</w:t>
            </w:r>
            <w:r w:rsidRPr="000B7CD4">
              <w:rPr>
                <w:rFonts w:eastAsia="Malgun Gothic" w:cs="Times New Roman"/>
                <w:sz w:val="22"/>
                <w:vertAlign w:val="subscript"/>
              </w:rPr>
              <w:t>a</w:t>
            </w:r>
          </w:p>
        </w:tc>
      </w:tr>
      <w:tr w:rsidR="000B7CD4" w:rsidRPr="000B7CD4" w:rsidTr="00A201E9">
        <w:trPr>
          <w:trHeight w:val="357"/>
        </w:trPr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β-actin</w:t>
            </w:r>
          </w:p>
        </w:tc>
        <w:tc>
          <w:tcPr>
            <w:tcW w:w="131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HQ386788</w:t>
            </w:r>
          </w:p>
        </w:tc>
        <w:tc>
          <w:tcPr>
            <w:tcW w:w="9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center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131</w:t>
            </w:r>
          </w:p>
        </w:tc>
        <w:tc>
          <w:tcPr>
            <w:tcW w:w="33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CCTCTTCCAGCCTTCATTC</w:t>
            </w:r>
          </w:p>
        </w:tc>
        <w:tc>
          <w:tcPr>
            <w:tcW w:w="3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TGGTTCCTCCAGATAGCAC</w:t>
            </w:r>
          </w:p>
        </w:tc>
        <w:tc>
          <w:tcPr>
            <w:tcW w:w="4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56</w:t>
            </w:r>
          </w:p>
        </w:tc>
      </w:tr>
      <w:tr w:rsidR="000B7CD4" w:rsidRPr="000B7CD4" w:rsidTr="00A201E9">
        <w:trPr>
          <w:trHeight w:val="357"/>
        </w:trPr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IgM</w:t>
            </w:r>
          </w:p>
        </w:tc>
        <w:tc>
          <w:tcPr>
            <w:tcW w:w="131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AB052744</w:t>
            </w:r>
          </w:p>
        </w:tc>
        <w:tc>
          <w:tcPr>
            <w:tcW w:w="9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center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115</w:t>
            </w:r>
          </w:p>
        </w:tc>
        <w:tc>
          <w:tcPr>
            <w:tcW w:w="33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GCCTCCTTCTTCTGCTCTG</w:t>
            </w:r>
          </w:p>
        </w:tc>
        <w:tc>
          <w:tcPr>
            <w:tcW w:w="3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CCTCAGTGGATGTTGTGATT</w:t>
            </w:r>
          </w:p>
        </w:tc>
        <w:tc>
          <w:tcPr>
            <w:tcW w:w="4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56</w:t>
            </w:r>
          </w:p>
        </w:tc>
      </w:tr>
      <w:tr w:rsidR="000B7CD4" w:rsidRPr="000B7CD4" w:rsidTr="00A201E9">
        <w:trPr>
          <w:trHeight w:val="357"/>
        </w:trPr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IgT</w:t>
            </w:r>
          </w:p>
        </w:tc>
        <w:tc>
          <w:tcPr>
            <w:tcW w:w="131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KX174302</w:t>
            </w:r>
          </w:p>
        </w:tc>
        <w:tc>
          <w:tcPr>
            <w:tcW w:w="9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center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150</w:t>
            </w:r>
          </w:p>
        </w:tc>
        <w:tc>
          <w:tcPr>
            <w:tcW w:w="33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TAATTGTTCAGTAACTCATGCCG</w:t>
            </w:r>
          </w:p>
        </w:tc>
        <w:tc>
          <w:tcPr>
            <w:tcW w:w="3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GATTGAAGTGTTCCTATGCGTCT</w:t>
            </w:r>
          </w:p>
        </w:tc>
        <w:tc>
          <w:tcPr>
            <w:tcW w:w="4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56</w:t>
            </w:r>
          </w:p>
        </w:tc>
      </w:tr>
      <w:tr w:rsidR="000B7CD4" w:rsidRPr="000B7CD4" w:rsidTr="00A201E9">
        <w:trPr>
          <w:trHeight w:val="357"/>
        </w:trPr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pIgR</w:t>
            </w:r>
          </w:p>
        </w:tc>
        <w:tc>
          <w:tcPr>
            <w:tcW w:w="131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HM536144</w:t>
            </w:r>
          </w:p>
        </w:tc>
        <w:tc>
          <w:tcPr>
            <w:tcW w:w="9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center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478</w:t>
            </w:r>
          </w:p>
        </w:tc>
        <w:tc>
          <w:tcPr>
            <w:tcW w:w="33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AAGGAGGAGGACTCTGGGTG</w:t>
            </w:r>
          </w:p>
        </w:tc>
        <w:tc>
          <w:tcPr>
            <w:tcW w:w="33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TGGTGATGGGTCTGGATGG</w:t>
            </w:r>
          </w:p>
        </w:tc>
        <w:tc>
          <w:tcPr>
            <w:tcW w:w="4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58</w:t>
            </w:r>
          </w:p>
        </w:tc>
      </w:tr>
      <w:tr w:rsidR="000B7CD4" w:rsidRPr="000B7CD4" w:rsidTr="00A201E9">
        <w:trPr>
          <w:trHeight w:val="357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TLR2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AB109393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D4" w:rsidRPr="000B7CD4" w:rsidRDefault="000B7CD4" w:rsidP="000B7CD4">
            <w:pPr>
              <w:spacing w:after="0" w:line="276" w:lineRule="auto"/>
              <w:jc w:val="center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100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GCTACATCTGCGACTCTCCT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CACAGGGACACGAACAAATC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58</w:t>
            </w:r>
          </w:p>
        </w:tc>
      </w:tr>
      <w:tr w:rsidR="000B7CD4" w:rsidRPr="000B7CD4" w:rsidTr="00A201E9">
        <w:trPr>
          <w:trHeight w:val="357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TLR7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HQ845984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center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97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CCTGGGAAATCTGGAAGAAC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TTTGAGGGAGGAGAAACTGC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62</w:t>
            </w:r>
          </w:p>
        </w:tc>
      </w:tr>
      <w:tr w:rsidR="000B7CD4" w:rsidRPr="000B7CD4" w:rsidTr="00A201E9">
        <w:trPr>
          <w:trHeight w:val="357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IL-1β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AB070835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D4" w:rsidRPr="000B7CD4" w:rsidRDefault="000B7CD4" w:rsidP="000B7CD4">
            <w:pPr>
              <w:spacing w:after="0" w:line="276" w:lineRule="auto"/>
              <w:jc w:val="center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128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AAAGAAGCATCACCACTGTCT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CTACTCAACAACGCCACCTT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56</w:t>
            </w:r>
          </w:p>
        </w:tc>
      </w:tr>
      <w:tr w:rsidR="000B7CD4" w:rsidRPr="000B7CD4" w:rsidTr="00A201E9">
        <w:trPr>
          <w:trHeight w:val="357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IL-8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AF216646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D4" w:rsidRPr="000B7CD4" w:rsidRDefault="000B7CD4" w:rsidP="000B7CD4">
            <w:pPr>
              <w:spacing w:after="0" w:line="276" w:lineRule="auto"/>
              <w:jc w:val="center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200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TCGGCCGCTACATTAAGAGT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cs="Times New Roman"/>
                <w:sz w:val="22"/>
              </w:rPr>
              <w:t>TTAAACGGCTTCTGACCCCATC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58</w:t>
            </w:r>
          </w:p>
        </w:tc>
      </w:tr>
      <w:tr w:rsidR="000B7CD4" w:rsidRPr="000B7CD4" w:rsidTr="00A201E9">
        <w:trPr>
          <w:trHeight w:val="357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C3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AB021653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center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233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CTGCGCACATTCCTGAGTTA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TACTGCTGGACCATCTGCTG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58</w:t>
            </w:r>
          </w:p>
        </w:tc>
      </w:tr>
      <w:tr w:rsidR="000B7CD4" w:rsidRPr="000B7CD4" w:rsidTr="00A201E9">
        <w:trPr>
          <w:trHeight w:val="357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IFN-γ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AB435093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center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126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CTACAAGCGGCGATATGATG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GGAGGTTCTGGATGGTTTTG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64</w:t>
            </w:r>
          </w:p>
        </w:tc>
      </w:tr>
      <w:tr w:rsidR="000B7CD4" w:rsidRPr="000B7CD4" w:rsidTr="00A201E9">
        <w:trPr>
          <w:trHeight w:val="357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Mx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AB110446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center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159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TCACTGGATTTCCCAACCTC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TGTCACTCAAACTGCTGCTG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62</w:t>
            </w:r>
          </w:p>
        </w:tc>
      </w:tr>
      <w:tr w:rsidR="000B7CD4" w:rsidRPr="000B7CD4" w:rsidTr="00A201E9">
        <w:trPr>
          <w:trHeight w:val="357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Caspase 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JQ394697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center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115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ACATCATGACACGGGTGAAC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TCCTTCGTCAGCATTGACAC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58</w:t>
            </w:r>
          </w:p>
        </w:tc>
      </w:tr>
      <w:tr w:rsidR="000B7CD4" w:rsidRPr="000B7CD4" w:rsidTr="00A201E9">
        <w:trPr>
          <w:trHeight w:val="357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Caspase 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KY556657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center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234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TCAGGAGGAGGGCTGGTCTA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TGTTTCACCACCTCGTATCCC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60</w:t>
            </w:r>
          </w:p>
        </w:tc>
      </w:tr>
      <w:tr w:rsidR="000B7CD4" w:rsidRPr="000B7CD4" w:rsidTr="00A201E9">
        <w:trPr>
          <w:trHeight w:val="357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IL-10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AB685381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center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224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ATGACTCTTCGGTCTCTCCT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TTGAAAGACTCCTCCACGCTCT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60</w:t>
            </w:r>
          </w:p>
        </w:tc>
      </w:tr>
      <w:tr w:rsidR="000B7CD4" w:rsidRPr="000B7CD4" w:rsidTr="00A201E9">
        <w:trPr>
          <w:trHeight w:val="357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TNF-</w:t>
            </w:r>
            <w:r w:rsidRPr="000B7CD4">
              <w:rPr>
                <w:rFonts w:ascii="Calibri" w:eastAsia="Malgun Gothic" w:hAnsi="Calibri" w:cs="Calibri"/>
                <w:sz w:val="22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both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AB040449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jc w:val="center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113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AAACACCTCACGTCCATCA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cs="Times New Roman"/>
                <w:color w:val="2E2E2E"/>
                <w:sz w:val="22"/>
              </w:rPr>
              <w:t>GCGTCCTCCTGACTCTTCT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56</w:t>
            </w:r>
          </w:p>
        </w:tc>
      </w:tr>
      <w:tr w:rsidR="000B7CD4" w:rsidRPr="000B7CD4" w:rsidTr="00A201E9">
        <w:trPr>
          <w:trHeight w:val="357"/>
        </w:trPr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CD8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AB082957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D4" w:rsidRPr="000B7CD4" w:rsidRDefault="000B7CD4" w:rsidP="000B7CD4">
            <w:pPr>
              <w:spacing w:after="0" w:line="276" w:lineRule="auto"/>
              <w:jc w:val="center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108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TAAGGGCAACACTAACACAGG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ATGAGGAGGAGGAGAAGGAG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CD4" w:rsidRPr="000B7CD4" w:rsidRDefault="000B7CD4" w:rsidP="000B7CD4">
            <w:pPr>
              <w:spacing w:after="0" w:line="276" w:lineRule="auto"/>
              <w:rPr>
                <w:rFonts w:eastAsia="Malgun Gothic" w:cs="Times New Roman"/>
                <w:sz w:val="22"/>
              </w:rPr>
            </w:pPr>
            <w:r w:rsidRPr="000B7CD4">
              <w:rPr>
                <w:rFonts w:eastAsia="Malgun Gothic" w:cs="Times New Roman"/>
                <w:sz w:val="22"/>
              </w:rPr>
              <w:t>56</w:t>
            </w:r>
          </w:p>
        </w:tc>
      </w:tr>
      <w:tr w:rsidR="000B7CD4" w:rsidRPr="000B7CD4" w:rsidTr="00A201E9">
        <w:trPr>
          <w:trHeight w:val="357"/>
        </w:trPr>
        <w:tc>
          <w:tcPr>
            <w:tcW w:w="105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D4" w:rsidRPr="000B7CD4" w:rsidRDefault="000B7CD4" w:rsidP="000B7CD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Times New Roman"/>
                <w:szCs w:val="24"/>
                <w:lang w:val="en-GB"/>
              </w:rPr>
            </w:pPr>
            <w:r w:rsidRPr="000B7CD4">
              <w:rPr>
                <w:rFonts w:eastAsia="Malgun Gothic" w:cs="Times New Roman"/>
                <w:szCs w:val="24"/>
              </w:rPr>
              <w:t>T</w:t>
            </w:r>
            <w:r w:rsidRPr="000B7CD4">
              <w:rPr>
                <w:rFonts w:eastAsia="Malgun Gothic" w:cs="Times New Roman"/>
                <w:szCs w:val="24"/>
                <w:vertAlign w:val="subscript"/>
              </w:rPr>
              <w:t>a</w:t>
            </w:r>
            <w:r w:rsidRPr="000B7CD4">
              <w:rPr>
                <w:rFonts w:eastAsia="Malgun Gothic" w:cs="Times New Roman"/>
                <w:szCs w:val="24"/>
              </w:rPr>
              <w:t xml:space="preserve">: </w:t>
            </w:r>
            <w:r w:rsidRPr="000B7CD4">
              <w:rPr>
                <w:rFonts w:cs="Times New Roman"/>
                <w:szCs w:val="24"/>
                <w:lang w:val="en-GB"/>
              </w:rPr>
              <w:t>annealing temperature</w:t>
            </w:r>
            <w:r w:rsidRPr="000B7CD4">
              <w:rPr>
                <w:rFonts w:eastAsia="Malgun Gothic" w:cs="Times New Roman"/>
                <w:szCs w:val="24"/>
                <w:vertAlign w:val="subscript"/>
              </w:rPr>
              <w:t xml:space="preserve"> </w:t>
            </w:r>
          </w:p>
        </w:tc>
      </w:tr>
    </w:tbl>
    <w:p w:rsidR="000B7CD4" w:rsidRPr="001549D3" w:rsidRDefault="000B7CD4" w:rsidP="000B7CD4">
      <w:pPr>
        <w:spacing w:before="240"/>
        <w:jc w:val="both"/>
      </w:pPr>
    </w:p>
    <w:sectPr w:rsidR="000B7CD4" w:rsidRPr="001549D3" w:rsidSect="00934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2F6" w:rsidRDefault="006762F6" w:rsidP="00117666">
      <w:pPr>
        <w:spacing w:after="0"/>
      </w:pPr>
      <w:r>
        <w:separator/>
      </w:r>
    </w:p>
  </w:endnote>
  <w:endnote w:type="continuationSeparator" w:id="0">
    <w:p w:rsidR="006762F6" w:rsidRDefault="006762F6" w:rsidP="001176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3E775F">
    <w:pPr>
      <w:rPr>
        <w:color w:val="C00000"/>
        <w:szCs w:val="24"/>
      </w:rPr>
    </w:pPr>
    <w:r w:rsidRPr="003E775F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146.4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fit-shape-to-text:t">
            <w:txbxContent>
              <w:p w:rsidR="00995F6A" w:rsidRPr="00577C4C" w:rsidRDefault="003E775F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0B7CD4">
                  <w:rPr>
                    <w:noProof/>
                    <w:color w:val="000000" w:themeColor="text1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3E775F">
    <w:pPr>
      <w:rPr>
        <w:b/>
        <w:sz w:val="20"/>
        <w:szCs w:val="24"/>
      </w:rPr>
    </w:pPr>
    <w:r w:rsidRPr="003E775F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4097" type="#_x0000_t202" style="position:absolute;margin-left:146.4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<v:textbox style="mso-fit-shape-to-text:t">
            <w:txbxContent>
              <w:p w:rsidR="00995F6A" w:rsidRPr="00577C4C" w:rsidRDefault="003E775F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0B7CD4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D4" w:rsidRPr="000B7CD4" w:rsidRDefault="000B7CD4">
    <w:pPr>
      <w:pStyle w:val="Footer"/>
      <w:rPr>
        <w:lang w:val="en-IN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78.9pt;margin-top:0;width:118.8pt;height:31.15pt;z-index:251660288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fit-shape-to-text:t">
            <w:txbxContent>
              <w:p w:rsidR="000B7CD4" w:rsidRPr="00577C4C" w:rsidRDefault="000B7CD4" w:rsidP="000B7CD4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>
                  <w:rPr>
                    <w:noProof/>
                    <w:color w:val="000000" w:themeColor="text1"/>
                    <w:szCs w:val="40"/>
                  </w:rPr>
                  <w:t>1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2F6" w:rsidRDefault="006762F6" w:rsidP="00117666">
      <w:pPr>
        <w:spacing w:after="0"/>
      </w:pPr>
      <w:r>
        <w:separator/>
      </w:r>
    </w:p>
  </w:footnote>
  <w:footnote w:type="continuationSeparator" w:id="0">
    <w:p w:rsidR="006762F6" w:rsidRDefault="006762F6" w:rsidP="001176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D4" w:rsidRDefault="000B7CD4">
    <w:pPr>
      <w:pStyle w:val="Header"/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Default="0093429D" w:rsidP="0093429D">
    <w:r w:rsidRPr="005A1D84">
      <w:rPr>
        <w:b/>
        <w:noProof/>
        <w:color w:val="A6A6A6" w:themeColor="background1" w:themeShade="A6"/>
        <w:lang w:eastAsia="ko-KR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20B5"/>
    <w:rsid w:val="0001436A"/>
    <w:rsid w:val="00034304"/>
    <w:rsid w:val="00035434"/>
    <w:rsid w:val="00052A14"/>
    <w:rsid w:val="00077D53"/>
    <w:rsid w:val="000B7CD4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E775F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762F6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15E3969-A58A-4F9F-8E07-AE9521F9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3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Sajal</cp:lastModifiedBy>
  <cp:revision>3</cp:revision>
  <cp:lastPrinted>2013-10-03T12:51:00Z</cp:lastPrinted>
  <dcterms:created xsi:type="dcterms:W3CDTF">2018-11-23T08:58:00Z</dcterms:created>
  <dcterms:modified xsi:type="dcterms:W3CDTF">2021-08-18T07:09:00Z</dcterms:modified>
</cp:coreProperties>
</file>