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EACDAC" w14:textId="77777777" w:rsidR="00A345E4" w:rsidRDefault="00AD2B29">
      <w:pPr>
        <w:pStyle w:val="SupplementaryMaterial"/>
        <w:rPr>
          <w:b w:val="0"/>
        </w:rPr>
      </w:pPr>
      <w:r>
        <w:t>Supplementary Material</w:t>
      </w:r>
    </w:p>
    <w:p w14:paraId="00E1113C" w14:textId="77777777" w:rsidR="00A345E4" w:rsidRDefault="00AD2B29">
      <w:pPr>
        <w:pStyle w:val="Heading1"/>
        <w:numPr>
          <w:ilvl w:val="0"/>
          <w:numId w:val="0"/>
        </w:numPr>
        <w:ind w:left="567" w:hanging="567"/>
      </w:pPr>
      <w:r>
        <w:t>Supplementary Figures and Tables</w:t>
      </w:r>
    </w:p>
    <w:p w14:paraId="555EE4CA" w14:textId="77777777" w:rsidR="00A345E4" w:rsidRDefault="00A345E4">
      <w:pPr>
        <w:keepNext/>
        <w:spacing w:after="120"/>
        <w:rPr>
          <w:rFonts w:cs="Times New Roman"/>
          <w:szCs w:val="24"/>
        </w:rPr>
      </w:pPr>
    </w:p>
    <w:p w14:paraId="347C09DA" w14:textId="77777777" w:rsidR="00A345E4" w:rsidRDefault="00AD2B29">
      <w:pPr>
        <w:keepNext/>
        <w:spacing w:after="120"/>
        <w:jc w:val="center"/>
        <w:rPr>
          <w:rFonts w:cs="Times New Roman"/>
          <w:szCs w:val="24"/>
        </w:rPr>
      </w:pPr>
      <w:r>
        <w:rPr>
          <w:noProof/>
        </w:rPr>
        <w:drawing>
          <wp:inline distT="0" distB="0" distL="0" distR="0" wp14:anchorId="58315D48" wp14:editId="78D47B01">
            <wp:extent cx="3949700" cy="3594100"/>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8"/>
                    <a:stretch>
                      <a:fillRect/>
                    </a:stretch>
                  </pic:blipFill>
                  <pic:spPr bwMode="auto">
                    <a:xfrm>
                      <a:off x="0" y="0"/>
                      <a:ext cx="3949700" cy="3594100"/>
                    </a:xfrm>
                    <a:prstGeom prst="rect">
                      <a:avLst/>
                    </a:prstGeom>
                  </pic:spPr>
                </pic:pic>
              </a:graphicData>
            </a:graphic>
          </wp:inline>
        </w:drawing>
      </w:r>
    </w:p>
    <w:p w14:paraId="1592C7CA" w14:textId="17C3109E" w:rsidR="00A345E4" w:rsidRDefault="00AD2B29">
      <w:pPr>
        <w:keepNext/>
        <w:spacing w:after="120"/>
        <w:rPr>
          <w:color w:val="000000"/>
        </w:rPr>
      </w:pPr>
      <w:r>
        <w:rPr>
          <w:rFonts w:cs="Times New Roman"/>
          <w:b/>
          <w:szCs w:val="24"/>
        </w:rPr>
        <w:t xml:space="preserve">Supplementary Figure </w:t>
      </w:r>
      <w:r>
        <w:rPr>
          <w:rFonts w:cs="Times New Roman"/>
          <w:b/>
          <w:szCs w:val="24"/>
        </w:rPr>
        <w:fldChar w:fldCharType="begin"/>
      </w:r>
      <w:r>
        <w:rPr>
          <w:rFonts w:cs="Times New Roman"/>
          <w:b/>
          <w:szCs w:val="24"/>
        </w:rPr>
        <w:instrText>SEQ Figure \* ARABIC</w:instrText>
      </w:r>
      <w:r>
        <w:rPr>
          <w:rFonts w:cs="Times New Roman"/>
          <w:b/>
          <w:szCs w:val="24"/>
        </w:rPr>
        <w:fldChar w:fldCharType="separate"/>
      </w:r>
      <w:r>
        <w:rPr>
          <w:rFonts w:cs="Times New Roman"/>
          <w:b/>
          <w:szCs w:val="24"/>
        </w:rPr>
        <w:t>1</w:t>
      </w:r>
      <w:r>
        <w:rPr>
          <w:rFonts w:cs="Times New Roman"/>
          <w:b/>
          <w:szCs w:val="24"/>
        </w:rPr>
        <w:fldChar w:fldCharType="end"/>
      </w:r>
      <w:r>
        <w:rPr>
          <w:rFonts w:cs="Times New Roman"/>
          <w:b/>
          <w:szCs w:val="24"/>
        </w:rPr>
        <w:t>.</w:t>
      </w:r>
      <w:r>
        <w:rPr>
          <w:rFonts w:cs="Times New Roman"/>
          <w:szCs w:val="24"/>
        </w:rPr>
        <w:t xml:space="preserve"> </w:t>
      </w:r>
      <w:r>
        <w:rPr>
          <w:color w:val="000000"/>
        </w:rPr>
        <w:t>Comparison of conspecific MAGs and isolate genomes. In total, 17834 representative MAGs</w:t>
      </w:r>
      <w:r w:rsidR="003F1F47">
        <w:rPr>
          <w:color w:val="000000"/>
        </w:rPr>
        <w:t xml:space="preserve"> recovered from the</w:t>
      </w:r>
      <w:r>
        <w:rPr>
          <w:color w:val="000000"/>
        </w:rPr>
        <w:t xml:space="preserve"> environment were clustered with 8267 reference genomes from isolates into mOTUs at 95% ANI. Only 560 MAGs formed clusters with 556 isolate genomes resulting in 540 mOTUs. Each point in the plot represents a MAG/mOTU pair assigned to a single mOTU. The x-axis indicates the estimated genome size of isolates genomes and the y-axis indicates the estimated genome size of MAGs.</w:t>
      </w:r>
    </w:p>
    <w:p w14:paraId="3B0750D2" w14:textId="77777777" w:rsidR="00A345E4" w:rsidRDefault="00AD2B29">
      <w:pPr>
        <w:spacing w:before="0" w:after="200" w:line="276" w:lineRule="auto"/>
        <w:rPr>
          <w:color w:val="000000"/>
        </w:rPr>
      </w:pPr>
      <w:r>
        <w:br w:type="page"/>
      </w:r>
    </w:p>
    <w:p w14:paraId="41C1C438" w14:textId="748F4860" w:rsidR="00A345E4" w:rsidRDefault="00A345E4" w:rsidP="00341703">
      <w:pPr>
        <w:spacing w:before="0" w:after="200" w:line="276" w:lineRule="auto"/>
        <w:rPr>
          <w:color w:val="000000"/>
        </w:rPr>
      </w:pPr>
    </w:p>
    <w:p w14:paraId="41916E5D" w14:textId="77777777" w:rsidR="00A345E4" w:rsidRDefault="00AD2B29">
      <w:pPr>
        <w:keepNext/>
        <w:spacing w:after="120"/>
        <w:rPr>
          <w:color w:val="000000"/>
        </w:rPr>
      </w:pPr>
      <w:r>
        <w:rPr>
          <w:noProof/>
        </w:rPr>
        <w:drawing>
          <wp:inline distT="0" distB="0" distL="0" distR="0" wp14:anchorId="5A690A5E" wp14:editId="0ABF9FC7">
            <wp:extent cx="6208395" cy="53035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9"/>
                    <a:stretch>
                      <a:fillRect/>
                    </a:stretch>
                  </pic:blipFill>
                  <pic:spPr bwMode="auto">
                    <a:xfrm>
                      <a:off x="0" y="0"/>
                      <a:ext cx="6208395" cy="5303520"/>
                    </a:xfrm>
                    <a:prstGeom prst="rect">
                      <a:avLst/>
                    </a:prstGeom>
                  </pic:spPr>
                </pic:pic>
              </a:graphicData>
            </a:graphic>
          </wp:inline>
        </w:drawing>
      </w:r>
    </w:p>
    <w:p w14:paraId="0343AD59" w14:textId="64492B34" w:rsidR="00A345E4" w:rsidRDefault="00AD2B29">
      <w:pPr>
        <w:keepNext/>
        <w:spacing w:after="120"/>
        <w:rPr>
          <w:color w:val="000000"/>
        </w:rPr>
      </w:pPr>
      <w:r>
        <w:rPr>
          <w:rFonts w:cs="Times New Roman"/>
          <w:b/>
          <w:szCs w:val="24"/>
        </w:rPr>
        <w:t xml:space="preserve">Supplementary Figure </w:t>
      </w:r>
      <w:r w:rsidR="00341703">
        <w:rPr>
          <w:rFonts w:cs="Times New Roman"/>
          <w:b/>
          <w:szCs w:val="24"/>
        </w:rPr>
        <w:t>2</w:t>
      </w:r>
      <w:r>
        <w:rPr>
          <w:rFonts w:cs="Times New Roman"/>
          <w:b/>
          <w:szCs w:val="24"/>
        </w:rPr>
        <w:t>.</w:t>
      </w:r>
      <w:r>
        <w:rPr>
          <w:rFonts w:cs="Times New Roman"/>
          <w:szCs w:val="24"/>
        </w:rPr>
        <w:t xml:space="preserve"> </w:t>
      </w:r>
      <w:r>
        <w:rPr>
          <w:color w:val="000000"/>
        </w:rPr>
        <w:t xml:space="preserve">Distribution of </w:t>
      </w:r>
      <w:r w:rsidR="00C0419B">
        <w:rPr>
          <w:color w:val="000000"/>
        </w:rPr>
        <w:t xml:space="preserve">min-max </w:t>
      </w:r>
      <w:r>
        <w:rPr>
          <w:color w:val="000000"/>
        </w:rPr>
        <w:t xml:space="preserve">estimated genome sizes per phyla in aquatic [A], terrestrial [B], and host-associated ecosystems [C]. In each </w:t>
      </w:r>
      <w:r w:rsidR="003F1F47">
        <w:rPr>
          <w:color w:val="000000"/>
        </w:rPr>
        <w:t>pa</w:t>
      </w:r>
      <w:r>
        <w:rPr>
          <w:color w:val="000000"/>
        </w:rPr>
        <w:t>nel, the two sub ecosystems are shown from which the most MAGs were recovered, while 'Others' combine MAGs from less represented sub ecosystems</w:t>
      </w:r>
    </w:p>
    <w:p w14:paraId="042A1739" w14:textId="77777777" w:rsidR="00341703" w:rsidRDefault="00341703">
      <w:pPr>
        <w:spacing w:before="0" w:after="120"/>
      </w:pPr>
    </w:p>
    <w:p w14:paraId="1B37240A" w14:textId="77777777" w:rsidR="00341703" w:rsidRDefault="00341703">
      <w:pPr>
        <w:spacing w:before="0" w:after="120"/>
      </w:pPr>
    </w:p>
    <w:p w14:paraId="63034300" w14:textId="77777777" w:rsidR="00341703" w:rsidRDefault="00341703">
      <w:pPr>
        <w:spacing w:before="0" w:after="120"/>
      </w:pPr>
    </w:p>
    <w:p w14:paraId="7B6A8A62" w14:textId="77777777" w:rsidR="00341703" w:rsidRDefault="00341703">
      <w:pPr>
        <w:spacing w:before="0" w:after="120"/>
      </w:pPr>
    </w:p>
    <w:p w14:paraId="1895E9E5" w14:textId="77777777" w:rsidR="00341703" w:rsidRDefault="00341703">
      <w:pPr>
        <w:spacing w:before="0" w:after="120"/>
      </w:pPr>
    </w:p>
    <w:p w14:paraId="4954E23B" w14:textId="77777777" w:rsidR="00341703" w:rsidRDefault="00341703">
      <w:pPr>
        <w:spacing w:before="0" w:after="120"/>
      </w:pPr>
    </w:p>
    <w:p w14:paraId="0636F42F" w14:textId="77777777" w:rsidR="00341703" w:rsidRDefault="00341703">
      <w:pPr>
        <w:spacing w:before="0" w:after="120"/>
      </w:pPr>
    </w:p>
    <w:p w14:paraId="24A094A3" w14:textId="77777777" w:rsidR="00341703" w:rsidRDefault="00341703">
      <w:pPr>
        <w:spacing w:before="0" w:after="120"/>
      </w:pPr>
    </w:p>
    <w:p w14:paraId="484797AD" w14:textId="77777777" w:rsidR="00341703" w:rsidRDefault="00341703" w:rsidP="00341703">
      <w:pPr>
        <w:spacing w:before="0" w:after="120"/>
        <w:jc w:val="center"/>
        <w:rPr>
          <w:rFonts w:cs="Times New Roman"/>
          <w:b/>
          <w:szCs w:val="24"/>
        </w:rPr>
      </w:pPr>
      <w:r>
        <w:rPr>
          <w:noProof/>
        </w:rPr>
        <w:drawing>
          <wp:inline distT="0" distB="0" distL="0" distR="0" wp14:anchorId="00232E27" wp14:editId="60AE42B1">
            <wp:extent cx="5055870" cy="6743700"/>
            <wp:effectExtent l="0" t="0" r="0" b="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
                    <pic:cNvPicPr>
                      <a:picLocks noChangeAspect="1" noChangeArrowheads="1"/>
                    </pic:cNvPicPr>
                  </pic:nvPicPr>
                  <pic:blipFill>
                    <a:blip r:embed="rId10"/>
                    <a:stretch>
                      <a:fillRect/>
                    </a:stretch>
                  </pic:blipFill>
                  <pic:spPr bwMode="auto">
                    <a:xfrm>
                      <a:off x="0" y="0"/>
                      <a:ext cx="5055870" cy="6743700"/>
                    </a:xfrm>
                    <a:prstGeom prst="rect">
                      <a:avLst/>
                    </a:prstGeom>
                  </pic:spPr>
                </pic:pic>
              </a:graphicData>
            </a:graphic>
          </wp:inline>
        </w:drawing>
      </w:r>
    </w:p>
    <w:p w14:paraId="7D92B47E" w14:textId="4689867E" w:rsidR="00341703" w:rsidRDefault="00341703" w:rsidP="00341703">
      <w:pPr>
        <w:spacing w:before="0" w:after="120"/>
        <w:rPr>
          <w:color w:val="000000"/>
        </w:rPr>
      </w:pPr>
      <w:r>
        <w:rPr>
          <w:rFonts w:cs="Times New Roman"/>
          <w:b/>
          <w:szCs w:val="24"/>
        </w:rPr>
        <w:t>Supplementary Figure 3.</w:t>
      </w:r>
      <w:r>
        <w:rPr>
          <w:rFonts w:cs="Times New Roman"/>
          <w:szCs w:val="24"/>
        </w:rPr>
        <w:t xml:space="preserve"> </w:t>
      </w:r>
      <w:r>
        <w:rPr>
          <w:color w:val="000000"/>
        </w:rPr>
        <w:t xml:space="preserve">Overview of the predicted genome size distribution across freshwater biomes in Earth using two databases, GEMs and </w:t>
      </w:r>
      <w:proofErr w:type="spellStart"/>
      <w:r>
        <w:rPr>
          <w:color w:val="000000"/>
        </w:rPr>
        <w:t>StratfreshDB</w:t>
      </w:r>
      <w:proofErr w:type="spellEnd"/>
      <w:r>
        <w:rPr>
          <w:color w:val="000000"/>
        </w:rPr>
        <w:t xml:space="preserve">. [A] Density plot comparing estimated genome size of GEMs vs </w:t>
      </w:r>
      <w:proofErr w:type="spellStart"/>
      <w:r>
        <w:rPr>
          <w:color w:val="000000"/>
        </w:rPr>
        <w:t>StratfreshDB</w:t>
      </w:r>
      <w:proofErr w:type="spellEnd"/>
      <w:r>
        <w:rPr>
          <w:color w:val="000000"/>
        </w:rPr>
        <w:t xml:space="preserve">. [B] Boxplot of estimated genome sizes of GEMs vs </w:t>
      </w:r>
      <w:proofErr w:type="spellStart"/>
      <w:r>
        <w:rPr>
          <w:color w:val="000000"/>
        </w:rPr>
        <w:t>StratfreshDB</w:t>
      </w:r>
      <w:proofErr w:type="spellEnd"/>
      <w:r>
        <w:rPr>
          <w:color w:val="000000"/>
        </w:rPr>
        <w:t>. [C] Twelve phyla with highest number of MAGs for both databases (</w:t>
      </w:r>
      <w:proofErr w:type="spellStart"/>
      <w:r>
        <w:rPr>
          <w:color w:val="000000"/>
        </w:rPr>
        <w:t>StratfreshDB</w:t>
      </w:r>
      <w:proofErr w:type="spellEnd"/>
      <w:r>
        <w:rPr>
          <w:color w:val="000000"/>
        </w:rPr>
        <w:t xml:space="preserve"> and GEMs) and density plots of estimated genome sizes per phyla. </w:t>
      </w:r>
      <w:r w:rsidR="009C316A">
        <w:rPr>
          <w:color w:val="000000"/>
        </w:rPr>
        <w:t>‘</w:t>
      </w:r>
      <w:r>
        <w:rPr>
          <w:color w:val="000000"/>
        </w:rPr>
        <w:t>Other phyla</w:t>
      </w:r>
      <w:r w:rsidR="009C316A">
        <w:rPr>
          <w:color w:val="000000"/>
        </w:rPr>
        <w:t>’</w:t>
      </w:r>
      <w:r>
        <w:rPr>
          <w:color w:val="000000"/>
        </w:rPr>
        <w:t xml:space="preserve"> combines MAGs from all phyla that are less represented by MAGs in the databases.</w:t>
      </w:r>
    </w:p>
    <w:p w14:paraId="67C2342D" w14:textId="5ECEEB92" w:rsidR="00A345E4" w:rsidRPr="00C0419B" w:rsidRDefault="00AD2B29" w:rsidP="00C0419B">
      <w:pPr>
        <w:spacing w:before="0" w:after="120"/>
      </w:pPr>
      <w:r>
        <w:br w:type="page"/>
      </w:r>
      <w:r>
        <w:rPr>
          <w:b/>
          <w:bCs/>
        </w:rPr>
        <w:lastRenderedPageBreak/>
        <w:t xml:space="preserve">Supplementary Table 1. </w:t>
      </w:r>
      <w:r>
        <w:rPr>
          <w:color w:val="000000"/>
        </w:rPr>
        <w:t>Ecological factors and their correlation to genome size.</w:t>
      </w:r>
    </w:p>
    <w:tbl>
      <w:tblPr>
        <w:tblStyle w:val="TableGrid"/>
        <w:tblW w:w="10350" w:type="dxa"/>
        <w:tblInd w:w="-5" w:type="dxa"/>
        <w:tblLook w:val="04A0" w:firstRow="1" w:lastRow="0" w:firstColumn="1" w:lastColumn="0" w:noHBand="0" w:noVBand="1"/>
      </w:tblPr>
      <w:tblGrid>
        <w:gridCol w:w="1644"/>
        <w:gridCol w:w="3654"/>
        <w:gridCol w:w="3004"/>
        <w:gridCol w:w="2048"/>
      </w:tblGrid>
      <w:tr w:rsidR="00A345E4" w14:paraId="3BFFC76F" w14:textId="77777777">
        <w:tc>
          <w:tcPr>
            <w:tcW w:w="5297" w:type="dxa"/>
            <w:gridSpan w:val="2"/>
          </w:tcPr>
          <w:p w14:paraId="20589F41" w14:textId="77777777" w:rsidR="00A345E4" w:rsidRDefault="00AD2B29">
            <w:pPr>
              <w:spacing w:after="120"/>
              <w:jc w:val="center"/>
              <w:rPr>
                <w:b/>
                <w:bCs/>
                <w:sz w:val="20"/>
                <w:szCs w:val="20"/>
              </w:rPr>
            </w:pPr>
            <w:r>
              <w:rPr>
                <w:rFonts w:asciiTheme="majorHAnsi" w:hAnsiTheme="majorHAnsi"/>
                <w:b/>
                <w:bCs/>
                <w:sz w:val="20"/>
                <w:szCs w:val="20"/>
              </w:rPr>
              <w:t>Chemical, physical or biological variable influencing genome size</w:t>
            </w:r>
          </w:p>
        </w:tc>
        <w:tc>
          <w:tcPr>
            <w:tcW w:w="3004" w:type="dxa"/>
          </w:tcPr>
          <w:p w14:paraId="02E25297" w14:textId="77777777" w:rsidR="00A345E4" w:rsidRDefault="00AD2B29">
            <w:pPr>
              <w:spacing w:after="120"/>
              <w:jc w:val="center"/>
              <w:rPr>
                <w:b/>
                <w:bCs/>
                <w:sz w:val="20"/>
                <w:szCs w:val="20"/>
              </w:rPr>
            </w:pPr>
            <w:r>
              <w:rPr>
                <w:rFonts w:asciiTheme="majorHAnsi" w:hAnsiTheme="majorHAnsi"/>
                <w:b/>
                <w:bCs/>
                <w:sz w:val="20"/>
                <w:szCs w:val="20"/>
              </w:rPr>
              <w:t>Taxa</w:t>
            </w:r>
          </w:p>
        </w:tc>
        <w:tc>
          <w:tcPr>
            <w:tcW w:w="2048" w:type="dxa"/>
          </w:tcPr>
          <w:p w14:paraId="3F871364" w14:textId="77777777" w:rsidR="00A345E4" w:rsidRDefault="00AD2B29">
            <w:pPr>
              <w:spacing w:after="120"/>
              <w:jc w:val="center"/>
              <w:rPr>
                <w:b/>
                <w:bCs/>
                <w:sz w:val="20"/>
                <w:szCs w:val="20"/>
              </w:rPr>
            </w:pPr>
            <w:r>
              <w:rPr>
                <w:rFonts w:asciiTheme="majorHAnsi" w:hAnsiTheme="majorHAnsi"/>
                <w:b/>
                <w:bCs/>
                <w:sz w:val="20"/>
                <w:szCs w:val="20"/>
              </w:rPr>
              <w:t>References</w:t>
            </w:r>
          </w:p>
        </w:tc>
      </w:tr>
      <w:tr w:rsidR="00A345E4" w14:paraId="3EAE6DA7" w14:textId="77777777">
        <w:tc>
          <w:tcPr>
            <w:tcW w:w="1643" w:type="dxa"/>
            <w:vMerge w:val="restart"/>
          </w:tcPr>
          <w:p w14:paraId="5E92D194" w14:textId="77777777" w:rsidR="00A345E4" w:rsidRDefault="00AD2B29">
            <w:pPr>
              <w:spacing w:after="120"/>
              <w:rPr>
                <w:rFonts w:ascii="Calibri" w:hAnsi="Calibri" w:cs="Calibri"/>
                <w:sz w:val="20"/>
                <w:szCs w:val="20"/>
              </w:rPr>
            </w:pPr>
            <w:r>
              <w:rPr>
                <w:rFonts w:ascii="Calibri" w:hAnsi="Calibri" w:cs="Calibri"/>
                <w:sz w:val="20"/>
                <w:szCs w:val="20"/>
              </w:rPr>
              <w:t>Temperature</w:t>
            </w:r>
          </w:p>
        </w:tc>
        <w:tc>
          <w:tcPr>
            <w:tcW w:w="8706" w:type="dxa"/>
            <w:gridSpan w:val="3"/>
          </w:tcPr>
          <w:p w14:paraId="417EF5F4" w14:textId="77777777" w:rsidR="00A345E4" w:rsidRDefault="00AD2B29">
            <w:pPr>
              <w:spacing w:after="120"/>
              <w:rPr>
                <w:rFonts w:ascii="Calibri" w:hAnsi="Calibri" w:cs="Calibri"/>
                <w:sz w:val="20"/>
                <w:szCs w:val="20"/>
              </w:rPr>
            </w:pPr>
            <w:r>
              <w:rPr>
                <w:rFonts w:ascii="Calibri" w:hAnsi="Calibri" w:cs="Calibri"/>
                <w:i/>
                <w:iCs/>
                <w:sz w:val="20"/>
                <w:szCs w:val="20"/>
              </w:rPr>
              <w:t>Literature review indicates a negative correlation between genome size and temperature.</w:t>
            </w:r>
          </w:p>
        </w:tc>
      </w:tr>
      <w:tr w:rsidR="00A345E4" w14:paraId="4E703BD0" w14:textId="77777777">
        <w:tc>
          <w:tcPr>
            <w:tcW w:w="1643" w:type="dxa"/>
            <w:vMerge/>
          </w:tcPr>
          <w:p w14:paraId="44B17B9B" w14:textId="77777777" w:rsidR="00A345E4" w:rsidRDefault="00A345E4">
            <w:pPr>
              <w:spacing w:after="120"/>
              <w:rPr>
                <w:rFonts w:ascii="Calibri" w:hAnsi="Calibri" w:cs="Calibri"/>
                <w:sz w:val="20"/>
                <w:szCs w:val="20"/>
              </w:rPr>
            </w:pPr>
          </w:p>
        </w:tc>
        <w:tc>
          <w:tcPr>
            <w:tcW w:w="3654" w:type="dxa"/>
          </w:tcPr>
          <w:p w14:paraId="67DFBE46" w14:textId="77777777" w:rsidR="00A345E4" w:rsidRDefault="00AD2B29">
            <w:pPr>
              <w:spacing w:after="120"/>
              <w:rPr>
                <w:rFonts w:ascii="Calibri" w:hAnsi="Calibri" w:cs="Calibri"/>
                <w:sz w:val="20"/>
                <w:szCs w:val="20"/>
              </w:rPr>
            </w:pPr>
            <w:r>
              <w:rPr>
                <w:rFonts w:ascii="Calibri" w:hAnsi="Calibri" w:cs="Calibri"/>
                <w:sz w:val="20"/>
                <w:szCs w:val="20"/>
              </w:rPr>
              <w:t>Comparative genomic of genomes of hyperthermophilic microorganisms shows average genome sizes of about 2.3 Mb with very active horizontal gene transfer (HGT) mechanisms</w:t>
            </w:r>
          </w:p>
        </w:tc>
        <w:tc>
          <w:tcPr>
            <w:tcW w:w="3004" w:type="dxa"/>
          </w:tcPr>
          <w:p w14:paraId="0D9382E3" w14:textId="77777777" w:rsidR="00A345E4" w:rsidRDefault="00AD2B29">
            <w:pPr>
              <w:spacing w:after="120"/>
              <w:rPr>
                <w:rFonts w:ascii="Calibri" w:hAnsi="Calibri" w:cs="Calibri"/>
                <w:sz w:val="20"/>
                <w:szCs w:val="20"/>
              </w:rPr>
            </w:pPr>
            <w:r>
              <w:rPr>
                <w:rFonts w:ascii="Calibri" w:hAnsi="Calibri" w:cs="Calibri"/>
                <w:i/>
                <w:iCs/>
                <w:sz w:val="20"/>
                <w:szCs w:val="20"/>
              </w:rPr>
              <w:t>Thermus thermophilus</w:t>
            </w:r>
            <w:r>
              <w:rPr>
                <w:rFonts w:ascii="Calibri" w:hAnsi="Calibri" w:cs="Calibri"/>
                <w:sz w:val="20"/>
                <w:szCs w:val="20"/>
              </w:rPr>
              <w:t xml:space="preserve"> (phylum </w:t>
            </w:r>
            <w:proofErr w:type="spellStart"/>
            <w:r>
              <w:rPr>
                <w:rFonts w:ascii="Calibri" w:hAnsi="Calibri" w:cs="Calibri"/>
                <w:sz w:val="20"/>
                <w:szCs w:val="20"/>
              </w:rPr>
              <w:t>Deinococcota</w:t>
            </w:r>
            <w:proofErr w:type="spellEnd"/>
            <w:r>
              <w:rPr>
                <w:rFonts w:ascii="Calibri" w:hAnsi="Calibri" w:cs="Calibri"/>
                <w:sz w:val="20"/>
                <w:szCs w:val="20"/>
              </w:rPr>
              <w:t>)</w:t>
            </w:r>
          </w:p>
          <w:p w14:paraId="6F10F0D0" w14:textId="77777777" w:rsidR="00A345E4" w:rsidRDefault="00AD2B29">
            <w:pPr>
              <w:spacing w:after="120"/>
              <w:rPr>
                <w:rFonts w:ascii="Calibri" w:hAnsi="Calibri" w:cs="Calibri"/>
                <w:sz w:val="20"/>
                <w:szCs w:val="20"/>
              </w:rPr>
            </w:pPr>
            <w:r>
              <w:rPr>
                <w:rFonts w:ascii="Calibri" w:hAnsi="Calibri" w:cs="Calibri"/>
                <w:i/>
                <w:iCs/>
                <w:sz w:val="20"/>
                <w:szCs w:val="20"/>
              </w:rPr>
              <w:t>Thermus spp.</w:t>
            </w:r>
          </w:p>
        </w:tc>
        <w:tc>
          <w:tcPr>
            <w:tcW w:w="2048" w:type="dxa"/>
          </w:tcPr>
          <w:p w14:paraId="77F35E29" w14:textId="77777777" w:rsidR="00A345E4" w:rsidRDefault="00AD2B29">
            <w:pPr>
              <w:spacing w:after="120"/>
              <w:rPr>
                <w:rFonts w:ascii="Calibri" w:hAnsi="Calibri" w:cs="Calibri"/>
                <w:sz w:val="20"/>
                <w:szCs w:val="20"/>
                <w:lang w:val="sv-SE"/>
              </w:rPr>
            </w:pPr>
            <w:r>
              <w:fldChar w:fldCharType="begin"/>
            </w:r>
            <w:r>
              <w:rPr>
                <w:rFonts w:ascii="Cambria" w:hAnsi="Cambria"/>
              </w:rPr>
              <w:instrText>ADDIN EN.CITE</w:instrText>
            </w:r>
            <w:r>
              <w:fldChar w:fldCharType="begin"/>
            </w:r>
            <w:r>
              <w:rPr>
                <w:rFonts w:ascii="Cambria" w:hAnsi="Cambria"/>
              </w:rPr>
              <w:instrText>ADDIN EN.CITE.DATA</w:instrText>
            </w:r>
            <w:r w:rsidR="0008070B">
              <w:rPr>
                <w:rFonts w:ascii="Cambria" w:hAnsi="Cambria"/>
              </w:rPr>
              <w:fldChar w:fldCharType="separate"/>
            </w:r>
            <w:r>
              <w:rPr>
                <w:rFonts w:ascii="Cambria" w:hAnsi="Cambria"/>
              </w:rPr>
              <w:fldChar w:fldCharType="end"/>
            </w:r>
            <w:r>
              <w:rPr>
                <w:rFonts w:ascii="Cambria" w:hAnsi="Cambria"/>
              </w:rPr>
              <w:fldChar w:fldCharType="separate"/>
            </w:r>
            <w:r>
              <w:rPr>
                <w:rFonts w:asciiTheme="majorHAnsi" w:hAnsiTheme="majorHAnsi"/>
                <w:sz w:val="20"/>
                <w:szCs w:val="20"/>
                <w:lang w:val="sv-SE"/>
              </w:rPr>
              <w:t>(Blesa et al 2018, Borges and Bergquist 1993)</w:t>
            </w:r>
            <w:r>
              <w:rPr>
                <w:rFonts w:ascii="Cambria" w:hAnsi="Cambria"/>
              </w:rPr>
              <w:fldChar w:fldCharType="end"/>
            </w:r>
          </w:p>
        </w:tc>
      </w:tr>
      <w:tr w:rsidR="00A345E4" w14:paraId="2B9C3D8D" w14:textId="77777777">
        <w:tc>
          <w:tcPr>
            <w:tcW w:w="1643" w:type="dxa"/>
            <w:vMerge/>
          </w:tcPr>
          <w:p w14:paraId="42B36A36" w14:textId="77777777" w:rsidR="00A345E4" w:rsidRDefault="00A345E4">
            <w:pPr>
              <w:spacing w:after="120"/>
              <w:rPr>
                <w:rFonts w:ascii="Calibri" w:hAnsi="Calibri" w:cs="Calibri"/>
                <w:sz w:val="20"/>
                <w:szCs w:val="20"/>
                <w:lang w:val="sv-SE"/>
              </w:rPr>
            </w:pPr>
          </w:p>
        </w:tc>
        <w:tc>
          <w:tcPr>
            <w:tcW w:w="3654" w:type="dxa"/>
          </w:tcPr>
          <w:p w14:paraId="77FE76AD" w14:textId="77777777" w:rsidR="00A345E4" w:rsidRDefault="00AD2B29">
            <w:pPr>
              <w:spacing w:after="120"/>
              <w:rPr>
                <w:rFonts w:ascii="Calibri" w:hAnsi="Calibri" w:cs="Calibri"/>
                <w:sz w:val="20"/>
                <w:szCs w:val="20"/>
              </w:rPr>
            </w:pPr>
            <w:r>
              <w:rPr>
                <w:rFonts w:ascii="Calibri" w:hAnsi="Calibri" w:cs="Calibri"/>
                <w:sz w:val="20"/>
                <w:szCs w:val="20"/>
              </w:rPr>
              <w:t>Metagenomics suggest that gene gains would have played an important role in adaptation to low temperature and oligotrophic deep marine environments</w:t>
            </w:r>
          </w:p>
        </w:tc>
        <w:tc>
          <w:tcPr>
            <w:tcW w:w="3004" w:type="dxa"/>
          </w:tcPr>
          <w:p w14:paraId="781BBB9D" w14:textId="77777777" w:rsidR="00A345E4" w:rsidRDefault="00AD2B29">
            <w:pPr>
              <w:spacing w:after="120"/>
              <w:rPr>
                <w:rFonts w:ascii="Calibri" w:hAnsi="Calibri" w:cs="Calibri"/>
                <w:sz w:val="20"/>
                <w:szCs w:val="20"/>
              </w:rPr>
            </w:pPr>
            <w:proofErr w:type="spellStart"/>
            <w:r>
              <w:rPr>
                <w:rFonts w:ascii="Calibri" w:hAnsi="Calibri" w:cs="Calibri"/>
                <w:sz w:val="20"/>
                <w:szCs w:val="20"/>
              </w:rPr>
              <w:t>Thermoproteota</w:t>
            </w:r>
            <w:proofErr w:type="spellEnd"/>
            <w:r>
              <w:rPr>
                <w:rFonts w:ascii="Calibri" w:hAnsi="Calibri" w:cs="Calibri"/>
                <w:sz w:val="20"/>
                <w:szCs w:val="20"/>
              </w:rPr>
              <w:t xml:space="preserve"> and </w:t>
            </w:r>
            <w:proofErr w:type="spellStart"/>
            <w:r>
              <w:rPr>
                <w:rFonts w:ascii="Calibri" w:hAnsi="Calibri" w:cs="Calibri"/>
                <w:sz w:val="20"/>
                <w:szCs w:val="20"/>
              </w:rPr>
              <w:t>Euryarchaeota</w:t>
            </w:r>
            <w:proofErr w:type="spellEnd"/>
            <w:r>
              <w:rPr>
                <w:rFonts w:ascii="Calibri" w:hAnsi="Calibri" w:cs="Calibri"/>
                <w:sz w:val="20"/>
                <w:szCs w:val="20"/>
              </w:rPr>
              <w:t xml:space="preserve"> (phyla)</w:t>
            </w:r>
          </w:p>
        </w:tc>
        <w:tc>
          <w:tcPr>
            <w:tcW w:w="2048" w:type="dxa"/>
          </w:tcPr>
          <w:p w14:paraId="5AF95E1C" w14:textId="77777777" w:rsidR="00A345E4" w:rsidRDefault="00AD2B29">
            <w:pPr>
              <w:spacing w:after="120"/>
              <w:rPr>
                <w:rFonts w:ascii="Calibri" w:hAnsi="Calibri" w:cs="Calibri"/>
                <w:sz w:val="20"/>
                <w:szCs w:val="20"/>
              </w:rPr>
            </w:pPr>
            <w:r>
              <w:fldChar w:fldCharType="begin"/>
            </w:r>
            <w:r>
              <w:rPr>
                <w:rFonts w:ascii="Cambria" w:hAnsi="Cambria"/>
              </w:rPr>
              <w:instrText>ADDIN EN.CITE &lt;EndNote&gt;&lt;Cite&gt;&lt;Author&gt;Brochier-Armanet&lt;/Author&gt;&lt;Year&gt;2011&lt;/Year&gt;&lt;RecNum&gt;3862&lt;/RecNum&gt;&lt;DisplayText&gt;(Brochier-Armanet et al 2011)&lt;/DisplayText&gt;&lt;record&gt;&lt;rec-number&gt;3862&lt;/rec-number&gt;&lt;foreign-keys&gt;&lt;key app="EN" db-id="rvarxsaperwarteavwa5eszdz9da5f0werpr" timestamp="1607000031" guid="4875fcfd-202e-438c-8d7f-1a285f084d11"&gt;3862&lt;/key&gt;&lt;/foreign-keys&gt;&lt;ref-type name="Journal Article"&gt;17&lt;/ref-type&gt;&lt;contributors&gt;&lt;authors&gt;&lt;author&gt;Brochier-Armanet, C.&lt;/author&gt;&lt;author&gt;Deschamps, P.&lt;/author&gt;&lt;author&gt;Lopez-Garcia, P.&lt;/author&gt;&lt;author&gt;Zivanovic, Y.&lt;/author&gt;&lt;author&gt;Rodriguez-Valera, F.&lt;/author&gt;&lt;author&gt;Moreira, D.&lt;/author&gt;&lt;/authors&gt;&lt;/contributors&gt;&lt;auth-address&gt;Universite de Provence, Aix-Marseille I, Laboratoire de Chimie Bacterienne, Marseille, France.&lt;/auth-address&gt;&lt;titles&gt;&lt;title&gt;Complete-fosmid and fosmid-end sequences reveal frequent horizontal gene transfers in marine uncultured planktonic archaea&lt;/title&gt;&lt;secondary-title&gt;ISME J&lt;/secondary-title&gt;&lt;/titles&gt;&lt;periodical&gt;&lt;full-title&gt;ISME J&lt;/full-title&gt;&lt;/periodical&gt;&lt;pages&gt;1291-302&lt;/pages&gt;&lt;volume&gt;5&lt;/volume&gt;&lt;number&gt;8&lt;/number&gt;&lt;edition&gt;2011/02/25&lt;/edition&gt;&lt;keywords&gt;&lt;keyword&gt;Archaea/classification/*genetics/physiology&lt;/keyword&gt;&lt;keyword&gt;Crenarchaeota/classification/genetics&lt;/keyword&gt;&lt;keyword&gt;Euryarchaeota/classification/genetics&lt;/keyword&gt;&lt;keyword&gt;Gene Library&lt;/keyword&gt;&lt;keyword&gt;*Gene Transfer, Horizontal&lt;/keyword&gt;&lt;keyword&gt;Genes, Archaeal&lt;/keyword&gt;&lt;keyword&gt;Metagenomics&lt;/keyword&gt;&lt;keyword&gt;Oceans and Seas&lt;/keyword&gt;&lt;keyword&gt;Phylogeny&lt;/keyword&gt;&lt;keyword&gt;Plankton/classification/genetics&lt;/keyword&gt;&lt;keyword&gt;RNA, Archaeal/genetics&lt;/keyword&gt;&lt;keyword&gt;RNA, Ribosomal, 16S/genetics&lt;/keyword&gt;&lt;/keywords&gt;&lt;dates&gt;&lt;year&gt;2011&lt;/year&gt;&lt;pub-dates&gt;&lt;date&gt;Aug&lt;/date&gt;&lt;/pub-dates&gt;&lt;/dates&gt;&lt;isbn&gt;1751-7370 (Electronic)&amp;#xD;1751-7362 (Linking)&lt;/isbn&gt;&lt;accession-num&gt;21346789&lt;/accession-num&gt;&lt;urls&gt;&lt;related-urls&gt;&lt;url&gt;https://www.ncbi.nlm.nih.gov/pubmed/21346789&lt;/url&gt;&lt;/related-urls&gt;&lt;/urls&gt;&lt;custom2&gt;PMC3146271&lt;/custom2&gt;&lt;electronic-resource-num&gt;10.1038/ismej.2011.16&lt;/electronic-resource-num&gt;&lt;/record&gt;&lt;/Cite&gt;&lt;/EndNote&gt;</w:instrText>
            </w:r>
            <w:r>
              <w:rPr>
                <w:rFonts w:ascii="Cambria" w:hAnsi="Cambria"/>
              </w:rPr>
              <w:fldChar w:fldCharType="separate"/>
            </w:r>
            <w:r>
              <w:rPr>
                <w:rFonts w:asciiTheme="majorHAnsi" w:hAnsiTheme="majorHAnsi"/>
                <w:sz w:val="20"/>
                <w:szCs w:val="20"/>
              </w:rPr>
              <w:t>(Brochier-Armanet et al 2011)</w:t>
            </w:r>
            <w:r>
              <w:rPr>
                <w:rFonts w:ascii="Cambria" w:hAnsi="Cambria"/>
              </w:rPr>
              <w:fldChar w:fldCharType="end"/>
            </w:r>
          </w:p>
        </w:tc>
      </w:tr>
      <w:tr w:rsidR="00A345E4" w14:paraId="403EB560" w14:textId="77777777">
        <w:tc>
          <w:tcPr>
            <w:tcW w:w="1643" w:type="dxa"/>
            <w:vMerge/>
          </w:tcPr>
          <w:p w14:paraId="23F21AD9" w14:textId="77777777" w:rsidR="00A345E4" w:rsidRDefault="00A345E4">
            <w:pPr>
              <w:spacing w:after="120"/>
              <w:rPr>
                <w:rFonts w:ascii="Calibri" w:hAnsi="Calibri" w:cs="Calibri"/>
                <w:sz w:val="20"/>
                <w:szCs w:val="20"/>
              </w:rPr>
            </w:pPr>
          </w:p>
        </w:tc>
        <w:tc>
          <w:tcPr>
            <w:tcW w:w="3654" w:type="dxa"/>
          </w:tcPr>
          <w:p w14:paraId="19FCBB65" w14:textId="77777777" w:rsidR="00A345E4" w:rsidRDefault="00AD2B29">
            <w:pPr>
              <w:spacing w:after="120"/>
              <w:rPr>
                <w:rFonts w:ascii="Calibri" w:hAnsi="Calibri" w:cs="Calibri"/>
                <w:sz w:val="20"/>
                <w:szCs w:val="20"/>
              </w:rPr>
            </w:pPr>
            <w:r>
              <w:rPr>
                <w:rFonts w:ascii="Calibri" w:hAnsi="Calibri" w:cs="Calibri"/>
                <w:sz w:val="20"/>
                <w:szCs w:val="20"/>
              </w:rPr>
              <w:t>Comparative genomics of isolates in one genus indicate larger genomes in colder environments.</w:t>
            </w:r>
          </w:p>
        </w:tc>
        <w:tc>
          <w:tcPr>
            <w:tcW w:w="3004" w:type="dxa"/>
          </w:tcPr>
          <w:p w14:paraId="0FADCCE3" w14:textId="77777777" w:rsidR="00A345E4" w:rsidRDefault="00AD2B29">
            <w:pPr>
              <w:spacing w:after="120"/>
              <w:rPr>
                <w:rFonts w:ascii="Calibri" w:hAnsi="Calibri" w:cs="Calibri"/>
                <w:sz w:val="20"/>
                <w:szCs w:val="20"/>
              </w:rPr>
            </w:pPr>
            <w:proofErr w:type="spellStart"/>
            <w:r>
              <w:rPr>
                <w:rFonts w:ascii="Calibri" w:hAnsi="Calibri" w:cs="Calibri"/>
                <w:i/>
                <w:iCs/>
                <w:sz w:val="20"/>
                <w:szCs w:val="20"/>
              </w:rPr>
              <w:t>Janthinobacterium</w:t>
            </w:r>
            <w:proofErr w:type="spellEnd"/>
            <w:r>
              <w:rPr>
                <w:rFonts w:ascii="Calibri" w:hAnsi="Calibri" w:cs="Calibri"/>
                <w:sz w:val="20"/>
                <w:szCs w:val="20"/>
              </w:rPr>
              <w:t xml:space="preserve"> spp. (class Gammaproteobacteria)</w:t>
            </w:r>
          </w:p>
        </w:tc>
        <w:tc>
          <w:tcPr>
            <w:tcW w:w="2048" w:type="dxa"/>
          </w:tcPr>
          <w:p w14:paraId="1999E6FA" w14:textId="77777777" w:rsidR="00A345E4" w:rsidRDefault="00AD2B29">
            <w:pPr>
              <w:spacing w:after="120"/>
              <w:rPr>
                <w:rFonts w:ascii="Calibri" w:hAnsi="Calibri" w:cs="Calibri"/>
                <w:sz w:val="20"/>
                <w:szCs w:val="20"/>
              </w:rPr>
            </w:pPr>
            <w:r>
              <w:fldChar w:fldCharType="begin"/>
            </w:r>
            <w:r>
              <w:rPr>
                <w:rFonts w:ascii="Cambria" w:hAnsi="Cambria"/>
              </w:rPr>
              <w:instrText>ADDIN EN.CITE</w:instrText>
            </w:r>
            <w:r>
              <w:fldChar w:fldCharType="begin"/>
            </w:r>
            <w:r>
              <w:rPr>
                <w:rFonts w:ascii="Cambria" w:hAnsi="Cambria"/>
              </w:rPr>
              <w:instrText>ADDIN EN.CITE.DATA</w:instrText>
            </w:r>
            <w:r w:rsidR="0008070B">
              <w:rPr>
                <w:rFonts w:ascii="Cambria" w:hAnsi="Cambria"/>
              </w:rPr>
              <w:fldChar w:fldCharType="separate"/>
            </w:r>
            <w:r>
              <w:rPr>
                <w:rFonts w:ascii="Cambria" w:hAnsi="Cambria"/>
              </w:rPr>
              <w:fldChar w:fldCharType="end"/>
            </w:r>
            <w:r>
              <w:rPr>
                <w:rFonts w:ascii="Cambria" w:hAnsi="Cambria"/>
              </w:rPr>
              <w:fldChar w:fldCharType="separate"/>
            </w:r>
            <w:r>
              <w:rPr>
                <w:rFonts w:asciiTheme="majorHAnsi" w:hAnsiTheme="majorHAnsi"/>
                <w:sz w:val="20"/>
                <w:szCs w:val="20"/>
              </w:rPr>
              <w:t>(Dieser et al 2019)</w:t>
            </w:r>
            <w:r>
              <w:rPr>
                <w:rFonts w:ascii="Cambria" w:hAnsi="Cambria"/>
              </w:rPr>
              <w:fldChar w:fldCharType="end"/>
            </w:r>
          </w:p>
        </w:tc>
      </w:tr>
      <w:tr w:rsidR="00A345E4" w14:paraId="6ED83203" w14:textId="77777777">
        <w:tc>
          <w:tcPr>
            <w:tcW w:w="1643" w:type="dxa"/>
            <w:vMerge/>
          </w:tcPr>
          <w:p w14:paraId="40C0F253" w14:textId="77777777" w:rsidR="00A345E4" w:rsidRDefault="00A345E4">
            <w:pPr>
              <w:spacing w:after="120"/>
              <w:rPr>
                <w:rFonts w:ascii="Calibri" w:hAnsi="Calibri" w:cs="Calibri"/>
                <w:sz w:val="20"/>
                <w:szCs w:val="20"/>
              </w:rPr>
            </w:pPr>
          </w:p>
        </w:tc>
        <w:tc>
          <w:tcPr>
            <w:tcW w:w="3654" w:type="dxa"/>
          </w:tcPr>
          <w:p w14:paraId="451D3ACF" w14:textId="77777777" w:rsidR="00A345E4" w:rsidRDefault="00AD2B29">
            <w:pPr>
              <w:spacing w:after="120"/>
              <w:rPr>
                <w:rFonts w:ascii="Calibri" w:hAnsi="Calibri" w:cs="Calibri"/>
                <w:color w:val="000000"/>
                <w:sz w:val="20"/>
                <w:szCs w:val="20"/>
              </w:rPr>
            </w:pPr>
            <w:r>
              <w:rPr>
                <w:rFonts w:ascii="Calibri" w:hAnsi="Calibri" w:cs="Calibri"/>
                <w:color w:val="000000"/>
                <w:sz w:val="20"/>
                <w:szCs w:val="20"/>
              </w:rPr>
              <w:t>Soil microorganisms show evidence for an inverse relationship between genome size and temperature</w:t>
            </w:r>
          </w:p>
        </w:tc>
        <w:tc>
          <w:tcPr>
            <w:tcW w:w="3004" w:type="dxa"/>
          </w:tcPr>
          <w:p w14:paraId="0D65FD2E" w14:textId="77777777" w:rsidR="00A345E4" w:rsidRDefault="00AD2B29">
            <w:pPr>
              <w:spacing w:after="120"/>
              <w:rPr>
                <w:rFonts w:ascii="Calibri" w:hAnsi="Calibri" w:cs="Calibri"/>
                <w:sz w:val="20"/>
                <w:szCs w:val="20"/>
              </w:rPr>
            </w:pPr>
            <w:r>
              <w:rPr>
                <w:rFonts w:ascii="Calibri" w:hAnsi="Calibri" w:cs="Calibri"/>
                <w:sz w:val="20"/>
                <w:szCs w:val="20"/>
              </w:rPr>
              <w:t>Different Archaea and Bacteria</w:t>
            </w:r>
          </w:p>
        </w:tc>
        <w:tc>
          <w:tcPr>
            <w:tcW w:w="2048" w:type="dxa"/>
          </w:tcPr>
          <w:p w14:paraId="1CAE895B" w14:textId="77777777" w:rsidR="00A345E4" w:rsidRDefault="00AD2B29">
            <w:pPr>
              <w:spacing w:after="120"/>
              <w:rPr>
                <w:sz w:val="20"/>
                <w:szCs w:val="20"/>
              </w:rPr>
            </w:pPr>
            <w:r>
              <w:fldChar w:fldCharType="begin"/>
            </w:r>
            <w:r>
              <w:rPr>
                <w:rFonts w:ascii="Cambria" w:hAnsi="Cambria"/>
              </w:rPr>
              <w:instrText>ADDIN EN.CITE</w:instrText>
            </w:r>
            <w:r>
              <w:fldChar w:fldCharType="begin"/>
            </w:r>
            <w:r>
              <w:rPr>
                <w:rFonts w:ascii="Cambria" w:hAnsi="Cambria"/>
              </w:rPr>
              <w:instrText>ADDIN EN.CITE.DATA</w:instrText>
            </w:r>
            <w:r w:rsidR="0008070B">
              <w:rPr>
                <w:rFonts w:ascii="Cambria" w:hAnsi="Cambria"/>
              </w:rPr>
              <w:fldChar w:fldCharType="separate"/>
            </w:r>
            <w:r>
              <w:rPr>
                <w:rFonts w:ascii="Cambria" w:hAnsi="Cambria"/>
              </w:rPr>
              <w:fldChar w:fldCharType="end"/>
            </w:r>
            <w:r>
              <w:rPr>
                <w:rFonts w:ascii="Cambria" w:hAnsi="Cambria"/>
              </w:rPr>
              <w:fldChar w:fldCharType="separate"/>
            </w:r>
            <w:r>
              <w:rPr>
                <w:rFonts w:asciiTheme="majorHAnsi" w:hAnsiTheme="majorHAnsi"/>
                <w:sz w:val="20"/>
                <w:szCs w:val="20"/>
              </w:rPr>
              <w:t>(Sorensen et al 2019)</w:t>
            </w:r>
            <w:r>
              <w:rPr>
                <w:rFonts w:ascii="Cambria" w:hAnsi="Cambria"/>
              </w:rPr>
              <w:fldChar w:fldCharType="end"/>
            </w:r>
          </w:p>
        </w:tc>
      </w:tr>
      <w:tr w:rsidR="00A345E4" w14:paraId="7C798110" w14:textId="77777777">
        <w:tc>
          <w:tcPr>
            <w:tcW w:w="1643" w:type="dxa"/>
            <w:vMerge/>
          </w:tcPr>
          <w:p w14:paraId="770381A4" w14:textId="77777777" w:rsidR="00A345E4" w:rsidRDefault="00A345E4">
            <w:pPr>
              <w:spacing w:after="120"/>
              <w:rPr>
                <w:rFonts w:ascii="Calibri" w:hAnsi="Calibri" w:cs="Calibri"/>
                <w:sz w:val="20"/>
                <w:szCs w:val="20"/>
              </w:rPr>
            </w:pPr>
          </w:p>
        </w:tc>
        <w:tc>
          <w:tcPr>
            <w:tcW w:w="3654" w:type="dxa"/>
          </w:tcPr>
          <w:p w14:paraId="5C9167CA" w14:textId="77777777" w:rsidR="00A345E4" w:rsidRDefault="00AD2B29">
            <w:pPr>
              <w:spacing w:after="120"/>
              <w:rPr>
                <w:rFonts w:ascii="Calibri" w:hAnsi="Calibri" w:cs="Calibri"/>
                <w:sz w:val="20"/>
                <w:szCs w:val="20"/>
              </w:rPr>
            </w:pPr>
            <w:r>
              <w:rPr>
                <w:rFonts w:ascii="Calibri" w:hAnsi="Calibri" w:cs="Calibri"/>
                <w:color w:val="000000"/>
                <w:sz w:val="20"/>
                <w:szCs w:val="20"/>
              </w:rPr>
              <w:t xml:space="preserve">Environmental samples indicate that hypersaline environments could increase gene gain via HGT, whereas thermal environments decrease it. </w:t>
            </w:r>
          </w:p>
        </w:tc>
        <w:tc>
          <w:tcPr>
            <w:tcW w:w="3004" w:type="dxa"/>
          </w:tcPr>
          <w:p w14:paraId="514789EC" w14:textId="77777777" w:rsidR="00A345E4" w:rsidRDefault="00AD2B29">
            <w:pPr>
              <w:spacing w:after="120"/>
              <w:rPr>
                <w:rFonts w:ascii="Calibri" w:hAnsi="Calibri" w:cs="Calibri"/>
                <w:sz w:val="20"/>
                <w:szCs w:val="20"/>
              </w:rPr>
            </w:pPr>
            <w:proofErr w:type="spellStart"/>
            <w:r>
              <w:rPr>
                <w:rFonts w:ascii="Calibri" w:hAnsi="Calibri" w:cs="Calibri"/>
                <w:sz w:val="20"/>
                <w:szCs w:val="20"/>
              </w:rPr>
              <w:t>Halobacteria</w:t>
            </w:r>
            <w:proofErr w:type="spellEnd"/>
            <w:r>
              <w:rPr>
                <w:rFonts w:ascii="Calibri" w:hAnsi="Calibri" w:cs="Calibri"/>
                <w:sz w:val="20"/>
                <w:szCs w:val="20"/>
              </w:rPr>
              <w:t xml:space="preserve"> and </w:t>
            </w:r>
            <w:proofErr w:type="spellStart"/>
            <w:r>
              <w:rPr>
                <w:rFonts w:ascii="Calibri" w:hAnsi="Calibri" w:cs="Calibri"/>
                <w:sz w:val="20"/>
                <w:szCs w:val="20"/>
              </w:rPr>
              <w:t>Thermoproteia</w:t>
            </w:r>
            <w:proofErr w:type="spellEnd"/>
            <w:r>
              <w:rPr>
                <w:rFonts w:ascii="Calibri" w:hAnsi="Calibri" w:cs="Calibri"/>
                <w:sz w:val="20"/>
                <w:szCs w:val="20"/>
              </w:rPr>
              <w:t xml:space="preserve"> (class)</w:t>
            </w:r>
          </w:p>
        </w:tc>
        <w:tc>
          <w:tcPr>
            <w:tcW w:w="2048" w:type="dxa"/>
          </w:tcPr>
          <w:p w14:paraId="4082FEE5" w14:textId="77777777" w:rsidR="00A345E4" w:rsidRDefault="00AD2B29">
            <w:pPr>
              <w:spacing w:after="120"/>
              <w:rPr>
                <w:rFonts w:ascii="Calibri" w:hAnsi="Calibri" w:cs="Calibri"/>
                <w:sz w:val="20"/>
                <w:szCs w:val="20"/>
              </w:rPr>
            </w:pPr>
            <w:r>
              <w:fldChar w:fldCharType="begin"/>
            </w:r>
            <w:r>
              <w:rPr>
                <w:rFonts w:ascii="Cambria" w:hAnsi="Cambria"/>
              </w:rPr>
              <w:instrText>ADDIN EN.CITE &lt;EndNote&gt;&lt;Cite&gt;&lt;Author&gt;Rhodes&lt;/Author&gt;&lt;Year&gt;2011&lt;/Year&gt;&lt;RecNum&gt;3871&lt;/RecNum&gt;&lt;DisplayText&gt;(Rhodes et al 2011)&lt;/DisplayText&gt;&lt;record&gt;&lt;rec-number&gt;3871&lt;/rec-number&gt;&lt;foreign-keys&gt;&lt;key app="EN" db-id="rvarxsaperwarteavwa5eszdz9da5f0werpr" timestamp="1608025151" guid="d9c9f8c5-9a52-4631-9eec-eafe491f221b"&gt;3871&lt;/key&gt;&lt;/foreign-keys&gt;&lt;ref-type name="Journal Article"&gt;17&lt;/ref-type&gt;&lt;contributors&gt;&lt;authors&gt;&lt;author&gt;Rhodes, M. E.&lt;/author&gt;&lt;author&gt;Spear, J. R.&lt;/author&gt;&lt;author&gt;Oren, A.&lt;/author&gt;&lt;author&gt;House, C. H.&lt;/author&gt;&lt;/authors&gt;&lt;/contributors&gt;&lt;auth-address&gt;Penn State Astrobiology Research Center and Department of Geosciences, The Pennsylvania State University, University Park, PA 16802, USA. mer251@psu.edu&lt;/auth-address&gt;&lt;titles&gt;&lt;title&gt;Differences in lateral gene transfer in hypersaline versus thermal environments&lt;/title&gt;&lt;secondary-title&gt;BMC Evol Biol&lt;/secondary-title&gt;&lt;/titles&gt;&lt;periodical&gt;&lt;full-title&gt;BMC Evol Biol&lt;/full-title&gt;&lt;abbr-1&gt;BMC evolutionary biology&lt;/abbr-1&gt;&lt;/periodical&gt;&lt;pages&gt;199&lt;/pages&gt;&lt;volume&gt;11&lt;/volume&gt;&lt;edition&gt;2011/07/12&lt;/edition&gt;&lt;keywords&gt;&lt;keyword&gt;Archaea/classification/*genetics/metabolism&lt;/keyword&gt;&lt;keyword&gt;*Ecosystem&lt;/keyword&gt;&lt;keyword&gt;*Gene Transfer, Horizontal&lt;/keyword&gt;&lt;keyword&gt;Hot Temperature&lt;/keyword&gt;&lt;keyword&gt;Molecular Sequence Data&lt;/keyword&gt;&lt;keyword&gt;Phylogeny&lt;/keyword&gt;&lt;keyword&gt;Sodium Chloride/metabolism&lt;/keyword&gt;&lt;keyword&gt;Transformation, Genetic&lt;/keyword&gt;&lt;keyword&gt;Water/analysis&lt;/keyword&gt;&lt;keyword&gt;Water Microbiology&lt;/keyword&gt;&lt;/keywords&gt;&lt;dates&gt;&lt;year&gt;2011&lt;/year&gt;&lt;pub-dates&gt;&lt;date&gt;Jul 8&lt;/date&gt;&lt;/pub-dates&gt;&lt;/dates&gt;&lt;isbn&gt;1471-2148 (Electronic)&amp;#xD;1471-2148 (Linking)&lt;/isbn&gt;&lt;accession-num&gt;21740576&lt;/accession-num&gt;&lt;urls&gt;&lt;related-urls&gt;&lt;url&gt;https://www.ncbi.nlm.nih.gov/pubmed/21740576&lt;/url&gt;&lt;/related-urls&gt;&lt;/urls&gt;&lt;custom2&gt;PMC3236060&lt;/custom2&gt;&lt;electronic-resource-num&gt;10.1186/1471-2148-11-199&lt;/electronic-resource-num&gt;&lt;/record&gt;&lt;/Cite&gt;&lt;/EndNote&gt;</w:instrText>
            </w:r>
            <w:r>
              <w:rPr>
                <w:rFonts w:ascii="Cambria" w:hAnsi="Cambria"/>
              </w:rPr>
              <w:fldChar w:fldCharType="separate"/>
            </w:r>
            <w:r>
              <w:rPr>
                <w:rFonts w:asciiTheme="majorHAnsi" w:hAnsiTheme="majorHAnsi"/>
                <w:sz w:val="20"/>
                <w:szCs w:val="20"/>
              </w:rPr>
              <w:t>(Rhodes et al 2011)</w:t>
            </w:r>
            <w:r>
              <w:rPr>
                <w:rFonts w:ascii="Cambria" w:hAnsi="Cambria"/>
              </w:rPr>
              <w:fldChar w:fldCharType="end"/>
            </w:r>
          </w:p>
        </w:tc>
      </w:tr>
      <w:tr w:rsidR="00A345E4" w14:paraId="703DBC25" w14:textId="77777777">
        <w:tc>
          <w:tcPr>
            <w:tcW w:w="1643" w:type="dxa"/>
            <w:vMerge w:val="restart"/>
          </w:tcPr>
          <w:p w14:paraId="5C5935E7" w14:textId="77777777" w:rsidR="00A345E4" w:rsidRDefault="00AD2B29">
            <w:pPr>
              <w:spacing w:after="120"/>
              <w:rPr>
                <w:rFonts w:ascii="Calibri" w:hAnsi="Calibri" w:cs="Calibri"/>
                <w:sz w:val="20"/>
                <w:szCs w:val="20"/>
              </w:rPr>
            </w:pPr>
            <w:r>
              <w:rPr>
                <w:rFonts w:ascii="Calibri" w:hAnsi="Calibri" w:cs="Calibri"/>
                <w:sz w:val="20"/>
                <w:szCs w:val="20"/>
              </w:rPr>
              <w:t xml:space="preserve">Nutrients </w:t>
            </w:r>
          </w:p>
        </w:tc>
        <w:tc>
          <w:tcPr>
            <w:tcW w:w="8706" w:type="dxa"/>
            <w:gridSpan w:val="3"/>
          </w:tcPr>
          <w:p w14:paraId="6575B8C1" w14:textId="77777777" w:rsidR="00A345E4" w:rsidRDefault="00AD2B29">
            <w:pPr>
              <w:spacing w:after="120"/>
              <w:rPr>
                <w:rFonts w:ascii="Calibri" w:hAnsi="Calibri" w:cs="Calibri"/>
                <w:sz w:val="20"/>
                <w:szCs w:val="20"/>
              </w:rPr>
            </w:pPr>
            <w:r>
              <w:rPr>
                <w:rFonts w:ascii="Calibri" w:hAnsi="Calibri" w:cs="Calibri"/>
                <w:i/>
                <w:iCs/>
                <w:sz w:val="20"/>
                <w:szCs w:val="20"/>
              </w:rPr>
              <w:t xml:space="preserve">Diversity and quantity of nutrients are two factors that drive ecology and evolution of genome size. Literature present conflicting results on the effect of these dimensions. Future work should use more sophisticated chemical analytics to characterize quality and quantity of diversity of nutrients to find more predictable correlations. </w:t>
            </w:r>
          </w:p>
        </w:tc>
      </w:tr>
      <w:tr w:rsidR="00A345E4" w14:paraId="7A3FEA8F" w14:textId="77777777">
        <w:tc>
          <w:tcPr>
            <w:tcW w:w="1643" w:type="dxa"/>
            <w:vMerge/>
          </w:tcPr>
          <w:p w14:paraId="0B67D733" w14:textId="77777777" w:rsidR="00A345E4" w:rsidRDefault="00A345E4">
            <w:pPr>
              <w:spacing w:after="120"/>
              <w:rPr>
                <w:rFonts w:ascii="Calibri" w:hAnsi="Calibri" w:cs="Calibri"/>
                <w:sz w:val="20"/>
                <w:szCs w:val="20"/>
              </w:rPr>
            </w:pPr>
          </w:p>
        </w:tc>
        <w:tc>
          <w:tcPr>
            <w:tcW w:w="3654" w:type="dxa"/>
          </w:tcPr>
          <w:p w14:paraId="29B76777" w14:textId="77777777" w:rsidR="00A345E4" w:rsidRDefault="00AD2B29">
            <w:pPr>
              <w:pStyle w:val="NormalWeb"/>
              <w:spacing w:before="0" w:after="120" w:afterAutospacing="0"/>
              <w:rPr>
                <w:rFonts w:ascii="Calibri" w:hAnsi="Calibri" w:cs="Calibri"/>
                <w:sz w:val="20"/>
                <w:szCs w:val="20"/>
              </w:rPr>
            </w:pPr>
            <w:r>
              <w:rPr>
                <w:rFonts w:ascii="Calibri" w:hAnsi="Calibri" w:cs="Calibri"/>
                <w:sz w:val="20"/>
                <w:szCs w:val="20"/>
              </w:rPr>
              <w:t xml:space="preserve">Metagenomics indicate dominance of reduced genomes in the Baikal Lake. Small genomes are thought to reflect the extremely oligotrophic conditions of the lake. </w:t>
            </w:r>
          </w:p>
        </w:tc>
        <w:tc>
          <w:tcPr>
            <w:tcW w:w="3004" w:type="dxa"/>
          </w:tcPr>
          <w:p w14:paraId="7C0912F3" w14:textId="77777777" w:rsidR="00A345E4" w:rsidRDefault="00AD2B29">
            <w:pPr>
              <w:spacing w:after="120"/>
              <w:rPr>
                <w:rFonts w:ascii="Calibri" w:hAnsi="Calibri" w:cs="Calibri"/>
                <w:sz w:val="20"/>
                <w:szCs w:val="20"/>
              </w:rPr>
            </w:pPr>
            <w:r>
              <w:rPr>
                <w:rFonts w:ascii="Calibri" w:hAnsi="Calibri" w:cs="Calibri"/>
                <w:sz w:val="20"/>
                <w:szCs w:val="20"/>
              </w:rPr>
              <w:t xml:space="preserve">Actinobacteria, Bacteroidetes, Cyanobacteria </w:t>
            </w:r>
            <w:proofErr w:type="spellStart"/>
            <w:r>
              <w:rPr>
                <w:rFonts w:ascii="Calibri" w:hAnsi="Calibri" w:cs="Calibri"/>
                <w:sz w:val="20"/>
                <w:szCs w:val="20"/>
              </w:rPr>
              <w:t>Verrucomicrobia</w:t>
            </w:r>
            <w:proofErr w:type="spellEnd"/>
            <w:r>
              <w:rPr>
                <w:rFonts w:ascii="Calibri" w:hAnsi="Calibri" w:cs="Calibri"/>
                <w:sz w:val="20"/>
                <w:szCs w:val="20"/>
              </w:rPr>
              <w:t xml:space="preserve"> and </w:t>
            </w:r>
            <w:proofErr w:type="spellStart"/>
            <w:r>
              <w:rPr>
                <w:rFonts w:ascii="Calibri" w:hAnsi="Calibri" w:cs="Calibri"/>
                <w:sz w:val="20"/>
                <w:szCs w:val="20"/>
              </w:rPr>
              <w:t>Thermoproteota</w:t>
            </w:r>
            <w:proofErr w:type="spellEnd"/>
            <w:r>
              <w:rPr>
                <w:rFonts w:ascii="Calibri" w:hAnsi="Calibri" w:cs="Calibri"/>
                <w:sz w:val="20"/>
                <w:szCs w:val="20"/>
              </w:rPr>
              <w:t xml:space="preserve"> (phyla)</w:t>
            </w:r>
          </w:p>
          <w:p w14:paraId="0328E280" w14:textId="77777777" w:rsidR="00A345E4" w:rsidRDefault="00A345E4">
            <w:pPr>
              <w:spacing w:after="120"/>
              <w:rPr>
                <w:rFonts w:ascii="Calibri" w:hAnsi="Calibri" w:cs="Calibri"/>
                <w:sz w:val="20"/>
                <w:szCs w:val="20"/>
              </w:rPr>
            </w:pPr>
          </w:p>
        </w:tc>
        <w:tc>
          <w:tcPr>
            <w:tcW w:w="2048" w:type="dxa"/>
          </w:tcPr>
          <w:p w14:paraId="52860378" w14:textId="77777777" w:rsidR="00A345E4" w:rsidRDefault="00AD2B29">
            <w:pPr>
              <w:spacing w:after="120"/>
              <w:rPr>
                <w:rFonts w:ascii="Calibri" w:hAnsi="Calibri" w:cs="Calibri"/>
                <w:sz w:val="20"/>
                <w:szCs w:val="20"/>
              </w:rPr>
            </w:pPr>
            <w:r>
              <w:fldChar w:fldCharType="begin"/>
            </w:r>
            <w:r>
              <w:rPr>
                <w:rFonts w:ascii="Cambria" w:hAnsi="Cambria"/>
              </w:rPr>
              <w:instrText>ADDIN EN.CITE</w:instrText>
            </w:r>
            <w:r>
              <w:fldChar w:fldCharType="begin"/>
            </w:r>
            <w:r>
              <w:rPr>
                <w:rFonts w:ascii="Cambria" w:hAnsi="Cambria"/>
              </w:rPr>
              <w:instrText>ADDIN EN.CITE.DATA</w:instrText>
            </w:r>
            <w:r w:rsidR="0008070B">
              <w:rPr>
                <w:rFonts w:ascii="Cambria" w:hAnsi="Cambria"/>
              </w:rPr>
              <w:fldChar w:fldCharType="separate"/>
            </w:r>
            <w:r>
              <w:rPr>
                <w:rFonts w:ascii="Cambria" w:hAnsi="Cambria"/>
              </w:rPr>
              <w:fldChar w:fldCharType="end"/>
            </w:r>
            <w:r>
              <w:rPr>
                <w:rFonts w:ascii="Cambria" w:hAnsi="Cambria"/>
              </w:rPr>
              <w:fldChar w:fldCharType="separate"/>
            </w:r>
            <w:r>
              <w:rPr>
                <w:rFonts w:asciiTheme="majorHAnsi" w:hAnsiTheme="majorHAnsi"/>
                <w:sz w:val="20"/>
                <w:szCs w:val="20"/>
              </w:rPr>
              <w:t>(Cabello-Yeves et al 2018)</w:t>
            </w:r>
            <w:r>
              <w:rPr>
                <w:rFonts w:ascii="Cambria" w:hAnsi="Cambria"/>
              </w:rPr>
              <w:fldChar w:fldCharType="end"/>
            </w:r>
          </w:p>
        </w:tc>
      </w:tr>
      <w:tr w:rsidR="00A345E4" w14:paraId="413AE59A" w14:textId="77777777">
        <w:tc>
          <w:tcPr>
            <w:tcW w:w="1643" w:type="dxa"/>
            <w:vMerge/>
          </w:tcPr>
          <w:p w14:paraId="01166A3D" w14:textId="77777777" w:rsidR="00A345E4" w:rsidRDefault="00A345E4">
            <w:pPr>
              <w:spacing w:after="120"/>
              <w:rPr>
                <w:rFonts w:ascii="Calibri" w:hAnsi="Calibri" w:cs="Calibri"/>
                <w:sz w:val="20"/>
                <w:szCs w:val="20"/>
              </w:rPr>
            </w:pPr>
          </w:p>
        </w:tc>
        <w:tc>
          <w:tcPr>
            <w:tcW w:w="3654" w:type="dxa"/>
          </w:tcPr>
          <w:p w14:paraId="53F6440E" w14:textId="77777777" w:rsidR="00A345E4" w:rsidRDefault="00AD2B29">
            <w:pPr>
              <w:spacing w:after="120"/>
              <w:rPr>
                <w:rFonts w:ascii="Calibri" w:hAnsi="Calibri" w:cs="Calibri"/>
                <w:sz w:val="20"/>
                <w:szCs w:val="20"/>
              </w:rPr>
            </w:pPr>
            <w:r>
              <w:rPr>
                <w:rFonts w:ascii="Calibri" w:hAnsi="Calibri" w:cs="Calibri"/>
                <w:sz w:val="20"/>
                <w:szCs w:val="20"/>
              </w:rPr>
              <w:t>Online databases indicate that larger genome-sized species may dominate environments where resources are scarce but diverse.</w:t>
            </w:r>
          </w:p>
        </w:tc>
        <w:tc>
          <w:tcPr>
            <w:tcW w:w="3004" w:type="dxa"/>
          </w:tcPr>
          <w:p w14:paraId="299DB923" w14:textId="77777777" w:rsidR="00A345E4" w:rsidRDefault="00AD2B29">
            <w:pPr>
              <w:spacing w:after="120"/>
              <w:rPr>
                <w:rFonts w:ascii="Calibri" w:hAnsi="Calibri" w:cs="Calibri"/>
                <w:sz w:val="20"/>
                <w:szCs w:val="20"/>
              </w:rPr>
            </w:pPr>
            <w:r>
              <w:rPr>
                <w:rFonts w:ascii="Calibri" w:hAnsi="Calibri" w:cs="Calibri"/>
                <w:sz w:val="20"/>
                <w:szCs w:val="20"/>
              </w:rPr>
              <w:t>70 closely related bacterial genomes</w:t>
            </w:r>
          </w:p>
        </w:tc>
        <w:tc>
          <w:tcPr>
            <w:tcW w:w="2048" w:type="dxa"/>
          </w:tcPr>
          <w:p w14:paraId="22D42FCF" w14:textId="77777777" w:rsidR="00A345E4" w:rsidRDefault="00AD2B29">
            <w:pPr>
              <w:spacing w:after="120"/>
              <w:rPr>
                <w:rFonts w:ascii="Calibri" w:hAnsi="Calibri" w:cs="Calibri"/>
                <w:sz w:val="20"/>
                <w:szCs w:val="20"/>
              </w:rPr>
            </w:pPr>
            <w:r>
              <w:fldChar w:fldCharType="begin"/>
            </w:r>
            <w:r>
              <w:rPr>
                <w:rFonts w:ascii="Cambria" w:hAnsi="Cambria"/>
              </w:rPr>
              <w:instrText>ADDIN EN.CITE &lt;EndNote&gt;&lt;Cite&gt;&lt;Author&gt;Konstantinidis&lt;/Author&gt;&lt;Year&gt;2004&lt;/Year&gt;&lt;RecNum&gt;3794&lt;/RecNum&gt;&lt;DisplayText&gt;(Konstantinidis and Tiedje 2004)&lt;/DisplayText&gt;&lt;record&gt;&lt;rec-number&gt;3794&lt;/rec-number&gt;&lt;foreign-keys&gt;&lt;key app="EN" db-id="rvarxsaperwarteavwa5eszdz9da5f0werpr" timestamp="1606925325" guid="868b58d5-9a47-40db-a2d8-e860677a3644"&gt;3794&lt;/key&gt;&lt;/foreign-keys&gt;&lt;ref-type name="Journal Article"&gt;17&lt;/ref-type&gt;&lt;contributors&gt;&lt;authors&gt;&lt;author&gt;Konstantinidis, K. T.&lt;/author&gt;&lt;author&gt;Tiedje, J. M.&lt;/author&gt;&lt;/authors&gt;&lt;/contributors&gt;&lt;auth-address&gt;Center for Microbial Ecology and Departments of Crop and Soil Sciences, Michigan State University, East Lansing, MI 48824-1325, USA.&lt;/auth-address&gt;&lt;titles&gt;&lt;title&gt;Trends between gene content and genome size in prokaryotic species with larger genomes&lt;/title&gt;&lt;secondary-title&gt;Proc Natl Acad Sci U S A&lt;/secondary-title&gt;&lt;/titles&gt;&lt;periodical&gt;&lt;full-title&gt;Proc Natl Acad Sci U S A&lt;/full-title&gt;&lt;/periodical&gt;&lt;pages&gt;3160-5&lt;/pages&gt;&lt;volume&gt;101&lt;/volume&gt;&lt;number&gt;9&lt;/number&gt;&lt;edition&gt;2004/02/20&lt;/edition&gt;&lt;keywords&gt;&lt;keyword&gt;Animals&lt;/keyword&gt;&lt;keyword&gt;Cell Division/genetics&lt;/keyword&gt;&lt;keyword&gt;Cell Physiological Phenomena&lt;/keyword&gt;&lt;keyword&gt;DNA/genetics&lt;/keyword&gt;&lt;keyword&gt;DNA Replication/genetics&lt;/keyword&gt;&lt;keyword&gt;Energy Metabolism/genetics&lt;/keyword&gt;&lt;keyword&gt;*Genome&lt;/keyword&gt;&lt;keyword&gt;Genome, Bacterial&lt;/keyword&gt;&lt;keyword&gt;Metabolism/genetics&lt;/keyword&gt;&lt;keyword&gt;Models, Genetic&lt;/keyword&gt;&lt;keyword&gt;Nucleotides/metabolism&lt;/keyword&gt;&lt;keyword&gt;Open Reading Frames&lt;/keyword&gt;&lt;keyword&gt;Protein Biosynthesis&lt;/keyword&gt;&lt;/keywords&gt;&lt;dates&gt;&lt;year&gt;2004&lt;/year&gt;&lt;pub-dates&gt;&lt;date&gt;Mar 2&lt;/date&gt;&lt;/pub-dates&gt;&lt;/dates&gt;&lt;isbn&gt;0027-8424 (Print)&amp;#xD;0027-8424 (Linking)&lt;/isbn&gt;&lt;accession-num&gt;14973198&lt;/accession-num&gt;&lt;urls&gt;&lt;related-urls&gt;&lt;url&gt;https://www.ncbi.nlm.nih.gov/pubmed/14973198&lt;/url&gt;&lt;/related-urls&gt;&lt;/urls&gt;&lt;custom2&gt;PMC365760&lt;/custom2&gt;&lt;electronic-resource-num&gt;10.1073/pnas.0308653100&lt;/electronic-resource-num&gt;&lt;/record&gt;&lt;/Cite&gt;&lt;/EndNote&gt;</w:instrText>
            </w:r>
            <w:r>
              <w:rPr>
                <w:rFonts w:ascii="Cambria" w:hAnsi="Cambria"/>
              </w:rPr>
              <w:fldChar w:fldCharType="separate"/>
            </w:r>
            <w:r>
              <w:rPr>
                <w:rFonts w:asciiTheme="majorHAnsi" w:hAnsiTheme="majorHAnsi"/>
                <w:sz w:val="20"/>
                <w:szCs w:val="20"/>
              </w:rPr>
              <w:t>(Konstantinidis and Tiedje 2004)</w:t>
            </w:r>
            <w:r>
              <w:rPr>
                <w:rFonts w:ascii="Cambria" w:hAnsi="Cambria"/>
              </w:rPr>
              <w:fldChar w:fldCharType="end"/>
            </w:r>
            <w:r>
              <w:rPr>
                <w:rFonts w:ascii="Calibri" w:hAnsi="Calibri" w:cs="Calibri"/>
                <w:sz w:val="20"/>
                <w:szCs w:val="20"/>
              </w:rPr>
              <w:t xml:space="preserve"> </w:t>
            </w:r>
          </w:p>
        </w:tc>
      </w:tr>
      <w:tr w:rsidR="00A345E4" w14:paraId="2529FDDF" w14:textId="77777777">
        <w:tc>
          <w:tcPr>
            <w:tcW w:w="1643" w:type="dxa"/>
            <w:vMerge/>
          </w:tcPr>
          <w:p w14:paraId="0B8710C7" w14:textId="77777777" w:rsidR="00A345E4" w:rsidRDefault="00A345E4">
            <w:pPr>
              <w:spacing w:after="120"/>
              <w:rPr>
                <w:rFonts w:ascii="Calibri" w:hAnsi="Calibri" w:cs="Calibri"/>
                <w:sz w:val="20"/>
                <w:szCs w:val="20"/>
              </w:rPr>
            </w:pPr>
          </w:p>
        </w:tc>
        <w:tc>
          <w:tcPr>
            <w:tcW w:w="3654" w:type="dxa"/>
          </w:tcPr>
          <w:p w14:paraId="579B4EE0" w14:textId="77777777" w:rsidR="00A345E4" w:rsidRDefault="00AD2B29">
            <w:pPr>
              <w:spacing w:after="120"/>
              <w:rPr>
                <w:rFonts w:ascii="Calibri" w:hAnsi="Calibri" w:cs="Calibri"/>
                <w:sz w:val="20"/>
                <w:szCs w:val="20"/>
              </w:rPr>
            </w:pPr>
            <w:proofErr w:type="spellStart"/>
            <w:r>
              <w:rPr>
                <w:rFonts w:ascii="Calibri" w:hAnsi="Calibri" w:cs="Calibri"/>
                <w:sz w:val="20"/>
                <w:szCs w:val="20"/>
              </w:rPr>
              <w:t>Phylogenomics</w:t>
            </w:r>
            <w:proofErr w:type="spellEnd"/>
            <w:r>
              <w:rPr>
                <w:rFonts w:ascii="Calibri" w:hAnsi="Calibri" w:cs="Calibri"/>
                <w:sz w:val="20"/>
                <w:szCs w:val="20"/>
              </w:rPr>
              <w:t xml:space="preserve"> of isolates show gene loss in functions like resource scavenging and energy acquisition when adapting to nutrient-rich environments in algae and corals.</w:t>
            </w:r>
          </w:p>
        </w:tc>
        <w:tc>
          <w:tcPr>
            <w:tcW w:w="3004" w:type="dxa"/>
          </w:tcPr>
          <w:p w14:paraId="7C2DC422" w14:textId="77777777" w:rsidR="00A345E4" w:rsidRDefault="00AD2B29">
            <w:pPr>
              <w:spacing w:after="120"/>
              <w:rPr>
                <w:rFonts w:ascii="Calibri" w:hAnsi="Calibri" w:cs="Calibri"/>
                <w:sz w:val="20"/>
                <w:szCs w:val="20"/>
              </w:rPr>
            </w:pPr>
            <w:proofErr w:type="spellStart"/>
            <w:r>
              <w:rPr>
                <w:rFonts w:ascii="Calibri" w:hAnsi="Calibri" w:cs="Calibri"/>
                <w:sz w:val="20"/>
                <w:szCs w:val="20"/>
              </w:rPr>
              <w:t>Roseobacter</w:t>
            </w:r>
            <w:proofErr w:type="spellEnd"/>
            <w:r>
              <w:rPr>
                <w:rFonts w:ascii="Calibri" w:hAnsi="Calibri" w:cs="Calibri"/>
                <w:sz w:val="20"/>
                <w:szCs w:val="20"/>
              </w:rPr>
              <w:t xml:space="preserve"> spp. (class Alphaproteobacteria)</w:t>
            </w:r>
          </w:p>
        </w:tc>
        <w:tc>
          <w:tcPr>
            <w:tcW w:w="2048" w:type="dxa"/>
          </w:tcPr>
          <w:p w14:paraId="02CA479D" w14:textId="77777777" w:rsidR="00A345E4" w:rsidRDefault="00AD2B29">
            <w:pPr>
              <w:spacing w:after="120"/>
              <w:rPr>
                <w:rFonts w:ascii="Calibri" w:hAnsi="Calibri" w:cs="Calibri"/>
                <w:sz w:val="20"/>
                <w:szCs w:val="20"/>
              </w:rPr>
            </w:pPr>
            <w:r>
              <w:fldChar w:fldCharType="begin"/>
            </w:r>
            <w:r>
              <w:rPr>
                <w:rFonts w:ascii="Cambria" w:hAnsi="Cambria"/>
              </w:rPr>
              <w:instrText>ADDIN EN.CITE &lt;EndNote&gt;&lt;Cite&gt;&lt;Author&gt;Chu&lt;/Author&gt;&lt;Year&gt;2020&lt;/Year&gt;&lt;RecNum&gt;3849&lt;/RecNum&gt;&lt;DisplayText&gt;(Chu et al 2020)&lt;/DisplayText&gt;&lt;record&gt;&lt;rec-number&gt;3849&lt;/rec-number&gt;&lt;foreign-keys&gt;&lt;key app="EN" db-id="rvarxsaperwarteavwa5eszdz9da5f0werpr" timestamp="1606935578" guid="e1ab8b12-38e6-4529-bc16-6867d81d8e0b"&gt;3849&lt;/key&gt;&lt;/foreign-keys&gt;&lt;ref-type name="Journal Article"&gt;17&lt;/ref-type&gt;&lt;contributors&gt;&lt;authors&gt;&lt;author&gt;Chu, X.&lt;/author&gt;&lt;author&gt;Li, S.&lt;/author&gt;&lt;author&gt;Wang, S.&lt;/author&gt;&lt;author&gt;Luo, D.&lt;/author&gt;&lt;author&gt;Luo, H.&lt;/author&gt;&lt;/authors&gt;&lt;/contributors&gt;&lt;auth-address&gt;Simon F. S. Li Marine Science Laboratory, School of Life Sciences and State Key Laboratory of Agrobiotechnology, The Chinese University of Hong Kong, Shatin, Hong Kong SAR.&amp;#xD;Simon F. S. Li Marine Science Laboratory, School of Life Sciences and State Key Laboratory of Agrobiotechnology, The Chinese University of Hong Kong, Shatin, Hong Kong SAR. hluo2006@gmail.com.&amp;#xD;Shenzhen Research Institute, The Chinese University of Hong Kong, Shenzhen, 518000, China. hluo2006@gmail.com.&lt;/auth-address&gt;&lt;titles&gt;&lt;title&gt;Gene loss through pseudogenization contributes to the ecological diversification of a generalist Roseobacter lineage&lt;/title&gt;&lt;secondary-title&gt;ISME J&lt;/secondary-title&gt;&lt;/titles&gt;&lt;periodical&gt;&lt;full-title&gt;ISME J&lt;/full-title&gt;&lt;/periodical&gt;&lt;pages&gt;489-502&lt;/pages&gt;&lt;volume&gt;15&lt;/volume&gt;&lt;number&gt;2&lt;/number&gt;&lt;edition&gt;2020/10/02&lt;/edition&gt;&lt;keywords&gt;&lt;keyword&gt;Ecosystem&lt;/keyword&gt;&lt;keyword&gt;Genome, Bacterial&lt;/keyword&gt;&lt;keyword&gt;Phylogeny&lt;/keyword&gt;&lt;keyword&gt;*Roseobacter/genetics&lt;/keyword&gt;&lt;/keywords&gt;&lt;dates&gt;&lt;year&gt;2020&lt;/year&gt;&lt;pub-dates&gt;&lt;date&gt;Sep 30&lt;/date&gt;&lt;/pub-dates&gt;&lt;/dates&gt;&lt;isbn&gt;1751-7370 (Electronic)&amp;#xD;1751-7362 (Linking)&lt;/isbn&gt;&lt;accession-num&gt;32999421&lt;/accession-num&gt;&lt;urls&gt;&lt;related-urls&gt;&lt;url&gt;https://www.ncbi.nlm.nih.gov/pubmed/32999421&lt;/url&gt;&lt;/related-urls&gt;&lt;/urls&gt;&lt;custom2&gt;PMC8027821&lt;/custom2&gt;&lt;electronic-resource-num&gt;10.1038/s41396-020-00790-0&lt;/electronic-resource-num&gt;&lt;/record&gt;&lt;/Cite&gt;&lt;/EndNote&gt;</w:instrText>
            </w:r>
            <w:r>
              <w:rPr>
                <w:rFonts w:ascii="Cambria" w:hAnsi="Cambria"/>
              </w:rPr>
              <w:fldChar w:fldCharType="separate"/>
            </w:r>
            <w:r>
              <w:rPr>
                <w:rFonts w:asciiTheme="majorHAnsi" w:hAnsiTheme="majorHAnsi"/>
                <w:sz w:val="20"/>
                <w:szCs w:val="20"/>
              </w:rPr>
              <w:t>(Chu et al 2020)</w:t>
            </w:r>
            <w:r>
              <w:rPr>
                <w:rFonts w:ascii="Cambria" w:hAnsi="Cambria"/>
              </w:rPr>
              <w:fldChar w:fldCharType="end"/>
            </w:r>
          </w:p>
        </w:tc>
      </w:tr>
      <w:tr w:rsidR="00A345E4" w14:paraId="3F1EC913" w14:textId="77777777">
        <w:tc>
          <w:tcPr>
            <w:tcW w:w="1643" w:type="dxa"/>
            <w:vMerge/>
          </w:tcPr>
          <w:p w14:paraId="56FD1174" w14:textId="77777777" w:rsidR="00A345E4" w:rsidRDefault="00A345E4">
            <w:pPr>
              <w:spacing w:after="120"/>
              <w:rPr>
                <w:rFonts w:ascii="Calibri" w:hAnsi="Calibri" w:cs="Calibri"/>
                <w:sz w:val="20"/>
                <w:szCs w:val="20"/>
              </w:rPr>
            </w:pPr>
          </w:p>
        </w:tc>
        <w:tc>
          <w:tcPr>
            <w:tcW w:w="3654" w:type="dxa"/>
          </w:tcPr>
          <w:p w14:paraId="45937DE2" w14:textId="77777777" w:rsidR="00A345E4" w:rsidRDefault="00AD2B29">
            <w:pPr>
              <w:spacing w:after="120"/>
              <w:rPr>
                <w:rFonts w:ascii="Calibri" w:hAnsi="Calibri" w:cs="Calibri"/>
                <w:sz w:val="20"/>
                <w:szCs w:val="20"/>
              </w:rPr>
            </w:pPr>
            <w:r>
              <w:rPr>
                <w:rFonts w:ascii="Calibri" w:hAnsi="Calibri" w:cs="Calibri"/>
                <w:sz w:val="20"/>
                <w:szCs w:val="20"/>
              </w:rPr>
              <w:t>Oceanic metagenomic data show positive correlation between nutrient concentration and genome size.</w:t>
            </w:r>
          </w:p>
        </w:tc>
        <w:tc>
          <w:tcPr>
            <w:tcW w:w="3004" w:type="dxa"/>
          </w:tcPr>
          <w:p w14:paraId="465132C6" w14:textId="77777777" w:rsidR="00A345E4" w:rsidRDefault="00AD2B29">
            <w:pPr>
              <w:spacing w:after="120"/>
              <w:rPr>
                <w:rFonts w:ascii="Calibri" w:hAnsi="Calibri" w:cs="Calibri"/>
                <w:sz w:val="20"/>
                <w:szCs w:val="20"/>
              </w:rPr>
            </w:pPr>
            <w:r>
              <w:rPr>
                <w:rFonts w:ascii="Calibri" w:hAnsi="Calibri" w:cs="Calibri"/>
                <w:sz w:val="20"/>
                <w:szCs w:val="20"/>
              </w:rPr>
              <w:t>Different bacteria phyla</w:t>
            </w:r>
          </w:p>
        </w:tc>
        <w:tc>
          <w:tcPr>
            <w:tcW w:w="2048" w:type="dxa"/>
          </w:tcPr>
          <w:p w14:paraId="3415B072" w14:textId="77777777" w:rsidR="00A345E4" w:rsidRDefault="00AD2B29">
            <w:pPr>
              <w:spacing w:after="120"/>
              <w:rPr>
                <w:rFonts w:ascii="Calibri" w:hAnsi="Calibri" w:cs="Calibri"/>
                <w:sz w:val="20"/>
                <w:szCs w:val="20"/>
              </w:rPr>
            </w:pPr>
            <w:r>
              <w:fldChar w:fldCharType="begin"/>
            </w:r>
            <w:r>
              <w:rPr>
                <w:rFonts w:ascii="Cambria" w:hAnsi="Cambria"/>
              </w:rPr>
              <w:instrText>ADDIN EN.CITE</w:instrText>
            </w:r>
            <w:r>
              <w:fldChar w:fldCharType="begin"/>
            </w:r>
            <w:r>
              <w:rPr>
                <w:rFonts w:ascii="Cambria" w:hAnsi="Cambria"/>
              </w:rPr>
              <w:instrText>ADDIN EN.CITE.DATA</w:instrText>
            </w:r>
            <w:r w:rsidR="0008070B">
              <w:rPr>
                <w:rFonts w:ascii="Cambria" w:hAnsi="Cambria"/>
              </w:rPr>
              <w:fldChar w:fldCharType="separate"/>
            </w:r>
            <w:r>
              <w:rPr>
                <w:rFonts w:ascii="Cambria" w:hAnsi="Cambria"/>
              </w:rPr>
              <w:fldChar w:fldCharType="end"/>
            </w:r>
            <w:r>
              <w:rPr>
                <w:rFonts w:ascii="Cambria" w:hAnsi="Cambria"/>
              </w:rPr>
              <w:fldChar w:fldCharType="separate"/>
            </w:r>
            <w:r>
              <w:rPr>
                <w:rFonts w:asciiTheme="majorHAnsi" w:hAnsiTheme="majorHAnsi"/>
                <w:sz w:val="20"/>
                <w:szCs w:val="20"/>
              </w:rPr>
              <w:t>(Allen et al 2012)</w:t>
            </w:r>
            <w:r>
              <w:rPr>
                <w:rFonts w:ascii="Cambria" w:hAnsi="Cambria"/>
              </w:rPr>
              <w:fldChar w:fldCharType="end"/>
            </w:r>
          </w:p>
        </w:tc>
      </w:tr>
      <w:tr w:rsidR="00A345E4" w14:paraId="01D503F4" w14:textId="77777777">
        <w:tc>
          <w:tcPr>
            <w:tcW w:w="1643" w:type="dxa"/>
            <w:vMerge/>
          </w:tcPr>
          <w:p w14:paraId="1B14B891" w14:textId="77777777" w:rsidR="00A345E4" w:rsidRDefault="00A345E4">
            <w:pPr>
              <w:spacing w:after="120"/>
              <w:rPr>
                <w:rFonts w:ascii="Calibri" w:hAnsi="Calibri" w:cs="Calibri"/>
                <w:sz w:val="20"/>
                <w:szCs w:val="20"/>
              </w:rPr>
            </w:pPr>
          </w:p>
        </w:tc>
        <w:tc>
          <w:tcPr>
            <w:tcW w:w="3654" w:type="dxa"/>
          </w:tcPr>
          <w:p w14:paraId="04F96447" w14:textId="77777777" w:rsidR="00A345E4" w:rsidRDefault="00AD2B29">
            <w:pPr>
              <w:spacing w:after="120"/>
              <w:rPr>
                <w:rFonts w:ascii="Calibri" w:hAnsi="Calibri" w:cs="Calibri"/>
                <w:sz w:val="20"/>
                <w:szCs w:val="20"/>
              </w:rPr>
            </w:pPr>
            <w:r>
              <w:rPr>
                <w:rFonts w:ascii="Calibri" w:hAnsi="Calibri" w:cs="Calibri"/>
                <w:sz w:val="20"/>
                <w:szCs w:val="20"/>
              </w:rPr>
              <w:t>Metagenomics indicates small genomes in mesopelagic environments are the result of adaptation to energy scarcity.</w:t>
            </w:r>
          </w:p>
        </w:tc>
        <w:tc>
          <w:tcPr>
            <w:tcW w:w="3004" w:type="dxa"/>
          </w:tcPr>
          <w:p w14:paraId="6E88A3D9" w14:textId="77777777" w:rsidR="00A345E4" w:rsidRDefault="00AD2B29">
            <w:pPr>
              <w:spacing w:after="120"/>
              <w:rPr>
                <w:rFonts w:ascii="Calibri" w:hAnsi="Calibri" w:cs="Calibri"/>
                <w:sz w:val="20"/>
                <w:szCs w:val="20"/>
              </w:rPr>
            </w:pPr>
            <w:r>
              <w:rPr>
                <w:rFonts w:ascii="Calibri" w:hAnsi="Calibri" w:cs="Calibri"/>
                <w:sz w:val="20"/>
                <w:szCs w:val="20"/>
              </w:rPr>
              <w:t xml:space="preserve">Some </w:t>
            </w:r>
            <w:proofErr w:type="spellStart"/>
            <w:r>
              <w:rPr>
                <w:rFonts w:ascii="Calibri" w:hAnsi="Calibri" w:cs="Calibri"/>
                <w:sz w:val="20"/>
                <w:szCs w:val="20"/>
              </w:rPr>
              <w:t>Thermoproteota</w:t>
            </w:r>
            <w:proofErr w:type="spellEnd"/>
            <w:r>
              <w:rPr>
                <w:rFonts w:ascii="Calibri" w:hAnsi="Calibri" w:cs="Calibri"/>
                <w:sz w:val="20"/>
                <w:szCs w:val="20"/>
              </w:rPr>
              <w:t xml:space="preserve"> (phylum)</w:t>
            </w:r>
          </w:p>
        </w:tc>
        <w:tc>
          <w:tcPr>
            <w:tcW w:w="2048" w:type="dxa"/>
          </w:tcPr>
          <w:p w14:paraId="0B02B48C" w14:textId="77777777" w:rsidR="00A345E4" w:rsidRDefault="00AD2B29">
            <w:pPr>
              <w:spacing w:after="120"/>
              <w:rPr>
                <w:rFonts w:ascii="Calibri" w:hAnsi="Calibri" w:cs="Calibri"/>
                <w:sz w:val="20"/>
                <w:szCs w:val="20"/>
              </w:rPr>
            </w:pPr>
            <w:r>
              <w:fldChar w:fldCharType="begin"/>
            </w:r>
            <w:r>
              <w:rPr>
                <w:rFonts w:ascii="Cambria" w:hAnsi="Cambria"/>
              </w:rPr>
              <w:instrText>ADDIN EN.CITE &lt;EndNote&gt;&lt;Cite&gt;&lt;Author&gt;Aylward&lt;/Author&gt;&lt;Year&gt;2020&lt;/Year&gt;&lt;RecNum&gt;3863&lt;/RecNum&gt;&lt;DisplayText&gt;(Aylward and Santoro 2020)&lt;/DisplayText&gt;&lt;record&gt;&lt;rec-number&gt;3863&lt;/rec-number&gt;&lt;foreign-keys&gt;&lt;key app="EN" db-id="rvarxsaperwarteavwa5eszdz9da5f0werpr" timestamp="1607001067" guid="653f5c5c-c5ca-41b8-8136-ca6a6bae3f14"&gt;3863&lt;/key&gt;&lt;/foreign-keys&gt;&lt;ref-type name="Journal Article"&gt;17&lt;/ref-type&gt;&lt;contributors&gt;&lt;authors&gt;&lt;author&gt;Aylward, F. O.&lt;/author&gt;&lt;author&gt;Santoro, A. E.&lt;/author&gt;&lt;/authors&gt;&lt;/contributors&gt;&lt;auth-address&gt;Department of Biological Sciences, Virginia Tech, Blacksburg, Virginia, USA faylward@vt.edu asantoro@ucsb.edu.&amp;#xD;Department of Ecology, Evolution and Marine Biology, University of California, Santa Barbara, California, USA faylward@vt.edu asantoro@ucsb.edu.&lt;/auth-address&gt;&lt;titles&gt;&lt;title&gt;Heterotrophic Thaumarchaea with Small Genomes Are Widespread in the Dark Ocean&lt;/title&gt;&lt;secondary-title&gt;mSystems&lt;/secondary-title&gt;&lt;/titles&gt;&lt;periodical&gt;&lt;full-title&gt;mSystems&lt;/full-title&gt;&lt;/periodical&gt;&lt;volume&gt;5&lt;/volume&gt;&lt;number&gt;3&lt;/number&gt;&lt;edition&gt;2020/06/18&lt;/edition&gt;&lt;keywords&gt;&lt;keyword&gt;PQQ-dehydrogenase&lt;/keyword&gt;&lt;keyword&gt;RuBisCO&lt;/keyword&gt;&lt;keyword&gt;Tack&lt;/keyword&gt;&lt;keyword&gt;Thaumarchaeota&lt;/keyword&gt;&lt;keyword&gt;marine archaea&lt;/keyword&gt;&lt;/keywords&gt;&lt;dates&gt;&lt;year&gt;2020&lt;/year&gt;&lt;pub-dates&gt;&lt;date&gt;Jun 16&lt;/date&gt;&lt;/pub-dates&gt;&lt;/dates&gt;&lt;isbn&gt;2379-5077 (Print)&amp;#xD;2379-5077 (Linking)&lt;/isbn&gt;&lt;accession-num&gt;32546674&lt;/accession-num&gt;&lt;urls&gt;&lt;related-urls&gt;&lt;url&gt;https://www.ncbi.nlm.nih.gov/pubmed/32546674&lt;/url&gt;&lt;/related-urls&gt;&lt;/urls&gt;&lt;custom2&gt;PMC7300363&lt;/custom2&gt;&lt;electronic-resource-num&gt;10.1128/mSystems.00415-20&lt;/electronic-resource-num&gt;&lt;/record&gt;&lt;/Cite&gt;&lt;/EndNote&gt;</w:instrText>
            </w:r>
            <w:r>
              <w:rPr>
                <w:rFonts w:ascii="Cambria" w:hAnsi="Cambria"/>
              </w:rPr>
              <w:fldChar w:fldCharType="separate"/>
            </w:r>
            <w:r>
              <w:rPr>
                <w:rFonts w:asciiTheme="majorHAnsi" w:hAnsiTheme="majorHAnsi"/>
                <w:sz w:val="20"/>
                <w:szCs w:val="20"/>
              </w:rPr>
              <w:t>(Aylward and Santoro 2020)</w:t>
            </w:r>
            <w:r>
              <w:rPr>
                <w:rFonts w:ascii="Cambria" w:hAnsi="Cambria"/>
              </w:rPr>
              <w:fldChar w:fldCharType="end"/>
            </w:r>
          </w:p>
        </w:tc>
      </w:tr>
      <w:tr w:rsidR="00A345E4" w14:paraId="4747E505" w14:textId="77777777">
        <w:tc>
          <w:tcPr>
            <w:tcW w:w="1643" w:type="dxa"/>
            <w:vMerge/>
          </w:tcPr>
          <w:p w14:paraId="640557BE" w14:textId="77777777" w:rsidR="00A345E4" w:rsidRDefault="00A345E4">
            <w:pPr>
              <w:spacing w:after="120"/>
              <w:rPr>
                <w:rFonts w:ascii="Calibri" w:hAnsi="Calibri" w:cs="Calibri"/>
                <w:sz w:val="20"/>
                <w:szCs w:val="20"/>
              </w:rPr>
            </w:pPr>
          </w:p>
        </w:tc>
        <w:tc>
          <w:tcPr>
            <w:tcW w:w="3654" w:type="dxa"/>
          </w:tcPr>
          <w:p w14:paraId="3C040565" w14:textId="77777777" w:rsidR="00A345E4" w:rsidRDefault="00AD2B29">
            <w:pPr>
              <w:spacing w:after="120"/>
              <w:rPr>
                <w:rFonts w:ascii="Calibri" w:hAnsi="Calibri" w:cs="Calibri"/>
                <w:sz w:val="20"/>
                <w:szCs w:val="20"/>
              </w:rPr>
            </w:pPr>
            <w:r>
              <w:rPr>
                <w:rFonts w:ascii="Calibri" w:hAnsi="Calibri" w:cs="Calibri"/>
                <w:sz w:val="20"/>
                <w:szCs w:val="20"/>
              </w:rPr>
              <w:t>Whole-genome shotgun sequencing indicated that deep oligotrophic marine environments are dominated by large genomes with high GC content.</w:t>
            </w:r>
          </w:p>
        </w:tc>
        <w:tc>
          <w:tcPr>
            <w:tcW w:w="3004" w:type="dxa"/>
          </w:tcPr>
          <w:p w14:paraId="014FB75B" w14:textId="77777777" w:rsidR="00A345E4" w:rsidRDefault="00AD2B29">
            <w:pPr>
              <w:spacing w:after="120"/>
              <w:rPr>
                <w:rFonts w:ascii="Calibri" w:hAnsi="Calibri" w:cs="Calibri"/>
                <w:sz w:val="20"/>
                <w:szCs w:val="20"/>
              </w:rPr>
            </w:pPr>
            <w:proofErr w:type="spellStart"/>
            <w:r>
              <w:rPr>
                <w:rFonts w:ascii="Calibri" w:hAnsi="Calibri" w:cs="Calibri"/>
                <w:sz w:val="20"/>
                <w:szCs w:val="20"/>
              </w:rPr>
              <w:t>Lactobacillales</w:t>
            </w:r>
            <w:proofErr w:type="spellEnd"/>
            <w:r>
              <w:rPr>
                <w:rFonts w:ascii="Calibri" w:hAnsi="Calibri" w:cs="Calibri"/>
                <w:sz w:val="20"/>
                <w:szCs w:val="20"/>
              </w:rPr>
              <w:t xml:space="preserve"> (phylum Firmicutes)</w:t>
            </w:r>
          </w:p>
        </w:tc>
        <w:tc>
          <w:tcPr>
            <w:tcW w:w="2048" w:type="dxa"/>
          </w:tcPr>
          <w:p w14:paraId="6A39D25B" w14:textId="77777777" w:rsidR="00A345E4" w:rsidRDefault="00AD2B29">
            <w:pPr>
              <w:spacing w:after="120"/>
              <w:rPr>
                <w:rFonts w:ascii="Calibri" w:hAnsi="Calibri" w:cs="Calibri"/>
                <w:sz w:val="20"/>
                <w:szCs w:val="20"/>
              </w:rPr>
            </w:pPr>
            <w:r>
              <w:fldChar w:fldCharType="begin"/>
            </w:r>
            <w:r>
              <w:rPr>
                <w:rFonts w:ascii="Cambria" w:hAnsi="Cambria"/>
              </w:rPr>
              <w:instrText>ADDIN EN.CITE</w:instrText>
            </w:r>
            <w:r>
              <w:fldChar w:fldCharType="begin"/>
            </w:r>
            <w:r>
              <w:rPr>
                <w:rFonts w:ascii="Cambria" w:hAnsi="Cambria"/>
              </w:rPr>
              <w:instrText>ADDIN EN.CITE.DATA</w:instrText>
            </w:r>
            <w:r w:rsidR="0008070B">
              <w:rPr>
                <w:rFonts w:ascii="Cambria" w:hAnsi="Cambria"/>
              </w:rPr>
              <w:fldChar w:fldCharType="separate"/>
            </w:r>
            <w:r>
              <w:rPr>
                <w:rFonts w:ascii="Cambria" w:hAnsi="Cambria"/>
              </w:rPr>
              <w:fldChar w:fldCharType="end"/>
            </w:r>
            <w:r>
              <w:rPr>
                <w:rFonts w:ascii="Cambria" w:hAnsi="Cambria"/>
              </w:rPr>
              <w:fldChar w:fldCharType="separate"/>
            </w:r>
            <w:r>
              <w:rPr>
                <w:rFonts w:asciiTheme="majorHAnsi" w:hAnsiTheme="majorHAnsi"/>
                <w:sz w:val="20"/>
                <w:szCs w:val="20"/>
              </w:rPr>
              <w:t>(Makarova et al 2006)</w:t>
            </w:r>
            <w:r>
              <w:rPr>
                <w:rFonts w:ascii="Cambria" w:hAnsi="Cambria"/>
              </w:rPr>
              <w:fldChar w:fldCharType="end"/>
            </w:r>
          </w:p>
        </w:tc>
      </w:tr>
      <w:tr w:rsidR="00A345E4" w14:paraId="4DE9C7C8" w14:textId="77777777">
        <w:tc>
          <w:tcPr>
            <w:tcW w:w="1643" w:type="dxa"/>
            <w:vMerge/>
          </w:tcPr>
          <w:p w14:paraId="2C29CEB4" w14:textId="77777777" w:rsidR="00A345E4" w:rsidRDefault="00A345E4">
            <w:pPr>
              <w:spacing w:after="120"/>
              <w:rPr>
                <w:rFonts w:ascii="Calibri" w:hAnsi="Calibri" w:cs="Calibri"/>
                <w:sz w:val="20"/>
                <w:szCs w:val="20"/>
              </w:rPr>
            </w:pPr>
          </w:p>
        </w:tc>
        <w:tc>
          <w:tcPr>
            <w:tcW w:w="3654" w:type="dxa"/>
          </w:tcPr>
          <w:p w14:paraId="5AEB99B8" w14:textId="77777777" w:rsidR="00A345E4" w:rsidRDefault="00AD2B29">
            <w:pPr>
              <w:spacing w:after="120"/>
              <w:rPr>
                <w:rFonts w:ascii="Calibri" w:hAnsi="Calibri" w:cs="Calibri"/>
                <w:sz w:val="20"/>
                <w:szCs w:val="20"/>
              </w:rPr>
            </w:pPr>
            <w:r>
              <w:rPr>
                <w:rFonts w:ascii="Calibri" w:hAnsi="Calibri" w:cs="Calibri"/>
                <w:sz w:val="20"/>
                <w:szCs w:val="20"/>
              </w:rPr>
              <w:t>Oceanic metagenomic samples suggest that deeper areas with more nitrate and phosphate as nutrients are dominated by large genomes and high GC content.</w:t>
            </w:r>
          </w:p>
        </w:tc>
        <w:tc>
          <w:tcPr>
            <w:tcW w:w="3004" w:type="dxa"/>
          </w:tcPr>
          <w:p w14:paraId="1B7508E1" w14:textId="77777777" w:rsidR="00A345E4" w:rsidRDefault="00AD2B29">
            <w:pPr>
              <w:spacing w:after="120"/>
              <w:rPr>
                <w:rFonts w:ascii="Calibri" w:hAnsi="Calibri" w:cs="Calibri"/>
                <w:sz w:val="20"/>
                <w:szCs w:val="20"/>
              </w:rPr>
            </w:pPr>
            <w:r>
              <w:rPr>
                <w:rFonts w:ascii="Calibri" w:hAnsi="Calibri" w:cs="Calibri"/>
                <w:sz w:val="20"/>
                <w:szCs w:val="20"/>
              </w:rPr>
              <w:t xml:space="preserve">Bacteria (SAR11, </w:t>
            </w:r>
            <w:r>
              <w:rPr>
                <w:rFonts w:ascii="Calibri" w:hAnsi="Calibri" w:cs="Calibri"/>
                <w:i/>
                <w:iCs/>
                <w:sz w:val="20"/>
                <w:szCs w:val="20"/>
              </w:rPr>
              <w:t>Prochlorococcus</w:t>
            </w:r>
            <w:r>
              <w:rPr>
                <w:rFonts w:ascii="Calibri" w:hAnsi="Calibri" w:cs="Calibri"/>
                <w:sz w:val="20"/>
                <w:szCs w:val="20"/>
              </w:rPr>
              <w:t xml:space="preserve"> spp., </w:t>
            </w:r>
            <w:proofErr w:type="spellStart"/>
            <w:r>
              <w:rPr>
                <w:rFonts w:ascii="Calibri" w:hAnsi="Calibri" w:cs="Calibri"/>
                <w:i/>
                <w:iCs/>
                <w:sz w:val="20"/>
                <w:szCs w:val="20"/>
              </w:rPr>
              <w:t>Roseobacter</w:t>
            </w:r>
            <w:proofErr w:type="spellEnd"/>
            <w:r>
              <w:rPr>
                <w:rFonts w:ascii="Calibri" w:hAnsi="Calibri" w:cs="Calibri"/>
                <w:sz w:val="20"/>
                <w:szCs w:val="20"/>
              </w:rPr>
              <w:t xml:space="preserve"> spp., etc.) and Archaea (phyla </w:t>
            </w:r>
            <w:proofErr w:type="spellStart"/>
            <w:r>
              <w:rPr>
                <w:rFonts w:ascii="Calibri" w:hAnsi="Calibri" w:cs="Calibri"/>
                <w:sz w:val="20"/>
                <w:szCs w:val="20"/>
              </w:rPr>
              <w:t>Thermoproteota</w:t>
            </w:r>
            <w:proofErr w:type="spellEnd"/>
            <w:r>
              <w:rPr>
                <w:rFonts w:ascii="Calibri" w:hAnsi="Calibri" w:cs="Calibri"/>
                <w:sz w:val="20"/>
                <w:szCs w:val="20"/>
              </w:rPr>
              <w:t xml:space="preserve"> and </w:t>
            </w:r>
            <w:proofErr w:type="spellStart"/>
            <w:r>
              <w:rPr>
                <w:rFonts w:ascii="Calibri" w:hAnsi="Calibri" w:cs="Calibri"/>
                <w:sz w:val="20"/>
                <w:szCs w:val="20"/>
              </w:rPr>
              <w:t>Euryarchaeota</w:t>
            </w:r>
            <w:proofErr w:type="spellEnd"/>
            <w:r>
              <w:rPr>
                <w:rFonts w:ascii="Calibri" w:hAnsi="Calibri" w:cs="Calibri"/>
                <w:sz w:val="20"/>
                <w:szCs w:val="20"/>
              </w:rPr>
              <w:t>)</w:t>
            </w:r>
          </w:p>
        </w:tc>
        <w:tc>
          <w:tcPr>
            <w:tcW w:w="2048" w:type="dxa"/>
          </w:tcPr>
          <w:p w14:paraId="73E25BD4" w14:textId="77777777" w:rsidR="00A345E4" w:rsidRDefault="00AD2B29">
            <w:pPr>
              <w:spacing w:after="120"/>
              <w:rPr>
                <w:rFonts w:ascii="Calibri" w:hAnsi="Calibri" w:cs="Calibri"/>
                <w:sz w:val="20"/>
                <w:szCs w:val="20"/>
              </w:rPr>
            </w:pPr>
            <w:r>
              <w:fldChar w:fldCharType="begin"/>
            </w:r>
            <w:r>
              <w:rPr>
                <w:rFonts w:ascii="Cambria" w:hAnsi="Cambria"/>
              </w:rPr>
              <w:instrText>ADDIN EN.CITE</w:instrText>
            </w:r>
            <w:r>
              <w:fldChar w:fldCharType="begin"/>
            </w:r>
            <w:r>
              <w:rPr>
                <w:rFonts w:ascii="Cambria" w:hAnsi="Cambria"/>
              </w:rPr>
              <w:instrText>ADDIN EN.CITE.DATA</w:instrText>
            </w:r>
            <w:r w:rsidR="0008070B">
              <w:rPr>
                <w:rFonts w:ascii="Cambria" w:hAnsi="Cambria"/>
              </w:rPr>
              <w:fldChar w:fldCharType="separate"/>
            </w:r>
            <w:r>
              <w:rPr>
                <w:rFonts w:ascii="Cambria" w:hAnsi="Cambria"/>
              </w:rPr>
              <w:fldChar w:fldCharType="end"/>
            </w:r>
            <w:r>
              <w:rPr>
                <w:rFonts w:ascii="Cambria" w:hAnsi="Cambria"/>
              </w:rPr>
              <w:fldChar w:fldCharType="separate"/>
            </w:r>
            <w:r>
              <w:rPr>
                <w:rFonts w:asciiTheme="majorHAnsi" w:hAnsiTheme="majorHAnsi"/>
                <w:sz w:val="20"/>
                <w:szCs w:val="20"/>
              </w:rPr>
              <w:t>(Mende et al 2017)</w:t>
            </w:r>
            <w:r>
              <w:rPr>
                <w:rFonts w:ascii="Cambria" w:hAnsi="Cambria"/>
              </w:rPr>
              <w:fldChar w:fldCharType="end"/>
            </w:r>
          </w:p>
        </w:tc>
      </w:tr>
      <w:tr w:rsidR="00A345E4" w14:paraId="5E7C88EC" w14:textId="77777777">
        <w:tc>
          <w:tcPr>
            <w:tcW w:w="1643" w:type="dxa"/>
            <w:vMerge w:val="restart"/>
          </w:tcPr>
          <w:p w14:paraId="1CA20F90" w14:textId="77777777" w:rsidR="00A345E4" w:rsidRDefault="00AD2B29">
            <w:pPr>
              <w:spacing w:after="120"/>
              <w:rPr>
                <w:rFonts w:ascii="Calibri" w:hAnsi="Calibri" w:cs="Calibri"/>
                <w:sz w:val="20"/>
                <w:szCs w:val="20"/>
              </w:rPr>
            </w:pPr>
            <w:r>
              <w:rPr>
                <w:rFonts w:ascii="Calibri" w:hAnsi="Calibri" w:cs="Calibri"/>
                <w:sz w:val="20"/>
                <w:szCs w:val="20"/>
              </w:rPr>
              <w:t>Oxygen</w:t>
            </w:r>
          </w:p>
        </w:tc>
        <w:tc>
          <w:tcPr>
            <w:tcW w:w="8706" w:type="dxa"/>
            <w:gridSpan w:val="3"/>
          </w:tcPr>
          <w:p w14:paraId="103BBADE" w14:textId="77777777" w:rsidR="00A345E4" w:rsidRDefault="00AD2B29">
            <w:pPr>
              <w:pStyle w:val="NormalWeb"/>
              <w:shd w:val="clear" w:color="auto" w:fill="FFFFFF"/>
              <w:spacing w:before="0" w:after="120" w:afterAutospacing="0"/>
              <w:rPr>
                <w:rFonts w:asciiTheme="majorHAnsi" w:hAnsiTheme="majorHAnsi"/>
              </w:rPr>
            </w:pPr>
            <w:r>
              <w:rPr>
                <w:rFonts w:ascii="Calibri" w:hAnsi="Calibri" w:cs="Calibri"/>
                <w:i/>
                <w:iCs/>
                <w:sz w:val="20"/>
                <w:szCs w:val="20"/>
              </w:rPr>
              <w:t xml:space="preserve">Oxygen promotes bigger genome sizes </w:t>
            </w:r>
          </w:p>
        </w:tc>
      </w:tr>
      <w:tr w:rsidR="00A345E4" w14:paraId="47732620" w14:textId="77777777">
        <w:tc>
          <w:tcPr>
            <w:tcW w:w="1643" w:type="dxa"/>
            <w:vMerge/>
          </w:tcPr>
          <w:p w14:paraId="6A9DC15D" w14:textId="77777777" w:rsidR="00A345E4" w:rsidRDefault="00A345E4">
            <w:pPr>
              <w:spacing w:after="120"/>
              <w:rPr>
                <w:rFonts w:ascii="Calibri" w:hAnsi="Calibri" w:cs="Calibri"/>
                <w:sz w:val="20"/>
                <w:szCs w:val="20"/>
              </w:rPr>
            </w:pPr>
          </w:p>
        </w:tc>
        <w:tc>
          <w:tcPr>
            <w:tcW w:w="3654" w:type="dxa"/>
          </w:tcPr>
          <w:p w14:paraId="411001C0" w14:textId="77777777" w:rsidR="00A345E4" w:rsidRDefault="00AD2B29">
            <w:pPr>
              <w:spacing w:after="120"/>
              <w:rPr>
                <w:rFonts w:ascii="Calibri" w:hAnsi="Calibri" w:cs="Calibri"/>
                <w:sz w:val="20"/>
                <w:szCs w:val="20"/>
              </w:rPr>
            </w:pPr>
            <w:r>
              <w:rPr>
                <w:rFonts w:ascii="Calibri" w:hAnsi="Calibri" w:cs="Calibri"/>
                <w:sz w:val="20"/>
                <w:szCs w:val="20"/>
              </w:rPr>
              <w:t>Aerobic microorganisms show larger genome sizes than anaerobes across different environments</w:t>
            </w:r>
          </w:p>
        </w:tc>
        <w:tc>
          <w:tcPr>
            <w:tcW w:w="3004" w:type="dxa"/>
          </w:tcPr>
          <w:p w14:paraId="1E1FEAFC" w14:textId="77777777" w:rsidR="00A345E4" w:rsidRDefault="00AD2B29">
            <w:pPr>
              <w:spacing w:after="120"/>
              <w:rPr>
                <w:rFonts w:ascii="Calibri" w:hAnsi="Calibri" w:cs="Calibri"/>
                <w:sz w:val="20"/>
                <w:szCs w:val="20"/>
              </w:rPr>
            </w:pPr>
            <w:r>
              <w:rPr>
                <w:rFonts w:ascii="Calibri" w:hAnsi="Calibri" w:cs="Calibri"/>
                <w:sz w:val="20"/>
                <w:szCs w:val="20"/>
              </w:rPr>
              <w:t xml:space="preserve">Diverse archaeal and bacterial taxa </w:t>
            </w:r>
          </w:p>
        </w:tc>
        <w:tc>
          <w:tcPr>
            <w:tcW w:w="2048" w:type="dxa"/>
          </w:tcPr>
          <w:p w14:paraId="49867CEB" w14:textId="77777777" w:rsidR="00A345E4" w:rsidRDefault="00AD2B29">
            <w:pPr>
              <w:pStyle w:val="NormalWeb"/>
              <w:shd w:val="clear" w:color="auto" w:fill="FFFFFF"/>
              <w:spacing w:before="0" w:after="120" w:afterAutospacing="0"/>
              <w:rPr>
                <w:rFonts w:ascii="Calibri" w:hAnsi="Calibri" w:cs="Calibri"/>
                <w:sz w:val="20"/>
                <w:szCs w:val="20"/>
              </w:rPr>
            </w:pPr>
            <w:r>
              <w:fldChar w:fldCharType="begin"/>
            </w:r>
            <w:r>
              <w:instrText>ADDIN EN.CITE</w:instrText>
            </w:r>
            <w:r>
              <w:fldChar w:fldCharType="begin"/>
            </w:r>
            <w:r>
              <w:instrText>ADDIN EN.CITE.DATA</w:instrText>
            </w:r>
            <w:r w:rsidR="0008070B">
              <w:fldChar w:fldCharType="separate"/>
            </w:r>
            <w:r>
              <w:fldChar w:fldCharType="end"/>
            </w:r>
            <w:r>
              <w:fldChar w:fldCharType="separate"/>
            </w:r>
            <w:r>
              <w:rPr>
                <w:rFonts w:ascii="Calibri" w:hAnsi="Calibri" w:cs="Calibri"/>
                <w:sz w:val="20"/>
                <w:szCs w:val="20"/>
              </w:rPr>
              <w:t>(Nielsen et al 2021)</w:t>
            </w:r>
            <w:r>
              <w:fldChar w:fldCharType="end"/>
            </w:r>
          </w:p>
        </w:tc>
      </w:tr>
      <w:tr w:rsidR="00A345E4" w14:paraId="4E3A45C9" w14:textId="77777777">
        <w:tc>
          <w:tcPr>
            <w:tcW w:w="1643" w:type="dxa"/>
            <w:vMerge w:val="restart"/>
          </w:tcPr>
          <w:p w14:paraId="278A82E7" w14:textId="77777777" w:rsidR="00A345E4" w:rsidRDefault="00AD2B29">
            <w:pPr>
              <w:spacing w:after="120"/>
              <w:rPr>
                <w:rFonts w:ascii="Calibri" w:hAnsi="Calibri" w:cs="Calibri"/>
                <w:sz w:val="20"/>
                <w:szCs w:val="20"/>
              </w:rPr>
            </w:pPr>
            <w:r>
              <w:rPr>
                <w:rFonts w:ascii="Calibri" w:hAnsi="Calibri" w:cs="Calibri"/>
                <w:sz w:val="20"/>
                <w:szCs w:val="20"/>
              </w:rPr>
              <w:t>Trophic strategy</w:t>
            </w:r>
          </w:p>
        </w:tc>
        <w:tc>
          <w:tcPr>
            <w:tcW w:w="8706" w:type="dxa"/>
            <w:gridSpan w:val="3"/>
          </w:tcPr>
          <w:p w14:paraId="07CC9344" w14:textId="77777777" w:rsidR="00A345E4" w:rsidRDefault="00AD2B29">
            <w:pPr>
              <w:spacing w:after="120"/>
              <w:rPr>
                <w:rFonts w:ascii="Calibri" w:hAnsi="Calibri"/>
                <w:i/>
                <w:iCs/>
                <w:sz w:val="20"/>
                <w:szCs w:val="20"/>
              </w:rPr>
            </w:pPr>
            <w:r>
              <w:rPr>
                <w:rFonts w:asciiTheme="majorHAnsi" w:hAnsiTheme="majorHAnsi"/>
                <w:i/>
                <w:iCs/>
                <w:sz w:val="20"/>
                <w:szCs w:val="20"/>
              </w:rPr>
              <w:t>Some trophic strategies (such as prototrophy, phototrophy, nitrogen fixation) require more genes hence a larger genome size</w:t>
            </w:r>
          </w:p>
        </w:tc>
      </w:tr>
      <w:tr w:rsidR="00A345E4" w14:paraId="030A8555" w14:textId="77777777">
        <w:tc>
          <w:tcPr>
            <w:tcW w:w="1643" w:type="dxa"/>
            <w:vMerge/>
          </w:tcPr>
          <w:p w14:paraId="2C93FEB2" w14:textId="77777777" w:rsidR="00A345E4" w:rsidRDefault="00A345E4">
            <w:pPr>
              <w:spacing w:after="120"/>
              <w:rPr>
                <w:rFonts w:ascii="Calibri" w:hAnsi="Calibri" w:cs="Calibri"/>
                <w:sz w:val="20"/>
                <w:szCs w:val="20"/>
              </w:rPr>
            </w:pPr>
          </w:p>
        </w:tc>
        <w:tc>
          <w:tcPr>
            <w:tcW w:w="3654" w:type="dxa"/>
          </w:tcPr>
          <w:p w14:paraId="449EC1DD" w14:textId="77777777" w:rsidR="00A345E4" w:rsidRDefault="00AD2B29">
            <w:pPr>
              <w:spacing w:after="120"/>
              <w:rPr>
                <w:rFonts w:ascii="Calibri" w:hAnsi="Calibri" w:cs="Calibri"/>
                <w:sz w:val="20"/>
                <w:szCs w:val="20"/>
              </w:rPr>
            </w:pPr>
            <w:r>
              <w:rPr>
                <w:rFonts w:ascii="Calibri" w:hAnsi="Calibri" w:cs="Calibri"/>
                <w:sz w:val="20"/>
                <w:szCs w:val="20"/>
              </w:rPr>
              <w:t>Nitrogen-fixation in symbiotic microbes show genome sizes above 7 Mbp.</w:t>
            </w:r>
          </w:p>
        </w:tc>
        <w:tc>
          <w:tcPr>
            <w:tcW w:w="3004" w:type="dxa"/>
            <w:shd w:val="clear" w:color="auto" w:fill="auto"/>
          </w:tcPr>
          <w:p w14:paraId="198014E7" w14:textId="77777777" w:rsidR="00A345E4" w:rsidRDefault="00AD2B29">
            <w:pPr>
              <w:pStyle w:val="NormalWeb"/>
              <w:spacing w:before="0" w:after="120" w:afterAutospacing="0"/>
              <w:rPr>
                <w:rFonts w:ascii="Calibri" w:hAnsi="Calibri"/>
                <w:sz w:val="20"/>
                <w:szCs w:val="20"/>
              </w:rPr>
            </w:pPr>
            <w:proofErr w:type="spellStart"/>
            <w:r>
              <w:rPr>
                <w:rFonts w:ascii="Calibri" w:hAnsi="Calibri" w:cs="Calibri"/>
                <w:i/>
                <w:iCs/>
                <w:sz w:val="20"/>
                <w:szCs w:val="20"/>
              </w:rPr>
              <w:t>Agromonas</w:t>
            </w:r>
            <w:proofErr w:type="spellEnd"/>
            <w:r>
              <w:rPr>
                <w:rFonts w:ascii="Calibri" w:hAnsi="Calibri" w:cs="Calibri"/>
                <w:i/>
                <w:iCs/>
                <w:sz w:val="20"/>
                <w:szCs w:val="20"/>
              </w:rPr>
              <w:t xml:space="preserve"> </w:t>
            </w:r>
            <w:proofErr w:type="spellStart"/>
            <w:r>
              <w:rPr>
                <w:rFonts w:ascii="Calibri" w:hAnsi="Calibri" w:cs="Calibri"/>
                <w:i/>
                <w:iCs/>
                <w:sz w:val="20"/>
                <w:szCs w:val="20"/>
              </w:rPr>
              <w:t>oligotrophica</w:t>
            </w:r>
            <w:proofErr w:type="spellEnd"/>
            <w:r>
              <w:rPr>
                <w:rFonts w:ascii="Calibri" w:hAnsi="Calibri" w:cs="Calibri"/>
                <w:sz w:val="20"/>
                <w:szCs w:val="20"/>
              </w:rPr>
              <w:t xml:space="preserve"> and </w:t>
            </w:r>
            <w:proofErr w:type="spellStart"/>
            <w:r>
              <w:rPr>
                <w:rFonts w:ascii="Calibri" w:hAnsi="Calibri" w:cs="Calibri"/>
                <w:i/>
                <w:iCs/>
                <w:sz w:val="20"/>
                <w:szCs w:val="20"/>
              </w:rPr>
              <w:t>Bradyrhizobium</w:t>
            </w:r>
            <w:proofErr w:type="spellEnd"/>
            <w:r>
              <w:rPr>
                <w:rFonts w:ascii="Calibri" w:hAnsi="Calibri" w:cs="Calibri"/>
                <w:sz w:val="20"/>
                <w:szCs w:val="20"/>
              </w:rPr>
              <w:t xml:space="preserve"> spp. (phylum Proteobacteria) and Nostoc spp. (phylum Cyanobacteria)</w:t>
            </w:r>
          </w:p>
        </w:tc>
        <w:tc>
          <w:tcPr>
            <w:tcW w:w="2048" w:type="dxa"/>
          </w:tcPr>
          <w:p w14:paraId="61AE9EAF" w14:textId="77777777" w:rsidR="00A345E4" w:rsidRDefault="00AD2B29">
            <w:pPr>
              <w:spacing w:after="120"/>
              <w:rPr>
                <w:sz w:val="20"/>
                <w:szCs w:val="20"/>
              </w:rPr>
            </w:pPr>
            <w:r>
              <w:fldChar w:fldCharType="begin"/>
            </w:r>
            <w:r>
              <w:rPr>
                <w:rFonts w:ascii="Cambria" w:hAnsi="Cambria"/>
              </w:rPr>
              <w:instrText>ADDIN EN.CITE</w:instrText>
            </w:r>
            <w:r>
              <w:fldChar w:fldCharType="begin"/>
            </w:r>
            <w:r>
              <w:rPr>
                <w:rFonts w:ascii="Cambria" w:hAnsi="Cambria"/>
              </w:rPr>
              <w:instrText>ADDIN EN.CITE.DATA</w:instrText>
            </w:r>
            <w:r w:rsidR="0008070B">
              <w:rPr>
                <w:rFonts w:ascii="Cambria" w:hAnsi="Cambria"/>
              </w:rPr>
              <w:fldChar w:fldCharType="separate"/>
            </w:r>
            <w:r>
              <w:rPr>
                <w:rFonts w:ascii="Cambria" w:hAnsi="Cambria"/>
              </w:rPr>
              <w:fldChar w:fldCharType="end"/>
            </w:r>
            <w:r>
              <w:rPr>
                <w:rFonts w:ascii="Cambria" w:hAnsi="Cambria"/>
              </w:rPr>
              <w:fldChar w:fldCharType="separate"/>
            </w:r>
            <w:r>
              <w:rPr>
                <w:rFonts w:asciiTheme="majorHAnsi" w:hAnsiTheme="majorHAnsi"/>
                <w:sz w:val="20"/>
                <w:szCs w:val="20"/>
              </w:rPr>
              <w:t>(Bromfield et al 2019, Gagunashvili and Andresson 2018, Okubo et al 2013)</w:t>
            </w:r>
            <w:r>
              <w:rPr>
                <w:rFonts w:ascii="Cambria" w:hAnsi="Cambria"/>
              </w:rPr>
              <w:fldChar w:fldCharType="end"/>
            </w:r>
            <w:r>
              <w:rPr>
                <w:rFonts w:asciiTheme="majorHAnsi" w:hAnsiTheme="majorHAnsi"/>
                <w:sz w:val="20"/>
                <w:szCs w:val="20"/>
              </w:rPr>
              <w:t xml:space="preserve"> </w:t>
            </w:r>
          </w:p>
        </w:tc>
      </w:tr>
      <w:tr w:rsidR="00A345E4" w14:paraId="0538BEB3" w14:textId="77777777">
        <w:tc>
          <w:tcPr>
            <w:tcW w:w="1643" w:type="dxa"/>
            <w:vMerge/>
          </w:tcPr>
          <w:p w14:paraId="45A9B49E" w14:textId="77777777" w:rsidR="00A345E4" w:rsidRDefault="00A345E4">
            <w:pPr>
              <w:spacing w:after="120"/>
              <w:rPr>
                <w:rFonts w:ascii="Calibri" w:hAnsi="Calibri" w:cs="Calibri"/>
                <w:sz w:val="20"/>
                <w:szCs w:val="20"/>
              </w:rPr>
            </w:pPr>
          </w:p>
        </w:tc>
        <w:tc>
          <w:tcPr>
            <w:tcW w:w="3654" w:type="dxa"/>
          </w:tcPr>
          <w:p w14:paraId="1A82E7B9" w14:textId="77777777" w:rsidR="00A345E4" w:rsidRDefault="00AD2B29">
            <w:pPr>
              <w:spacing w:after="120"/>
              <w:rPr>
                <w:rFonts w:ascii="Calibri" w:hAnsi="Calibri" w:cs="Calibri"/>
                <w:sz w:val="20"/>
                <w:szCs w:val="20"/>
              </w:rPr>
            </w:pPr>
            <w:r>
              <w:rPr>
                <w:rFonts w:ascii="Calibri" w:hAnsi="Calibri" w:cs="Calibri"/>
                <w:sz w:val="20"/>
                <w:szCs w:val="20"/>
              </w:rPr>
              <w:t>Marine isolates show bigger genome sizes in copiotrophs than in oligotrophs.</w:t>
            </w:r>
          </w:p>
        </w:tc>
        <w:tc>
          <w:tcPr>
            <w:tcW w:w="3004" w:type="dxa"/>
            <w:shd w:val="clear" w:color="auto" w:fill="auto"/>
          </w:tcPr>
          <w:p w14:paraId="2B0051EA" w14:textId="77777777" w:rsidR="00A345E4" w:rsidRDefault="00AD2B29">
            <w:pPr>
              <w:pStyle w:val="NormalWeb"/>
              <w:spacing w:before="0" w:after="120" w:afterAutospacing="0"/>
              <w:rPr>
                <w:rFonts w:asciiTheme="majorHAnsi" w:hAnsiTheme="majorHAnsi"/>
              </w:rPr>
            </w:pPr>
            <w:r>
              <w:rPr>
                <w:rFonts w:asciiTheme="majorHAnsi" w:hAnsiTheme="majorHAnsi"/>
                <w:sz w:val="20"/>
                <w:szCs w:val="20"/>
              </w:rPr>
              <w:t xml:space="preserve">Copiotrophs (family Vibrionaceae and </w:t>
            </w:r>
            <w:r>
              <w:rPr>
                <w:rFonts w:ascii="Calibri" w:hAnsi="Calibri" w:cs="Calibri"/>
                <w:i/>
                <w:iCs/>
                <w:sz w:val="20"/>
                <w:szCs w:val="20"/>
              </w:rPr>
              <w:t xml:space="preserve">Photobacterium </w:t>
            </w:r>
            <w:proofErr w:type="spellStart"/>
            <w:r>
              <w:rPr>
                <w:rFonts w:ascii="Calibri" w:hAnsi="Calibri" w:cs="Calibri"/>
                <w:i/>
                <w:iCs/>
                <w:sz w:val="20"/>
                <w:szCs w:val="20"/>
              </w:rPr>
              <w:t>angustum</w:t>
            </w:r>
            <w:proofErr w:type="spellEnd"/>
            <w:r>
              <w:rPr>
                <w:rFonts w:ascii="Calibri" w:hAnsi="Calibri" w:cs="Calibri"/>
                <w:i/>
                <w:iCs/>
                <w:sz w:val="20"/>
                <w:szCs w:val="20"/>
              </w:rPr>
              <w:t>)</w:t>
            </w:r>
            <w:r>
              <w:rPr>
                <w:rFonts w:asciiTheme="majorHAnsi" w:hAnsiTheme="majorHAnsi"/>
                <w:sz w:val="20"/>
                <w:szCs w:val="20"/>
              </w:rPr>
              <w:t xml:space="preserve"> and oligotrophs (family </w:t>
            </w:r>
            <w:proofErr w:type="spellStart"/>
            <w:r>
              <w:rPr>
                <w:rFonts w:asciiTheme="majorHAnsi" w:hAnsiTheme="majorHAnsi"/>
                <w:sz w:val="20"/>
                <w:szCs w:val="20"/>
              </w:rPr>
              <w:t>Sphingomonadaceae</w:t>
            </w:r>
            <w:proofErr w:type="spellEnd"/>
            <w:r>
              <w:rPr>
                <w:rFonts w:asciiTheme="majorHAnsi" w:hAnsiTheme="majorHAnsi"/>
                <w:sz w:val="20"/>
                <w:szCs w:val="20"/>
              </w:rPr>
              <w:t xml:space="preserve"> and </w:t>
            </w:r>
            <w:proofErr w:type="spellStart"/>
            <w:r>
              <w:rPr>
                <w:rFonts w:asciiTheme="majorHAnsi" w:hAnsiTheme="majorHAnsi"/>
                <w:i/>
                <w:iCs/>
                <w:sz w:val="20"/>
                <w:szCs w:val="20"/>
              </w:rPr>
              <w:t>Sphingopyxis</w:t>
            </w:r>
            <w:proofErr w:type="spellEnd"/>
            <w:r>
              <w:rPr>
                <w:rFonts w:asciiTheme="majorHAnsi" w:hAnsiTheme="majorHAnsi"/>
                <w:i/>
                <w:iCs/>
                <w:sz w:val="20"/>
                <w:szCs w:val="20"/>
              </w:rPr>
              <w:t xml:space="preserve"> </w:t>
            </w:r>
            <w:proofErr w:type="spellStart"/>
            <w:r>
              <w:rPr>
                <w:rFonts w:asciiTheme="majorHAnsi" w:hAnsiTheme="majorHAnsi"/>
                <w:i/>
                <w:iCs/>
                <w:sz w:val="20"/>
                <w:szCs w:val="20"/>
              </w:rPr>
              <w:t>alaskensis</w:t>
            </w:r>
            <w:proofErr w:type="spellEnd"/>
            <w:r>
              <w:rPr>
                <w:rFonts w:asciiTheme="majorHAnsi" w:hAnsiTheme="majorHAnsi"/>
                <w:sz w:val="20"/>
                <w:szCs w:val="20"/>
              </w:rPr>
              <w:t>) (phylum Proteobacteria)</w:t>
            </w:r>
          </w:p>
        </w:tc>
        <w:tc>
          <w:tcPr>
            <w:tcW w:w="2048" w:type="dxa"/>
          </w:tcPr>
          <w:p w14:paraId="46535034" w14:textId="77777777" w:rsidR="00A345E4" w:rsidRDefault="00AD2B29">
            <w:pPr>
              <w:spacing w:after="120"/>
              <w:rPr>
                <w:sz w:val="20"/>
                <w:szCs w:val="20"/>
              </w:rPr>
            </w:pPr>
            <w:r>
              <w:fldChar w:fldCharType="begin"/>
            </w:r>
            <w:r>
              <w:rPr>
                <w:rFonts w:ascii="Cambria" w:hAnsi="Cambria"/>
              </w:rPr>
              <w:instrText>ADDIN EN.CITE</w:instrText>
            </w:r>
            <w:r>
              <w:fldChar w:fldCharType="begin"/>
            </w:r>
            <w:r>
              <w:rPr>
                <w:rFonts w:ascii="Cambria" w:hAnsi="Cambria"/>
              </w:rPr>
              <w:instrText>ADDIN EN.CITE.DATA</w:instrText>
            </w:r>
            <w:r w:rsidR="0008070B">
              <w:rPr>
                <w:rFonts w:ascii="Cambria" w:hAnsi="Cambria"/>
              </w:rPr>
              <w:fldChar w:fldCharType="separate"/>
            </w:r>
            <w:r>
              <w:rPr>
                <w:rFonts w:ascii="Cambria" w:hAnsi="Cambria"/>
              </w:rPr>
              <w:fldChar w:fldCharType="end"/>
            </w:r>
            <w:r>
              <w:rPr>
                <w:rFonts w:ascii="Cambria" w:hAnsi="Cambria"/>
              </w:rPr>
              <w:fldChar w:fldCharType="separate"/>
            </w:r>
            <w:r>
              <w:rPr>
                <w:rFonts w:asciiTheme="majorHAnsi" w:hAnsiTheme="majorHAnsi"/>
                <w:sz w:val="20"/>
                <w:szCs w:val="20"/>
              </w:rPr>
              <w:t>(Lauro et al 2009)</w:t>
            </w:r>
            <w:r>
              <w:rPr>
                <w:rFonts w:ascii="Cambria" w:hAnsi="Cambria"/>
              </w:rPr>
              <w:fldChar w:fldCharType="end"/>
            </w:r>
          </w:p>
        </w:tc>
      </w:tr>
      <w:tr w:rsidR="00A345E4" w14:paraId="235C3077" w14:textId="77777777">
        <w:tc>
          <w:tcPr>
            <w:tcW w:w="1643" w:type="dxa"/>
            <w:vMerge/>
          </w:tcPr>
          <w:p w14:paraId="6CF88A67" w14:textId="77777777" w:rsidR="00A345E4" w:rsidRDefault="00A345E4">
            <w:pPr>
              <w:spacing w:after="120"/>
              <w:rPr>
                <w:rFonts w:ascii="Calibri" w:hAnsi="Calibri" w:cs="Calibri"/>
                <w:sz w:val="20"/>
                <w:szCs w:val="20"/>
              </w:rPr>
            </w:pPr>
          </w:p>
        </w:tc>
        <w:tc>
          <w:tcPr>
            <w:tcW w:w="3654" w:type="dxa"/>
          </w:tcPr>
          <w:p w14:paraId="15E28629" w14:textId="77777777" w:rsidR="00A345E4" w:rsidRDefault="00AD2B29">
            <w:pPr>
              <w:spacing w:after="120"/>
              <w:rPr>
                <w:rFonts w:ascii="Calibri" w:hAnsi="Calibri" w:cs="Calibri"/>
                <w:sz w:val="20"/>
                <w:szCs w:val="20"/>
              </w:rPr>
            </w:pPr>
            <w:r>
              <w:rPr>
                <w:rFonts w:ascii="Calibri" w:hAnsi="Calibri" w:cs="Calibri"/>
                <w:sz w:val="20"/>
                <w:szCs w:val="20"/>
              </w:rPr>
              <w:t>In silico studies indicate that larger genome sizes could have access to a wider variety of carbon substrates but with lower efficiency in carbon usage than smaller genome microbes.</w:t>
            </w:r>
          </w:p>
        </w:tc>
        <w:tc>
          <w:tcPr>
            <w:tcW w:w="3004" w:type="dxa"/>
          </w:tcPr>
          <w:p w14:paraId="2E41865F" w14:textId="77777777" w:rsidR="00A345E4" w:rsidRDefault="00AD2B29">
            <w:pPr>
              <w:spacing w:after="120"/>
              <w:rPr>
                <w:rFonts w:ascii="Calibri" w:hAnsi="Calibri" w:cs="Calibri"/>
                <w:sz w:val="20"/>
                <w:szCs w:val="20"/>
                <w:lang w:val="es-ES"/>
              </w:rPr>
            </w:pPr>
            <w:proofErr w:type="spellStart"/>
            <w:r>
              <w:rPr>
                <w:rFonts w:ascii="Calibri" w:hAnsi="Calibri" w:cs="Calibri"/>
                <w:sz w:val="20"/>
                <w:szCs w:val="20"/>
                <w:lang w:val="es-ES"/>
              </w:rPr>
              <w:t>Diverse</w:t>
            </w:r>
            <w:proofErr w:type="spellEnd"/>
            <w:r>
              <w:rPr>
                <w:rFonts w:ascii="Calibri" w:hAnsi="Calibri" w:cs="Calibri"/>
                <w:sz w:val="20"/>
                <w:szCs w:val="20"/>
                <w:lang w:val="es-ES"/>
              </w:rPr>
              <w:t xml:space="preserve"> </w:t>
            </w:r>
            <w:proofErr w:type="spellStart"/>
            <w:r>
              <w:rPr>
                <w:rFonts w:ascii="Calibri" w:hAnsi="Calibri" w:cs="Calibri"/>
                <w:sz w:val="20"/>
                <w:szCs w:val="20"/>
                <w:lang w:val="es-ES"/>
              </w:rPr>
              <w:t>bacterial</w:t>
            </w:r>
            <w:proofErr w:type="spellEnd"/>
            <w:r>
              <w:rPr>
                <w:rFonts w:ascii="Calibri" w:hAnsi="Calibri" w:cs="Calibri"/>
                <w:sz w:val="20"/>
                <w:szCs w:val="20"/>
                <w:lang w:val="es-ES"/>
              </w:rPr>
              <w:t xml:space="preserve"> </w:t>
            </w:r>
            <w:proofErr w:type="spellStart"/>
            <w:r>
              <w:rPr>
                <w:rFonts w:ascii="Calibri" w:hAnsi="Calibri" w:cs="Calibri"/>
                <w:sz w:val="20"/>
                <w:szCs w:val="20"/>
                <w:lang w:val="es-ES"/>
              </w:rPr>
              <w:t>taxa</w:t>
            </w:r>
            <w:proofErr w:type="spellEnd"/>
            <w:r>
              <w:rPr>
                <w:rFonts w:ascii="Calibri" w:hAnsi="Calibri" w:cs="Calibri"/>
                <w:sz w:val="20"/>
                <w:szCs w:val="20"/>
                <w:lang w:val="es-ES"/>
              </w:rPr>
              <w:t xml:space="preserve"> (</w:t>
            </w:r>
            <w:proofErr w:type="spellStart"/>
            <w:r>
              <w:rPr>
                <w:rFonts w:ascii="Calibri" w:hAnsi="Calibri" w:cs="Calibri"/>
                <w:sz w:val="20"/>
                <w:szCs w:val="20"/>
                <w:lang w:val="es-ES"/>
              </w:rPr>
              <w:t>phyla</w:t>
            </w:r>
            <w:proofErr w:type="spellEnd"/>
            <w:r>
              <w:rPr>
                <w:rFonts w:ascii="Calibri" w:hAnsi="Calibri" w:cs="Calibri"/>
                <w:sz w:val="20"/>
                <w:szCs w:val="20"/>
                <w:lang w:val="es-ES"/>
              </w:rPr>
              <w:t xml:space="preserve"> </w:t>
            </w:r>
            <w:proofErr w:type="spellStart"/>
            <w:r>
              <w:rPr>
                <w:rFonts w:ascii="Calibri" w:hAnsi="Calibri" w:cs="Calibri"/>
                <w:sz w:val="20"/>
                <w:szCs w:val="20"/>
                <w:lang w:val="es-ES"/>
              </w:rPr>
              <w:t>Proteobacteria</w:t>
            </w:r>
            <w:proofErr w:type="spellEnd"/>
            <w:r>
              <w:rPr>
                <w:rFonts w:ascii="Calibri" w:hAnsi="Calibri" w:cs="Calibri"/>
                <w:sz w:val="20"/>
                <w:szCs w:val="20"/>
                <w:lang w:val="es-ES"/>
              </w:rPr>
              <w:t xml:space="preserve">, </w:t>
            </w:r>
            <w:proofErr w:type="spellStart"/>
            <w:r>
              <w:rPr>
                <w:rFonts w:ascii="Calibri" w:hAnsi="Calibri" w:cs="Calibri"/>
                <w:sz w:val="20"/>
                <w:szCs w:val="20"/>
                <w:lang w:val="es-ES"/>
              </w:rPr>
              <w:t>Actinobacteriota</w:t>
            </w:r>
            <w:proofErr w:type="spellEnd"/>
            <w:r>
              <w:rPr>
                <w:rFonts w:ascii="Calibri" w:hAnsi="Calibri" w:cs="Calibri"/>
                <w:sz w:val="20"/>
                <w:szCs w:val="20"/>
                <w:lang w:val="es-ES"/>
              </w:rPr>
              <w:t xml:space="preserve">, </w:t>
            </w:r>
            <w:proofErr w:type="spellStart"/>
            <w:r>
              <w:rPr>
                <w:rFonts w:ascii="Calibri" w:hAnsi="Calibri" w:cs="Calibri"/>
                <w:sz w:val="20"/>
                <w:szCs w:val="20"/>
                <w:lang w:val="es-ES"/>
              </w:rPr>
              <w:t>Acidobacteriota</w:t>
            </w:r>
            <w:proofErr w:type="spellEnd"/>
            <w:r>
              <w:rPr>
                <w:rFonts w:ascii="Calibri" w:hAnsi="Calibri" w:cs="Calibri"/>
                <w:sz w:val="20"/>
                <w:szCs w:val="20"/>
                <w:lang w:val="es-ES"/>
              </w:rPr>
              <w:t xml:space="preserve">, </w:t>
            </w:r>
            <w:proofErr w:type="spellStart"/>
            <w:r>
              <w:rPr>
                <w:rFonts w:ascii="Calibri" w:hAnsi="Calibri" w:cs="Calibri"/>
                <w:sz w:val="20"/>
                <w:szCs w:val="20"/>
                <w:lang w:val="es-ES"/>
              </w:rPr>
              <w:t>Firmicutes</w:t>
            </w:r>
            <w:proofErr w:type="spellEnd"/>
            <w:r>
              <w:rPr>
                <w:rFonts w:ascii="Calibri" w:hAnsi="Calibri" w:cs="Calibri"/>
                <w:sz w:val="20"/>
                <w:szCs w:val="20"/>
                <w:lang w:val="es-ES"/>
              </w:rPr>
              <w:t xml:space="preserve">, </w:t>
            </w:r>
            <w:proofErr w:type="spellStart"/>
            <w:r>
              <w:rPr>
                <w:rFonts w:ascii="Calibri" w:hAnsi="Calibri" w:cs="Calibri"/>
                <w:sz w:val="20"/>
                <w:szCs w:val="20"/>
                <w:lang w:val="es-ES"/>
              </w:rPr>
              <w:t>Verrucomicrobiota</w:t>
            </w:r>
            <w:proofErr w:type="spellEnd"/>
            <w:r>
              <w:rPr>
                <w:rFonts w:ascii="Calibri" w:hAnsi="Calibri" w:cs="Calibri"/>
                <w:sz w:val="20"/>
                <w:szCs w:val="20"/>
                <w:lang w:val="es-ES"/>
              </w:rPr>
              <w:t xml:space="preserve"> and </w:t>
            </w:r>
            <w:proofErr w:type="spellStart"/>
            <w:r>
              <w:rPr>
                <w:rFonts w:ascii="Calibri" w:hAnsi="Calibri" w:cs="Calibri"/>
                <w:sz w:val="20"/>
                <w:szCs w:val="20"/>
                <w:lang w:val="es-ES"/>
              </w:rPr>
              <w:t>Planctomycetota</w:t>
            </w:r>
            <w:proofErr w:type="spellEnd"/>
            <w:r>
              <w:rPr>
                <w:rFonts w:ascii="Calibri" w:hAnsi="Calibri" w:cs="Calibri"/>
                <w:sz w:val="20"/>
                <w:szCs w:val="20"/>
                <w:lang w:val="es-ES"/>
              </w:rPr>
              <w:t>)</w:t>
            </w:r>
          </w:p>
        </w:tc>
        <w:tc>
          <w:tcPr>
            <w:tcW w:w="2048" w:type="dxa"/>
          </w:tcPr>
          <w:p w14:paraId="22CCBC30" w14:textId="77777777" w:rsidR="00A345E4" w:rsidRDefault="00AD2B29">
            <w:pPr>
              <w:spacing w:after="120"/>
              <w:rPr>
                <w:sz w:val="20"/>
                <w:szCs w:val="20"/>
              </w:rPr>
            </w:pPr>
            <w:r>
              <w:fldChar w:fldCharType="begin"/>
            </w:r>
            <w:r>
              <w:rPr>
                <w:rFonts w:ascii="Cambria" w:hAnsi="Cambria"/>
              </w:rPr>
              <w:instrText>ADDIN EN.CITE &lt;EndNote&gt;&lt;Cite&gt;&lt;Author&gt;Saifuddin&lt;/Author&gt;&lt;Year&gt;2019&lt;/Year&gt;&lt;RecNum&gt;3927&lt;/RecNum&gt;&lt;DisplayText&gt;(Saifuddin et al 2019)&lt;/DisplayText&gt;&lt;record&gt;&lt;rec-number&gt;3927&lt;/rec-number&gt;&lt;foreign-keys&gt;&lt;key app="EN" db-id="rvarxsaperwarteavwa5eszdz9da5f0werpr" timestamp="1618934837" guid="16f32018-a4c2-49f6-bcef-178e083bd2a9"&gt;3927&lt;/key&gt;&lt;/foreign-keys&gt;&lt;ref-type name="Journal Article"&gt;17&lt;/ref-type&gt;&lt;contributors&gt;&lt;authors&gt;&lt;author&gt;Saifuddin, M.&lt;/author&gt;&lt;author&gt;Bhatnagar, J. M.&lt;/author&gt;&lt;author&gt;Segre, D.&lt;/author&gt;&lt;author&gt;Finzi, A. C.&lt;/author&gt;&lt;/authors&gt;&lt;/contributors&gt;&lt;auth-address&gt;Boston University, Boston, MA, 02215, USA.&amp;#xD;Boston University, Boston, MA, 02215, USA. afinzi@bu.edu.&lt;/auth-address&gt;&lt;titles&gt;&lt;title&gt;Microbial carbon use efficiency predicted from genome-scale metabolic models&lt;/title&gt;&lt;secondary-title&gt;Nat Commun&lt;/secondary-title&gt;&lt;/titles&gt;&lt;periodical&gt;&lt;full-title&gt;Nature Communications&lt;/full-title&gt;&lt;abbr-1&gt;Nat Commun&lt;/abbr-1&gt;&lt;/periodical&gt;&lt;pages&gt;3568&lt;/pages&gt;&lt;volume&gt;10&lt;/volume&gt;&lt;number&gt;1&lt;/number&gt;&lt;edition&gt;2019/08/10&lt;/edition&gt;&lt;keywords&gt;&lt;keyword&gt;Bacteria/genetics/*metabolism&lt;/keyword&gt;&lt;keyword&gt;Biomass&lt;/keyword&gt;&lt;keyword&gt;Carbon/metabolism&lt;/keyword&gt;&lt;keyword&gt;*Carbon Cycle&lt;/keyword&gt;&lt;keyword&gt;Computer Simulation&lt;/keyword&gt;&lt;keyword&gt;Genome, Bacterial&lt;/keyword&gt;&lt;keyword&gt;Metabolome/genetics&lt;/keyword&gt;&lt;keyword&gt;Metabolomics/methods&lt;/keyword&gt;&lt;keyword&gt;*Models, Biological&lt;/keyword&gt;&lt;keyword&gt;*Soil Microbiology&lt;/keyword&gt;&lt;/keywords&gt;&lt;dates&gt;&lt;year&gt;2019&lt;/year&gt;&lt;pub-dates&gt;&lt;date&gt;Aug 8&lt;/date&gt;&lt;/pub-dates&gt;&lt;/dates&gt;&lt;isbn&gt;2041-1723 (Electronic)&amp;#xD;2041-1723 (Linking)&lt;/isbn&gt;&lt;accession-num&gt;31395870&lt;/accession-num&gt;&lt;urls&gt;&lt;related-urls&gt;&lt;url&gt;https://www.ncbi.nlm.nih.gov/pubmed/31395870&lt;/url&gt;&lt;/related-urls&gt;&lt;/urls&gt;&lt;custom2&gt;PMC6687798&lt;/custom2&gt;&lt;electronic-resource-num&gt;10.1038/s41467-019-11488-z&lt;/electronic-resource-num&gt;&lt;/record&gt;&lt;/Cite&gt;&lt;/EndNote&gt;</w:instrText>
            </w:r>
            <w:r>
              <w:rPr>
                <w:rFonts w:ascii="Cambria" w:hAnsi="Cambria"/>
              </w:rPr>
              <w:fldChar w:fldCharType="separate"/>
            </w:r>
            <w:r>
              <w:rPr>
                <w:rFonts w:asciiTheme="majorHAnsi" w:hAnsiTheme="majorHAnsi"/>
                <w:sz w:val="20"/>
                <w:szCs w:val="20"/>
              </w:rPr>
              <w:t>(Saifuddin et al 2019)</w:t>
            </w:r>
            <w:r>
              <w:rPr>
                <w:rFonts w:ascii="Cambria" w:hAnsi="Cambria"/>
              </w:rPr>
              <w:fldChar w:fldCharType="end"/>
            </w:r>
          </w:p>
        </w:tc>
      </w:tr>
      <w:tr w:rsidR="00A345E4" w:rsidRPr="005B4B43" w14:paraId="44478433" w14:textId="77777777">
        <w:tc>
          <w:tcPr>
            <w:tcW w:w="1643" w:type="dxa"/>
            <w:vMerge/>
          </w:tcPr>
          <w:p w14:paraId="22BC1375" w14:textId="77777777" w:rsidR="00A345E4" w:rsidRDefault="00A345E4">
            <w:pPr>
              <w:spacing w:after="120"/>
              <w:rPr>
                <w:rFonts w:ascii="Calibri" w:hAnsi="Calibri" w:cs="Calibri"/>
                <w:sz w:val="20"/>
                <w:szCs w:val="20"/>
              </w:rPr>
            </w:pPr>
          </w:p>
        </w:tc>
        <w:tc>
          <w:tcPr>
            <w:tcW w:w="3654" w:type="dxa"/>
          </w:tcPr>
          <w:p w14:paraId="24433B42" w14:textId="77777777" w:rsidR="00A345E4" w:rsidRDefault="00AD2B29">
            <w:pPr>
              <w:spacing w:after="120"/>
              <w:rPr>
                <w:rFonts w:ascii="Calibri" w:hAnsi="Calibri" w:cs="Calibri"/>
                <w:sz w:val="20"/>
                <w:szCs w:val="20"/>
              </w:rPr>
            </w:pPr>
            <w:r>
              <w:rPr>
                <w:rFonts w:ascii="Calibri" w:hAnsi="Calibri" w:cs="Calibri"/>
                <w:sz w:val="20"/>
                <w:szCs w:val="20"/>
              </w:rPr>
              <w:t>Auxotrophs have streamlined genomes.</w:t>
            </w:r>
          </w:p>
        </w:tc>
        <w:tc>
          <w:tcPr>
            <w:tcW w:w="3004" w:type="dxa"/>
          </w:tcPr>
          <w:p w14:paraId="42451EF4" w14:textId="77777777" w:rsidR="00A345E4" w:rsidRDefault="00AD2B29">
            <w:pPr>
              <w:spacing w:after="120"/>
              <w:rPr>
                <w:rFonts w:ascii="Calibri" w:hAnsi="Calibri" w:cs="Calibri"/>
                <w:sz w:val="20"/>
                <w:szCs w:val="20"/>
              </w:rPr>
            </w:pPr>
            <w:proofErr w:type="spellStart"/>
            <w:r>
              <w:rPr>
                <w:rFonts w:ascii="Calibri" w:hAnsi="Calibri" w:cs="Calibri"/>
                <w:sz w:val="20"/>
                <w:szCs w:val="20"/>
              </w:rPr>
              <w:t>Actinobacteriota</w:t>
            </w:r>
            <w:proofErr w:type="spellEnd"/>
            <w:r>
              <w:rPr>
                <w:rFonts w:ascii="Calibri" w:hAnsi="Calibri" w:cs="Calibri"/>
                <w:sz w:val="20"/>
                <w:szCs w:val="20"/>
              </w:rPr>
              <w:t xml:space="preserve">, Proteobacteria, </w:t>
            </w:r>
            <w:proofErr w:type="spellStart"/>
            <w:r>
              <w:rPr>
                <w:rFonts w:ascii="Calibri" w:hAnsi="Calibri" w:cs="Calibri"/>
                <w:sz w:val="20"/>
                <w:szCs w:val="20"/>
              </w:rPr>
              <w:t>Verrucomicrobiota</w:t>
            </w:r>
            <w:proofErr w:type="spellEnd"/>
            <w:r>
              <w:rPr>
                <w:rFonts w:ascii="Calibri" w:hAnsi="Calibri" w:cs="Calibri"/>
                <w:sz w:val="20"/>
                <w:szCs w:val="20"/>
              </w:rPr>
              <w:t xml:space="preserve"> (phyla)</w:t>
            </w:r>
          </w:p>
        </w:tc>
        <w:tc>
          <w:tcPr>
            <w:tcW w:w="2048" w:type="dxa"/>
          </w:tcPr>
          <w:p w14:paraId="70C15785" w14:textId="77777777" w:rsidR="00A345E4" w:rsidRDefault="00AD2B29">
            <w:pPr>
              <w:spacing w:after="120"/>
              <w:rPr>
                <w:sz w:val="20"/>
                <w:szCs w:val="20"/>
                <w:lang w:val="es-ES"/>
              </w:rPr>
            </w:pPr>
            <w:r>
              <w:fldChar w:fldCharType="begin"/>
            </w:r>
            <w:r w:rsidRPr="00C74B91">
              <w:rPr>
                <w:rFonts w:ascii="Cambria" w:hAnsi="Cambria"/>
                <w:lang w:val="es-ES"/>
              </w:rPr>
              <w:instrText>ADDIN EN.CITE</w:instrText>
            </w:r>
            <w:r>
              <w:fldChar w:fldCharType="begin"/>
            </w:r>
            <w:r w:rsidRPr="00C74B91">
              <w:rPr>
                <w:rFonts w:ascii="Cambria" w:hAnsi="Cambria"/>
                <w:lang w:val="es-ES"/>
              </w:rPr>
              <w:instrText>ADDIN EN.CITE.DATA</w:instrText>
            </w:r>
            <w:r w:rsidR="0008070B">
              <w:rPr>
                <w:rFonts w:ascii="Cambria" w:hAnsi="Cambria"/>
              </w:rPr>
              <w:fldChar w:fldCharType="separate"/>
            </w:r>
            <w:r>
              <w:rPr>
                <w:rFonts w:ascii="Cambria" w:hAnsi="Cambria"/>
              </w:rPr>
              <w:fldChar w:fldCharType="end"/>
            </w:r>
            <w:r>
              <w:rPr>
                <w:rFonts w:ascii="Cambria" w:hAnsi="Cambria"/>
              </w:rPr>
              <w:fldChar w:fldCharType="separate"/>
            </w:r>
            <w:r>
              <w:rPr>
                <w:rFonts w:asciiTheme="majorHAnsi" w:hAnsiTheme="majorHAnsi"/>
                <w:sz w:val="20"/>
                <w:szCs w:val="20"/>
                <w:lang w:val="es-ES"/>
              </w:rPr>
              <w:t>(Brewer et al 2016, Garcia et al 2015, Grote et al 2012, Kang et al 2017)</w:t>
            </w:r>
            <w:r>
              <w:rPr>
                <w:rFonts w:ascii="Cambria" w:hAnsi="Cambria"/>
              </w:rPr>
              <w:fldChar w:fldCharType="end"/>
            </w:r>
          </w:p>
        </w:tc>
      </w:tr>
      <w:tr w:rsidR="00A345E4" w14:paraId="459D62C7" w14:textId="77777777">
        <w:tc>
          <w:tcPr>
            <w:tcW w:w="1643" w:type="dxa"/>
            <w:vMerge/>
          </w:tcPr>
          <w:p w14:paraId="06A76E2D" w14:textId="77777777" w:rsidR="00A345E4" w:rsidRDefault="00A345E4">
            <w:pPr>
              <w:spacing w:after="120"/>
              <w:rPr>
                <w:rFonts w:ascii="Calibri" w:hAnsi="Calibri" w:cs="Calibri"/>
                <w:sz w:val="20"/>
                <w:szCs w:val="20"/>
                <w:lang w:val="es-ES"/>
              </w:rPr>
            </w:pPr>
          </w:p>
        </w:tc>
        <w:tc>
          <w:tcPr>
            <w:tcW w:w="3654" w:type="dxa"/>
          </w:tcPr>
          <w:p w14:paraId="603A5910" w14:textId="77777777" w:rsidR="00A345E4" w:rsidRDefault="00AD2B29">
            <w:pPr>
              <w:spacing w:after="120"/>
              <w:rPr>
                <w:rFonts w:ascii="Calibri" w:hAnsi="Calibri" w:cs="Calibri"/>
                <w:sz w:val="20"/>
                <w:szCs w:val="20"/>
              </w:rPr>
            </w:pPr>
            <w:r>
              <w:rPr>
                <w:rFonts w:ascii="Calibri" w:hAnsi="Calibri" w:cs="Calibri"/>
                <w:sz w:val="20"/>
                <w:szCs w:val="20"/>
              </w:rPr>
              <w:t>Members of cyanobacteria that don’t have photosynthetic capacities have genome sizes between 1.9 and 2.3 Mbp.</w:t>
            </w:r>
          </w:p>
        </w:tc>
        <w:tc>
          <w:tcPr>
            <w:tcW w:w="3004" w:type="dxa"/>
          </w:tcPr>
          <w:p w14:paraId="397794CD" w14:textId="77777777" w:rsidR="00A345E4" w:rsidRDefault="00AD2B29">
            <w:pPr>
              <w:spacing w:after="120"/>
              <w:rPr>
                <w:rFonts w:ascii="Calibri" w:hAnsi="Calibri" w:cs="Calibri"/>
                <w:sz w:val="20"/>
                <w:szCs w:val="20"/>
              </w:rPr>
            </w:pPr>
            <w:r>
              <w:rPr>
                <w:rFonts w:ascii="Calibri" w:hAnsi="Calibri" w:cs="Calibri"/>
                <w:sz w:val="20"/>
                <w:szCs w:val="20"/>
              </w:rPr>
              <w:t xml:space="preserve">Former </w:t>
            </w:r>
            <w:proofErr w:type="spellStart"/>
            <w:r>
              <w:rPr>
                <w:rFonts w:ascii="Calibri" w:hAnsi="Calibri" w:cs="Calibri"/>
                <w:i/>
                <w:iCs/>
                <w:sz w:val="20"/>
                <w:szCs w:val="20"/>
              </w:rPr>
              <w:t>Candidatus</w:t>
            </w:r>
            <w:proofErr w:type="spellEnd"/>
            <w:r>
              <w:rPr>
                <w:rFonts w:ascii="Calibri" w:hAnsi="Calibri" w:cs="Calibri"/>
                <w:sz w:val="20"/>
                <w:szCs w:val="20"/>
              </w:rPr>
              <w:t xml:space="preserve"> </w:t>
            </w:r>
            <w:proofErr w:type="spellStart"/>
            <w:r>
              <w:rPr>
                <w:rFonts w:ascii="Calibri" w:hAnsi="Calibri" w:cs="Calibri"/>
                <w:sz w:val="20"/>
                <w:szCs w:val="20"/>
              </w:rPr>
              <w:t>Melainabacteria</w:t>
            </w:r>
            <w:proofErr w:type="spellEnd"/>
            <w:r>
              <w:rPr>
                <w:rFonts w:ascii="Calibri" w:hAnsi="Calibri" w:cs="Calibri"/>
                <w:sz w:val="20"/>
                <w:szCs w:val="20"/>
              </w:rPr>
              <w:t xml:space="preserve"> now in the class </w:t>
            </w:r>
            <w:proofErr w:type="spellStart"/>
            <w:r>
              <w:rPr>
                <w:rFonts w:ascii="Calibri" w:hAnsi="Calibri" w:cs="Calibri"/>
                <w:sz w:val="20"/>
                <w:szCs w:val="20"/>
              </w:rPr>
              <w:t>Vampirovibrionia</w:t>
            </w:r>
            <w:proofErr w:type="spellEnd"/>
          </w:p>
        </w:tc>
        <w:tc>
          <w:tcPr>
            <w:tcW w:w="2048" w:type="dxa"/>
          </w:tcPr>
          <w:p w14:paraId="3B945C15" w14:textId="77777777" w:rsidR="00A345E4" w:rsidRDefault="00AD2B29">
            <w:pPr>
              <w:spacing w:after="120"/>
              <w:rPr>
                <w:sz w:val="20"/>
                <w:szCs w:val="20"/>
              </w:rPr>
            </w:pPr>
            <w:r>
              <w:fldChar w:fldCharType="begin"/>
            </w:r>
            <w:r>
              <w:rPr>
                <w:rFonts w:ascii="Cambria" w:hAnsi="Cambria"/>
              </w:rPr>
              <w:instrText>ADDIN EN.CITE</w:instrText>
            </w:r>
            <w:r>
              <w:fldChar w:fldCharType="begin"/>
            </w:r>
            <w:r>
              <w:rPr>
                <w:rFonts w:ascii="Cambria" w:hAnsi="Cambria"/>
              </w:rPr>
              <w:instrText>ADDIN EN.CITE.DATA</w:instrText>
            </w:r>
            <w:r w:rsidR="0008070B">
              <w:rPr>
                <w:rFonts w:ascii="Cambria" w:hAnsi="Cambria"/>
              </w:rPr>
              <w:fldChar w:fldCharType="separate"/>
            </w:r>
            <w:r>
              <w:rPr>
                <w:rFonts w:ascii="Cambria" w:hAnsi="Cambria"/>
              </w:rPr>
              <w:fldChar w:fldCharType="end"/>
            </w:r>
            <w:r>
              <w:rPr>
                <w:rFonts w:ascii="Cambria" w:hAnsi="Cambria"/>
              </w:rPr>
              <w:fldChar w:fldCharType="separate"/>
            </w:r>
            <w:r>
              <w:rPr>
                <w:rFonts w:asciiTheme="majorHAnsi" w:hAnsiTheme="majorHAnsi"/>
                <w:sz w:val="20"/>
                <w:szCs w:val="20"/>
              </w:rPr>
              <w:t>(Di Rienzi et al 2013)</w:t>
            </w:r>
            <w:r>
              <w:rPr>
                <w:rFonts w:ascii="Cambria" w:hAnsi="Cambria"/>
              </w:rPr>
              <w:fldChar w:fldCharType="end"/>
            </w:r>
          </w:p>
        </w:tc>
      </w:tr>
      <w:tr w:rsidR="00A345E4" w14:paraId="6389BD6C" w14:textId="77777777">
        <w:trPr>
          <w:trHeight w:val="467"/>
        </w:trPr>
        <w:tc>
          <w:tcPr>
            <w:tcW w:w="1643" w:type="dxa"/>
            <w:vMerge w:val="restart"/>
          </w:tcPr>
          <w:p w14:paraId="41E33B45" w14:textId="77777777" w:rsidR="00A345E4" w:rsidRDefault="00AD2B29">
            <w:pPr>
              <w:spacing w:after="120"/>
              <w:rPr>
                <w:rFonts w:ascii="Calibri" w:hAnsi="Calibri" w:cs="Calibri"/>
                <w:sz w:val="20"/>
                <w:szCs w:val="20"/>
              </w:rPr>
            </w:pPr>
            <w:r>
              <w:rPr>
                <w:rFonts w:ascii="Calibri" w:hAnsi="Calibri" w:cs="Calibri"/>
                <w:sz w:val="20"/>
                <w:szCs w:val="20"/>
              </w:rPr>
              <w:lastRenderedPageBreak/>
              <w:t>Light</w:t>
            </w:r>
          </w:p>
        </w:tc>
        <w:tc>
          <w:tcPr>
            <w:tcW w:w="8706" w:type="dxa"/>
            <w:gridSpan w:val="3"/>
          </w:tcPr>
          <w:p w14:paraId="45658AC7" w14:textId="77777777" w:rsidR="00A345E4" w:rsidRDefault="00AD2B29">
            <w:pPr>
              <w:spacing w:after="120"/>
              <w:rPr>
                <w:rFonts w:ascii="Calibri" w:hAnsi="Calibri" w:cs="Calibri"/>
                <w:sz w:val="20"/>
                <w:szCs w:val="20"/>
              </w:rPr>
            </w:pPr>
            <w:r>
              <w:rPr>
                <w:rFonts w:ascii="Calibri" w:hAnsi="Calibri" w:cs="Calibri"/>
                <w:i/>
                <w:iCs/>
                <w:sz w:val="20"/>
                <w:szCs w:val="20"/>
              </w:rPr>
              <w:t>In oxygenic phototrophs there is negative correlation between light irradiance and the genome size.</w:t>
            </w:r>
          </w:p>
        </w:tc>
      </w:tr>
      <w:tr w:rsidR="00A345E4" w:rsidRPr="005B4B43" w14:paraId="63587A58" w14:textId="77777777">
        <w:tc>
          <w:tcPr>
            <w:tcW w:w="1643" w:type="dxa"/>
            <w:vMerge/>
          </w:tcPr>
          <w:p w14:paraId="3634BCDD" w14:textId="77777777" w:rsidR="00A345E4" w:rsidRDefault="00A345E4">
            <w:pPr>
              <w:spacing w:after="120"/>
              <w:rPr>
                <w:rFonts w:ascii="Calibri" w:hAnsi="Calibri" w:cs="Calibri"/>
                <w:sz w:val="20"/>
                <w:szCs w:val="20"/>
              </w:rPr>
            </w:pPr>
          </w:p>
        </w:tc>
        <w:tc>
          <w:tcPr>
            <w:tcW w:w="3654" w:type="dxa"/>
          </w:tcPr>
          <w:p w14:paraId="203E41F4" w14:textId="77777777" w:rsidR="00A345E4" w:rsidRDefault="00AD2B29">
            <w:pPr>
              <w:spacing w:after="120"/>
              <w:rPr>
                <w:rFonts w:ascii="Calibri" w:hAnsi="Calibri" w:cs="Calibri"/>
                <w:sz w:val="20"/>
                <w:szCs w:val="20"/>
              </w:rPr>
            </w:pPr>
            <w:r>
              <w:rPr>
                <w:rFonts w:ascii="Calibri" w:hAnsi="Calibri" w:cs="Calibri"/>
                <w:sz w:val="20"/>
                <w:szCs w:val="20"/>
              </w:rPr>
              <w:t>Genomes of cultures and single cells show high-light-adapted ecotypes with smaller genome sizes and low-light-adapted ecotypes with bigger genomes.</w:t>
            </w:r>
          </w:p>
        </w:tc>
        <w:tc>
          <w:tcPr>
            <w:tcW w:w="3004" w:type="dxa"/>
          </w:tcPr>
          <w:p w14:paraId="0F74F50D" w14:textId="77777777" w:rsidR="00A345E4" w:rsidRDefault="00AD2B29">
            <w:pPr>
              <w:spacing w:after="120"/>
              <w:rPr>
                <w:rFonts w:ascii="Calibri" w:hAnsi="Calibri" w:cs="Calibri"/>
                <w:sz w:val="20"/>
                <w:szCs w:val="20"/>
              </w:rPr>
            </w:pPr>
            <w:r>
              <w:rPr>
                <w:rFonts w:ascii="Calibri" w:hAnsi="Calibri" w:cs="Calibri"/>
                <w:i/>
                <w:iCs/>
                <w:sz w:val="20"/>
                <w:szCs w:val="20"/>
              </w:rPr>
              <w:t>Prochlorococcus</w:t>
            </w:r>
            <w:r>
              <w:rPr>
                <w:rFonts w:ascii="Calibri" w:hAnsi="Calibri" w:cs="Calibri"/>
                <w:sz w:val="20"/>
                <w:szCs w:val="20"/>
              </w:rPr>
              <w:t xml:space="preserve"> spp. (phylum Cyanobacteria)</w:t>
            </w:r>
          </w:p>
        </w:tc>
        <w:tc>
          <w:tcPr>
            <w:tcW w:w="2048" w:type="dxa"/>
          </w:tcPr>
          <w:p w14:paraId="14E9AB2C" w14:textId="77777777" w:rsidR="00A345E4" w:rsidRDefault="00AD2B29">
            <w:pPr>
              <w:spacing w:after="120"/>
              <w:rPr>
                <w:rFonts w:ascii="Calibri" w:hAnsi="Calibri" w:cs="Calibri"/>
                <w:sz w:val="20"/>
                <w:szCs w:val="20"/>
                <w:lang w:val="es-ES"/>
              </w:rPr>
            </w:pPr>
            <w:r>
              <w:fldChar w:fldCharType="begin"/>
            </w:r>
            <w:r w:rsidRPr="00C74B91">
              <w:rPr>
                <w:rFonts w:ascii="Cambria" w:hAnsi="Cambria"/>
                <w:lang w:val="es-ES"/>
              </w:rPr>
              <w:instrText>ADDIN EN.CITE</w:instrText>
            </w:r>
            <w:r>
              <w:fldChar w:fldCharType="begin"/>
            </w:r>
            <w:r w:rsidRPr="00C74B91">
              <w:rPr>
                <w:rFonts w:ascii="Cambria" w:hAnsi="Cambria"/>
                <w:lang w:val="es-ES"/>
              </w:rPr>
              <w:instrText>ADDIN EN.CITE.DATA</w:instrText>
            </w:r>
            <w:r w:rsidR="0008070B">
              <w:rPr>
                <w:rFonts w:ascii="Cambria" w:hAnsi="Cambria"/>
              </w:rPr>
              <w:fldChar w:fldCharType="separate"/>
            </w:r>
            <w:r>
              <w:rPr>
                <w:rFonts w:ascii="Cambria" w:hAnsi="Cambria"/>
              </w:rPr>
              <w:fldChar w:fldCharType="end"/>
            </w:r>
            <w:r>
              <w:rPr>
                <w:rFonts w:ascii="Cambria" w:hAnsi="Cambria"/>
              </w:rPr>
              <w:fldChar w:fldCharType="separate"/>
            </w:r>
            <w:r>
              <w:rPr>
                <w:rFonts w:asciiTheme="majorHAnsi" w:hAnsiTheme="majorHAnsi"/>
                <w:sz w:val="20"/>
                <w:szCs w:val="20"/>
                <w:lang w:val="es-ES"/>
              </w:rPr>
              <w:t>(Berube et al 2018, Dufresne et al 2003, Rocap et al 2003)</w:t>
            </w:r>
            <w:r>
              <w:rPr>
                <w:rFonts w:ascii="Cambria" w:hAnsi="Cambria"/>
              </w:rPr>
              <w:fldChar w:fldCharType="end"/>
            </w:r>
          </w:p>
        </w:tc>
      </w:tr>
      <w:tr w:rsidR="00A345E4" w14:paraId="5C87EAE4" w14:textId="77777777">
        <w:tc>
          <w:tcPr>
            <w:tcW w:w="1643" w:type="dxa"/>
            <w:vMerge w:val="restart"/>
          </w:tcPr>
          <w:p w14:paraId="545A671F" w14:textId="77777777" w:rsidR="00A345E4" w:rsidRDefault="00AD2B29">
            <w:pPr>
              <w:spacing w:after="120"/>
              <w:rPr>
                <w:rFonts w:ascii="Calibri" w:hAnsi="Calibri" w:cs="Calibri"/>
                <w:sz w:val="20"/>
                <w:szCs w:val="20"/>
              </w:rPr>
            </w:pPr>
            <w:r>
              <w:rPr>
                <w:rFonts w:ascii="Calibri" w:hAnsi="Calibri" w:cs="Calibri"/>
                <w:sz w:val="20"/>
                <w:szCs w:val="20"/>
              </w:rPr>
              <w:t>Particles</w:t>
            </w:r>
          </w:p>
        </w:tc>
        <w:tc>
          <w:tcPr>
            <w:tcW w:w="8706" w:type="dxa"/>
            <w:gridSpan w:val="3"/>
          </w:tcPr>
          <w:p w14:paraId="2B32F258" w14:textId="77777777" w:rsidR="00A345E4" w:rsidRDefault="00AD2B29">
            <w:pPr>
              <w:spacing w:after="120"/>
              <w:rPr>
                <w:rFonts w:ascii="Calibri" w:hAnsi="Calibri" w:cs="Calibri"/>
                <w:sz w:val="20"/>
                <w:szCs w:val="20"/>
              </w:rPr>
            </w:pPr>
            <w:r>
              <w:rPr>
                <w:rFonts w:ascii="Calibri" w:hAnsi="Calibri" w:cs="Calibri"/>
                <w:i/>
                <w:iCs/>
                <w:sz w:val="20"/>
                <w:szCs w:val="20"/>
                <w:shd w:val="clear" w:color="auto" w:fill="FFFFFF"/>
              </w:rPr>
              <w:t>Microorganisms with particle associated lifestyle tend to have larger genome sizes.</w:t>
            </w:r>
          </w:p>
        </w:tc>
      </w:tr>
      <w:tr w:rsidR="00A345E4" w14:paraId="7C6D95C6" w14:textId="77777777">
        <w:tc>
          <w:tcPr>
            <w:tcW w:w="1643" w:type="dxa"/>
            <w:vMerge/>
          </w:tcPr>
          <w:p w14:paraId="654B0D42" w14:textId="77777777" w:rsidR="00A345E4" w:rsidRDefault="00A345E4">
            <w:pPr>
              <w:spacing w:after="120"/>
              <w:rPr>
                <w:rFonts w:ascii="Calibri" w:hAnsi="Calibri" w:cs="Calibri"/>
                <w:sz w:val="20"/>
                <w:szCs w:val="20"/>
              </w:rPr>
            </w:pPr>
          </w:p>
        </w:tc>
        <w:tc>
          <w:tcPr>
            <w:tcW w:w="3654" w:type="dxa"/>
          </w:tcPr>
          <w:p w14:paraId="0B48946A" w14:textId="77777777" w:rsidR="00A345E4" w:rsidRDefault="00AD2B29">
            <w:pPr>
              <w:spacing w:after="120"/>
              <w:rPr>
                <w:rFonts w:ascii="Calibri" w:hAnsi="Calibri" w:cs="Calibri"/>
                <w:sz w:val="20"/>
                <w:szCs w:val="20"/>
                <w:highlight w:val="white"/>
              </w:rPr>
            </w:pPr>
            <w:r>
              <w:rPr>
                <w:rFonts w:ascii="Calibri" w:hAnsi="Calibri" w:cs="Calibri"/>
                <w:sz w:val="20"/>
                <w:szCs w:val="20"/>
                <w:shd w:val="clear" w:color="auto" w:fill="FFFFFF"/>
              </w:rPr>
              <w:t>Comparison of metagenomes in coastal ecosystems show larger genome sizes for particle associated microorganisms than free-living.</w:t>
            </w:r>
          </w:p>
        </w:tc>
        <w:tc>
          <w:tcPr>
            <w:tcW w:w="3004" w:type="dxa"/>
          </w:tcPr>
          <w:p w14:paraId="7A726E83" w14:textId="77777777" w:rsidR="00A345E4" w:rsidRDefault="00AD2B29">
            <w:pPr>
              <w:spacing w:after="120"/>
              <w:rPr>
                <w:rFonts w:ascii="Calibri" w:hAnsi="Calibri" w:cs="Calibri"/>
                <w:sz w:val="20"/>
                <w:szCs w:val="20"/>
              </w:rPr>
            </w:pPr>
            <w:r>
              <w:rPr>
                <w:rFonts w:ascii="Calibri" w:hAnsi="Calibri" w:cs="Calibri"/>
                <w:sz w:val="20"/>
                <w:szCs w:val="20"/>
              </w:rPr>
              <w:t>Metagenomic data</w:t>
            </w:r>
          </w:p>
        </w:tc>
        <w:tc>
          <w:tcPr>
            <w:tcW w:w="2048" w:type="dxa"/>
          </w:tcPr>
          <w:p w14:paraId="130686C9" w14:textId="77777777" w:rsidR="00A345E4" w:rsidRDefault="00AD2B29">
            <w:pPr>
              <w:spacing w:after="120"/>
              <w:rPr>
                <w:rFonts w:ascii="Calibri" w:hAnsi="Calibri" w:cs="Calibri"/>
                <w:sz w:val="20"/>
                <w:szCs w:val="20"/>
              </w:rPr>
            </w:pPr>
            <w:r>
              <w:fldChar w:fldCharType="begin"/>
            </w:r>
            <w:r>
              <w:rPr>
                <w:rFonts w:ascii="Cambria" w:hAnsi="Cambria"/>
              </w:rPr>
              <w:instrText>ADDIN EN.CITE &lt;EndNote&gt;&lt;Cite&gt;&lt;Author&gt;Smith&lt;/Author&gt;&lt;Year&gt;2013&lt;/Year&gt;&lt;RecNum&gt;3876&lt;/RecNum&gt;&lt;DisplayText&gt;(Smith et al 2013)&lt;/DisplayText&gt;&lt;record&gt;&lt;rec-number&gt;3876&lt;/rec-number&gt;&lt;foreign-keys&gt;&lt;key app="EN" db-id="rvarxsaperwarteavwa5eszdz9da5f0werpr" timestamp="1608025807" guid="364f8ad2-2550-4705-a27f-37da4fe2d58a"&gt;3876&lt;/key&gt;&lt;/foreign-keys&gt;&lt;ref-type name="Journal Article"&gt;17&lt;/ref-type&gt;&lt;contributors&gt;&lt;authors&gt;&lt;author&gt;Smith, M. W.&lt;/author&gt;&lt;author&gt;Zeigler Allen, L.&lt;/author&gt;&lt;author&gt;Allen, A. E.&lt;/author&gt;&lt;author&gt;Herfort, L.&lt;/author&gt;&lt;author&gt;Simon, H. M.&lt;/author&gt;&lt;/authors&gt;&lt;/contributors&gt;&lt;auth-address&gt;Center for Coastal Margin Observation and Prediction, Oregon Health and Science University Beaverton, OR, USA.&lt;/auth-address&gt;&lt;titles&gt;&lt;title&gt;Contrasting genomic properties of free-living and particle-attached microbial assemblages within a coastal ecosystem&lt;/title&gt;&lt;secondary-title&gt;Front Microbiol&lt;/secondary-title&gt;&lt;/titles&gt;&lt;periodical&gt;&lt;full-title&gt;Front Microbiol&lt;/full-title&gt;&lt;abbr-1&gt;Frontiers in microbiology&lt;/abbr-1&gt;&lt;/periodical&gt;&lt;pages&gt;120&lt;/pages&gt;&lt;volume&gt;4&lt;/volume&gt;&lt;edition&gt;2013/06/12&lt;/edition&gt;&lt;keywords&gt;&lt;keyword&gt;Columbia River coastal margin&lt;/keyword&gt;&lt;keyword&gt;environmental water&lt;/keyword&gt;&lt;keyword&gt;metagenome analysis&lt;/keyword&gt;&lt;keyword&gt;microbial communities&lt;/keyword&gt;&lt;keyword&gt;particle-attached and free-living microbes&lt;/keyword&gt;&lt;/keywords&gt;&lt;dates&gt;&lt;year&gt;2013&lt;/year&gt;&lt;/dates&gt;&lt;isbn&gt;1664-302X (Print)&amp;#xD;1664-302X (Linking)&lt;/isbn&gt;&lt;accession-num&gt;23750156&lt;/accession-num&gt;&lt;urls&gt;&lt;related-urls&gt;&lt;url&gt;https://www.ncbi.nlm.nih.gov/pubmed/23750156&lt;/url&gt;&lt;/related-urls&gt;&lt;/urls&gt;&lt;custom2&gt;PMC3668451&lt;/custom2&gt;&lt;electronic-resource-num&gt;10.3389/fmicb.2013.00120&lt;/electronic-resource-num&gt;&lt;/record&gt;&lt;/Cite&gt;&lt;/EndNote&gt;</w:instrText>
            </w:r>
            <w:r>
              <w:rPr>
                <w:rFonts w:ascii="Cambria" w:hAnsi="Cambria"/>
              </w:rPr>
              <w:fldChar w:fldCharType="separate"/>
            </w:r>
            <w:r>
              <w:rPr>
                <w:rFonts w:asciiTheme="majorHAnsi" w:hAnsiTheme="majorHAnsi"/>
                <w:sz w:val="20"/>
                <w:szCs w:val="20"/>
              </w:rPr>
              <w:t>(Smith et al 2013)</w:t>
            </w:r>
            <w:r>
              <w:rPr>
                <w:rFonts w:ascii="Cambria" w:hAnsi="Cambria"/>
              </w:rPr>
              <w:fldChar w:fldCharType="end"/>
            </w:r>
          </w:p>
        </w:tc>
      </w:tr>
      <w:tr w:rsidR="00A345E4" w14:paraId="66760869" w14:textId="77777777">
        <w:tc>
          <w:tcPr>
            <w:tcW w:w="1643" w:type="dxa"/>
            <w:vMerge/>
          </w:tcPr>
          <w:p w14:paraId="1317B515" w14:textId="77777777" w:rsidR="00A345E4" w:rsidRDefault="00A345E4">
            <w:pPr>
              <w:spacing w:after="120"/>
              <w:rPr>
                <w:rFonts w:ascii="Calibri" w:hAnsi="Calibri" w:cs="Calibri"/>
                <w:sz w:val="20"/>
                <w:szCs w:val="20"/>
              </w:rPr>
            </w:pPr>
          </w:p>
        </w:tc>
        <w:tc>
          <w:tcPr>
            <w:tcW w:w="3654" w:type="dxa"/>
          </w:tcPr>
          <w:p w14:paraId="0F8AACB1" w14:textId="77777777" w:rsidR="00A345E4" w:rsidRDefault="00AD2B29">
            <w:pPr>
              <w:spacing w:after="120"/>
              <w:rPr>
                <w:rFonts w:ascii="Calibri" w:hAnsi="Calibri" w:cs="Calibri"/>
                <w:sz w:val="20"/>
                <w:szCs w:val="20"/>
              </w:rPr>
            </w:pPr>
            <w:r>
              <w:rPr>
                <w:rFonts w:ascii="Calibri" w:hAnsi="Calibri" w:cs="Calibri"/>
                <w:sz w:val="20"/>
                <w:szCs w:val="20"/>
                <w:shd w:val="clear" w:color="auto" w:fill="FFFFFF"/>
              </w:rPr>
              <w:t>Particle associated microbes have larger genome sizes than free-living bacteria.</w:t>
            </w:r>
          </w:p>
        </w:tc>
        <w:tc>
          <w:tcPr>
            <w:tcW w:w="3004" w:type="dxa"/>
          </w:tcPr>
          <w:p w14:paraId="560FAF68" w14:textId="77777777" w:rsidR="00A345E4" w:rsidRDefault="00AD2B29">
            <w:pPr>
              <w:spacing w:after="120"/>
              <w:rPr>
                <w:rFonts w:ascii="Calibri" w:hAnsi="Calibri" w:cs="Calibri"/>
                <w:sz w:val="20"/>
                <w:szCs w:val="20"/>
              </w:rPr>
            </w:pPr>
            <w:r>
              <w:rPr>
                <w:rFonts w:ascii="Calibri" w:hAnsi="Calibri" w:cs="Calibri"/>
                <w:sz w:val="20"/>
                <w:szCs w:val="20"/>
              </w:rPr>
              <w:t>Cyanobacteria and Bacteroidetes (phyla)</w:t>
            </w:r>
          </w:p>
        </w:tc>
        <w:tc>
          <w:tcPr>
            <w:tcW w:w="2048" w:type="dxa"/>
          </w:tcPr>
          <w:p w14:paraId="32C90FF5" w14:textId="77777777" w:rsidR="00A345E4" w:rsidRDefault="00AD2B29">
            <w:pPr>
              <w:spacing w:after="120"/>
              <w:rPr>
                <w:rFonts w:ascii="Calibri" w:hAnsi="Calibri" w:cs="Calibri"/>
                <w:sz w:val="20"/>
                <w:szCs w:val="20"/>
              </w:rPr>
            </w:pPr>
            <w:r>
              <w:fldChar w:fldCharType="begin"/>
            </w:r>
            <w:r>
              <w:rPr>
                <w:rFonts w:ascii="Cambria" w:hAnsi="Cambria"/>
              </w:rPr>
              <w:instrText>ADDIN EN.CITE</w:instrText>
            </w:r>
            <w:r>
              <w:fldChar w:fldCharType="begin"/>
            </w:r>
            <w:r>
              <w:rPr>
                <w:rFonts w:ascii="Cambria" w:hAnsi="Cambria"/>
              </w:rPr>
              <w:instrText>ADDIN EN.CITE.DATA</w:instrText>
            </w:r>
            <w:r w:rsidR="0008070B">
              <w:rPr>
                <w:rFonts w:ascii="Cambria" w:hAnsi="Cambria"/>
              </w:rPr>
              <w:fldChar w:fldCharType="separate"/>
            </w:r>
            <w:r>
              <w:rPr>
                <w:rFonts w:ascii="Cambria" w:hAnsi="Cambria"/>
              </w:rPr>
              <w:fldChar w:fldCharType="end"/>
            </w:r>
            <w:r>
              <w:rPr>
                <w:rFonts w:ascii="Cambria" w:hAnsi="Cambria"/>
              </w:rPr>
              <w:fldChar w:fldCharType="separate"/>
            </w:r>
            <w:r>
              <w:rPr>
                <w:rFonts w:asciiTheme="majorHAnsi" w:hAnsiTheme="majorHAnsi"/>
                <w:sz w:val="20"/>
                <w:szCs w:val="20"/>
              </w:rPr>
              <w:t>(Allen et al 2012)</w:t>
            </w:r>
            <w:r>
              <w:rPr>
                <w:rFonts w:ascii="Cambria" w:hAnsi="Cambria"/>
              </w:rPr>
              <w:fldChar w:fldCharType="end"/>
            </w:r>
          </w:p>
        </w:tc>
      </w:tr>
      <w:tr w:rsidR="00A345E4" w14:paraId="1DB32B31" w14:textId="77777777">
        <w:tc>
          <w:tcPr>
            <w:tcW w:w="1643" w:type="dxa"/>
            <w:vMerge w:val="restart"/>
          </w:tcPr>
          <w:p w14:paraId="592D9F40" w14:textId="77777777" w:rsidR="00A345E4" w:rsidRDefault="00AD2B29">
            <w:pPr>
              <w:spacing w:after="120"/>
              <w:rPr>
                <w:sz w:val="20"/>
                <w:szCs w:val="20"/>
              </w:rPr>
            </w:pPr>
            <w:r>
              <w:rPr>
                <w:rFonts w:ascii="Calibri" w:hAnsi="Calibri" w:cs="Calibri"/>
                <w:sz w:val="20"/>
                <w:szCs w:val="20"/>
              </w:rPr>
              <w:t>Host-association</w:t>
            </w:r>
          </w:p>
        </w:tc>
        <w:tc>
          <w:tcPr>
            <w:tcW w:w="8706" w:type="dxa"/>
            <w:gridSpan w:val="3"/>
          </w:tcPr>
          <w:p w14:paraId="464344CC" w14:textId="77777777" w:rsidR="00A345E4" w:rsidRDefault="00AD2B29">
            <w:pPr>
              <w:spacing w:after="120"/>
              <w:rPr>
                <w:i/>
                <w:iCs/>
                <w:sz w:val="20"/>
                <w:szCs w:val="20"/>
              </w:rPr>
            </w:pPr>
            <w:r>
              <w:rPr>
                <w:rFonts w:asciiTheme="majorHAnsi" w:hAnsiTheme="majorHAnsi"/>
                <w:i/>
                <w:iCs/>
                <w:sz w:val="20"/>
                <w:szCs w:val="20"/>
              </w:rPr>
              <w:t>Host-associated bacterial genomes show a variation in size depending on the type of host (plant, animal, etc.) and the type of association they have with the host (endosymbiotic, ectobiotic or epibiotic)</w:t>
            </w:r>
          </w:p>
        </w:tc>
      </w:tr>
      <w:tr w:rsidR="00A345E4" w14:paraId="7AFA7E58" w14:textId="77777777">
        <w:tc>
          <w:tcPr>
            <w:tcW w:w="1643" w:type="dxa"/>
            <w:vMerge/>
          </w:tcPr>
          <w:p w14:paraId="7D8CAB8C" w14:textId="77777777" w:rsidR="00A345E4" w:rsidRDefault="00A345E4">
            <w:pPr>
              <w:spacing w:after="120"/>
              <w:rPr>
                <w:rFonts w:ascii="Calibri" w:hAnsi="Calibri" w:cs="Calibri"/>
                <w:sz w:val="20"/>
                <w:szCs w:val="20"/>
              </w:rPr>
            </w:pPr>
          </w:p>
        </w:tc>
        <w:tc>
          <w:tcPr>
            <w:tcW w:w="3654" w:type="dxa"/>
          </w:tcPr>
          <w:p w14:paraId="189E1545" w14:textId="77777777" w:rsidR="00A345E4" w:rsidRDefault="00AD2B29">
            <w:pPr>
              <w:spacing w:after="120"/>
              <w:rPr>
                <w:rFonts w:ascii="Calibri" w:hAnsi="Calibri" w:cs="Calibri"/>
                <w:sz w:val="20"/>
                <w:szCs w:val="20"/>
              </w:rPr>
            </w:pPr>
            <w:r>
              <w:rPr>
                <w:rFonts w:ascii="Calibri" w:hAnsi="Calibri" w:cs="Calibri"/>
                <w:color w:val="000000"/>
                <w:sz w:val="20"/>
                <w:szCs w:val="20"/>
              </w:rPr>
              <w:t xml:space="preserve">In silico studies indicate massive genome expansions in plant-associated bacteria. </w:t>
            </w:r>
          </w:p>
          <w:p w14:paraId="03A2B1D7" w14:textId="77777777" w:rsidR="00A345E4" w:rsidRDefault="00A345E4">
            <w:pPr>
              <w:spacing w:after="120"/>
              <w:rPr>
                <w:rFonts w:ascii="Calibri" w:hAnsi="Calibri" w:cs="Calibri"/>
                <w:sz w:val="20"/>
                <w:szCs w:val="20"/>
              </w:rPr>
            </w:pPr>
          </w:p>
        </w:tc>
        <w:tc>
          <w:tcPr>
            <w:tcW w:w="3004" w:type="dxa"/>
          </w:tcPr>
          <w:p w14:paraId="138D3A4F" w14:textId="77777777" w:rsidR="00A345E4" w:rsidRDefault="00AD2B29">
            <w:pPr>
              <w:spacing w:after="120"/>
              <w:rPr>
                <w:rFonts w:ascii="Calibri" w:hAnsi="Calibri" w:cs="Calibri"/>
                <w:sz w:val="20"/>
                <w:szCs w:val="20"/>
              </w:rPr>
            </w:pPr>
            <w:r>
              <w:rPr>
                <w:rFonts w:ascii="Calibri" w:hAnsi="Calibri" w:cs="Calibri"/>
                <w:sz w:val="20"/>
                <w:szCs w:val="20"/>
              </w:rPr>
              <w:t>Alphaproteobacteria (class)</w:t>
            </w:r>
          </w:p>
        </w:tc>
        <w:tc>
          <w:tcPr>
            <w:tcW w:w="2048" w:type="dxa"/>
          </w:tcPr>
          <w:p w14:paraId="2C029AD4" w14:textId="77777777" w:rsidR="00A345E4" w:rsidRDefault="00AD2B29">
            <w:pPr>
              <w:spacing w:after="120"/>
              <w:rPr>
                <w:rFonts w:ascii="Calibri" w:hAnsi="Calibri" w:cs="Calibri"/>
                <w:sz w:val="20"/>
                <w:szCs w:val="20"/>
              </w:rPr>
            </w:pPr>
            <w:r>
              <w:fldChar w:fldCharType="begin"/>
            </w:r>
            <w:r>
              <w:rPr>
                <w:rFonts w:ascii="Cambria" w:hAnsi="Cambria"/>
              </w:rPr>
              <w:instrText>ADDIN EN.CITE &lt;EndNote&gt;&lt;Cite&gt;&lt;Author&gt;Boussau&lt;/Author&gt;&lt;Year&gt;2004&lt;/Year&gt;&lt;RecNum&gt;3866&lt;/RecNum&gt;&lt;DisplayText&gt;(Boussau et al 2004)&lt;/DisplayText&gt;&lt;record&gt;&lt;rec-number&gt;3866&lt;/rec-number&gt;&lt;foreign-keys&gt;&lt;key app="EN" db-id="rvarxsaperwarteavwa5eszdz9da5f0werpr" timestamp="1607027557" guid="62acdeba-bca0-4172-9dac-d98ac1be2586"&gt;3866&lt;/key&gt;&lt;/foreign-keys&gt;&lt;ref-type name="Journal Article"&gt;17&lt;/ref-type&gt;&lt;contributors&gt;&lt;authors&gt;&lt;author&gt;Boussau, B.&lt;/author&gt;&lt;author&gt;Karlberg, E. O.&lt;/author&gt;&lt;author&gt;Frank, A. C.&lt;/author&gt;&lt;author&gt;Legault, B. A.&lt;/author&gt;&lt;author&gt;Andersson, S. G.&lt;/author&gt;&lt;/authors&gt;&lt;/contributors&gt;&lt;auth-address&gt;Department of Molecular Evolution, Evolutionary Biology Center, Uppsala University, S-752 36 Uppsala, Sweden.&lt;/auth-address&gt;&lt;titles&gt;&lt;title&gt;Computational inference of scenarios for alpha-proteobacterial genome evolution&lt;/title&gt;&lt;secondary-title&gt;Proc Natl Acad Sci U S A&lt;/secondary-title&gt;&lt;/titles&gt;&lt;periodical&gt;&lt;full-title&gt;Proc Natl Acad Sci U S A&lt;/full-title&gt;&lt;/periodical&gt;&lt;pages&gt;9722-7&lt;/pages&gt;&lt;volume&gt;101&lt;/volume&gt;&lt;number&gt;26&lt;/number&gt;&lt;edition&gt;2004/06/24&lt;/edition&gt;&lt;keywords&gt;&lt;keyword&gt;Alphaproteobacteria/classification/*genetics/metabolism&lt;/keyword&gt;&lt;keyword&gt;Animals&lt;/keyword&gt;&lt;keyword&gt;Chromosomes, Bacterial/genetics&lt;/keyword&gt;&lt;keyword&gt;Eukaryotic Cells/metabolism&lt;/keyword&gt;&lt;keyword&gt;*Evolution, Molecular&lt;/keyword&gt;&lt;keyword&gt;Genes, Bacterial/*genetics&lt;/keyword&gt;&lt;keyword&gt;*Genome, Bacterial&lt;/keyword&gt;&lt;keyword&gt;Humans&lt;/keyword&gt;&lt;keyword&gt;Mitochondria/genetics/physiology&lt;/keyword&gt;&lt;keyword&gt;Phylogeny&lt;/keyword&gt;&lt;keyword&gt;Plants/microbiology&lt;/keyword&gt;&lt;/keywords&gt;&lt;dates&gt;&lt;year&gt;2004&lt;/year&gt;&lt;pub-dates&gt;&lt;date&gt;Jun 29&lt;/date&gt;&lt;/pub-dates&gt;&lt;/dates&gt;&lt;isbn&gt;0027-8424 (Print)&amp;#xD;0027-8424 (Linking)&lt;/isbn&gt;&lt;accession-num&gt;15210995&lt;/accession-num&gt;&lt;urls&gt;&lt;related-urls&gt;&lt;url&gt;https://www.ncbi.nlm.nih.gov/pubmed/15210995&lt;/url&gt;&lt;/related-urls&gt;&lt;/urls&gt;&lt;custom2&gt;PMC470742&lt;/custom2&gt;&lt;electronic-resource-num&gt;10.1073/pnas.0400975101&lt;/electronic-resource-num&gt;&lt;/record&gt;&lt;/Cite&gt;&lt;/EndNote&gt;</w:instrText>
            </w:r>
            <w:r>
              <w:rPr>
                <w:rFonts w:ascii="Cambria" w:hAnsi="Cambria"/>
              </w:rPr>
              <w:fldChar w:fldCharType="separate"/>
            </w:r>
            <w:r>
              <w:rPr>
                <w:rFonts w:asciiTheme="majorHAnsi" w:hAnsiTheme="majorHAnsi"/>
                <w:sz w:val="20"/>
                <w:szCs w:val="20"/>
              </w:rPr>
              <w:t>(Boussau et al 2004)</w:t>
            </w:r>
            <w:r>
              <w:rPr>
                <w:rFonts w:ascii="Cambria" w:hAnsi="Cambria"/>
              </w:rPr>
              <w:fldChar w:fldCharType="end"/>
            </w:r>
          </w:p>
        </w:tc>
      </w:tr>
      <w:tr w:rsidR="00A345E4" w14:paraId="6077101A" w14:textId="77777777">
        <w:tc>
          <w:tcPr>
            <w:tcW w:w="1643" w:type="dxa"/>
            <w:vMerge/>
          </w:tcPr>
          <w:p w14:paraId="76CDF32C" w14:textId="77777777" w:rsidR="00A345E4" w:rsidRDefault="00A345E4">
            <w:pPr>
              <w:spacing w:after="120"/>
              <w:rPr>
                <w:rFonts w:ascii="Calibri" w:hAnsi="Calibri" w:cs="Calibri"/>
                <w:sz w:val="20"/>
                <w:szCs w:val="20"/>
              </w:rPr>
            </w:pPr>
          </w:p>
        </w:tc>
        <w:tc>
          <w:tcPr>
            <w:tcW w:w="3654" w:type="dxa"/>
          </w:tcPr>
          <w:p w14:paraId="55F6CCE7" w14:textId="77777777" w:rsidR="00A345E4" w:rsidRDefault="00AD2B29">
            <w:pPr>
              <w:tabs>
                <w:tab w:val="left" w:pos="1149"/>
              </w:tabs>
              <w:spacing w:after="120"/>
              <w:rPr>
                <w:rFonts w:ascii="Calibri" w:hAnsi="Calibri" w:cs="Calibri"/>
                <w:sz w:val="20"/>
                <w:szCs w:val="20"/>
              </w:rPr>
            </w:pPr>
            <w:r>
              <w:rPr>
                <w:rFonts w:ascii="Calibri" w:hAnsi="Calibri" w:cs="Calibri"/>
                <w:color w:val="000000"/>
                <w:sz w:val="20"/>
                <w:szCs w:val="20"/>
              </w:rPr>
              <w:t>Isolates from sugarcane (</w:t>
            </w:r>
            <w:r>
              <w:rPr>
                <w:rFonts w:ascii="Calibri" w:hAnsi="Calibri" w:cs="Calibri"/>
                <w:i/>
                <w:iCs/>
                <w:color w:val="000000"/>
                <w:sz w:val="20"/>
                <w:szCs w:val="20"/>
              </w:rPr>
              <w:t>Saccharum</w:t>
            </w:r>
            <w:r>
              <w:rPr>
                <w:rFonts w:ascii="Calibri" w:hAnsi="Calibri" w:cs="Calibri"/>
                <w:color w:val="000000"/>
                <w:sz w:val="20"/>
                <w:szCs w:val="20"/>
              </w:rPr>
              <w:t xml:space="preserve"> sp.) rhizosphere and endophytic roots and stalks show 26 individual genomes of associated bacteria whose genomes ranged from 3.9 to 7.5 Mbp.</w:t>
            </w:r>
          </w:p>
        </w:tc>
        <w:tc>
          <w:tcPr>
            <w:tcW w:w="3004" w:type="dxa"/>
          </w:tcPr>
          <w:p w14:paraId="781FA5BD" w14:textId="77777777" w:rsidR="00A345E4" w:rsidRDefault="00AD2B29">
            <w:pPr>
              <w:spacing w:after="120"/>
              <w:rPr>
                <w:rFonts w:ascii="Calibri" w:hAnsi="Calibri" w:cs="Calibri"/>
                <w:sz w:val="20"/>
                <w:szCs w:val="20"/>
                <w:lang w:val="es-ES"/>
              </w:rPr>
            </w:pPr>
            <w:proofErr w:type="spellStart"/>
            <w:r>
              <w:rPr>
                <w:rFonts w:ascii="Calibri" w:hAnsi="Calibri" w:cs="Calibri"/>
                <w:sz w:val="20"/>
                <w:szCs w:val="20"/>
                <w:lang w:val="es-ES"/>
              </w:rPr>
              <w:t>Diverse</w:t>
            </w:r>
            <w:proofErr w:type="spellEnd"/>
            <w:r>
              <w:rPr>
                <w:rFonts w:ascii="Calibri" w:hAnsi="Calibri" w:cs="Calibri"/>
                <w:sz w:val="20"/>
                <w:szCs w:val="20"/>
                <w:lang w:val="es-ES"/>
              </w:rPr>
              <w:t xml:space="preserve"> </w:t>
            </w:r>
            <w:proofErr w:type="spellStart"/>
            <w:r>
              <w:rPr>
                <w:rFonts w:ascii="Calibri" w:hAnsi="Calibri" w:cs="Calibri"/>
                <w:sz w:val="20"/>
                <w:szCs w:val="20"/>
                <w:lang w:val="es-ES"/>
              </w:rPr>
              <w:t>bacterial</w:t>
            </w:r>
            <w:proofErr w:type="spellEnd"/>
            <w:r>
              <w:rPr>
                <w:rFonts w:ascii="Calibri" w:hAnsi="Calibri" w:cs="Calibri"/>
                <w:sz w:val="20"/>
                <w:szCs w:val="20"/>
                <w:lang w:val="es-ES"/>
              </w:rPr>
              <w:t xml:space="preserve"> </w:t>
            </w:r>
            <w:proofErr w:type="spellStart"/>
            <w:r>
              <w:rPr>
                <w:rFonts w:ascii="Calibri" w:hAnsi="Calibri" w:cs="Calibri"/>
                <w:sz w:val="20"/>
                <w:szCs w:val="20"/>
                <w:lang w:val="es-ES"/>
              </w:rPr>
              <w:t>taxa</w:t>
            </w:r>
            <w:proofErr w:type="spellEnd"/>
            <w:r>
              <w:rPr>
                <w:rFonts w:ascii="Calibri" w:hAnsi="Calibri" w:cs="Calibri"/>
                <w:sz w:val="20"/>
                <w:szCs w:val="20"/>
                <w:lang w:val="es-ES"/>
              </w:rPr>
              <w:t xml:space="preserve"> (</w:t>
            </w:r>
            <w:proofErr w:type="spellStart"/>
            <w:r>
              <w:rPr>
                <w:rFonts w:ascii="Calibri" w:hAnsi="Calibri" w:cs="Calibri"/>
                <w:sz w:val="20"/>
                <w:szCs w:val="20"/>
                <w:lang w:val="es-ES"/>
              </w:rPr>
              <w:t>Burkholderiaceae</w:t>
            </w:r>
            <w:proofErr w:type="spellEnd"/>
            <w:r>
              <w:rPr>
                <w:rFonts w:ascii="Calibri" w:hAnsi="Calibri" w:cs="Calibri"/>
                <w:sz w:val="20"/>
                <w:szCs w:val="20"/>
                <w:lang w:val="es-ES"/>
              </w:rPr>
              <w:t xml:space="preserve">, </w:t>
            </w:r>
            <w:proofErr w:type="spellStart"/>
            <w:r>
              <w:rPr>
                <w:rFonts w:ascii="Calibri" w:hAnsi="Calibri" w:cs="Calibri"/>
                <w:sz w:val="20"/>
                <w:szCs w:val="20"/>
                <w:lang w:val="es-ES"/>
              </w:rPr>
              <w:t>Rhizobiaceae</w:t>
            </w:r>
            <w:proofErr w:type="spellEnd"/>
            <w:r>
              <w:rPr>
                <w:rFonts w:ascii="Calibri" w:hAnsi="Calibri" w:cs="Calibri"/>
                <w:sz w:val="20"/>
                <w:szCs w:val="20"/>
                <w:lang w:val="es-ES"/>
              </w:rPr>
              <w:t xml:space="preserve">, </w:t>
            </w:r>
            <w:proofErr w:type="spellStart"/>
            <w:r>
              <w:rPr>
                <w:rFonts w:ascii="Calibri" w:hAnsi="Calibri" w:cs="Calibri"/>
                <w:sz w:val="20"/>
                <w:szCs w:val="20"/>
                <w:lang w:val="es-ES"/>
              </w:rPr>
              <w:t>Caulobacteraceae</w:t>
            </w:r>
            <w:proofErr w:type="spellEnd"/>
            <w:r>
              <w:rPr>
                <w:rFonts w:ascii="Calibri" w:hAnsi="Calibri" w:cs="Calibri"/>
                <w:sz w:val="20"/>
                <w:szCs w:val="20"/>
                <w:lang w:val="es-ES"/>
              </w:rPr>
              <w:t xml:space="preserve">, </w:t>
            </w:r>
            <w:proofErr w:type="spellStart"/>
            <w:r>
              <w:rPr>
                <w:rFonts w:ascii="Calibri" w:hAnsi="Calibri" w:cs="Calibri"/>
                <w:sz w:val="20"/>
                <w:szCs w:val="20"/>
                <w:lang w:val="es-ES"/>
              </w:rPr>
              <w:t>Xanthomonadaceae</w:t>
            </w:r>
            <w:proofErr w:type="spellEnd"/>
            <w:r>
              <w:rPr>
                <w:rFonts w:ascii="Calibri" w:hAnsi="Calibri" w:cs="Calibri"/>
                <w:sz w:val="20"/>
                <w:szCs w:val="20"/>
                <w:lang w:val="es-ES"/>
              </w:rPr>
              <w:t>, etc.)</w:t>
            </w:r>
          </w:p>
        </w:tc>
        <w:tc>
          <w:tcPr>
            <w:tcW w:w="2048" w:type="dxa"/>
          </w:tcPr>
          <w:p w14:paraId="71262C1C" w14:textId="77777777" w:rsidR="00A345E4" w:rsidRDefault="00AD2B29">
            <w:pPr>
              <w:spacing w:after="120"/>
              <w:rPr>
                <w:rFonts w:ascii="Calibri" w:hAnsi="Calibri" w:cs="Calibri"/>
                <w:sz w:val="20"/>
                <w:szCs w:val="20"/>
              </w:rPr>
            </w:pPr>
            <w:r>
              <w:fldChar w:fldCharType="begin"/>
            </w:r>
            <w:r>
              <w:rPr>
                <w:rFonts w:ascii="Cambria" w:hAnsi="Cambria"/>
              </w:rPr>
              <w:instrText>ADDIN EN.CITE</w:instrText>
            </w:r>
            <w:r>
              <w:fldChar w:fldCharType="begin"/>
            </w:r>
            <w:r>
              <w:rPr>
                <w:rFonts w:ascii="Cambria" w:hAnsi="Cambria"/>
              </w:rPr>
              <w:instrText>ADDIN EN.CITE.DATA</w:instrText>
            </w:r>
            <w:r w:rsidR="0008070B">
              <w:rPr>
                <w:rFonts w:ascii="Cambria" w:hAnsi="Cambria"/>
              </w:rPr>
              <w:fldChar w:fldCharType="separate"/>
            </w:r>
            <w:r>
              <w:rPr>
                <w:rFonts w:ascii="Cambria" w:hAnsi="Cambria"/>
              </w:rPr>
              <w:fldChar w:fldCharType="end"/>
            </w:r>
            <w:r>
              <w:rPr>
                <w:rFonts w:ascii="Cambria" w:hAnsi="Cambria"/>
              </w:rPr>
              <w:fldChar w:fldCharType="separate"/>
            </w:r>
            <w:r>
              <w:rPr>
                <w:rFonts w:asciiTheme="majorHAnsi" w:hAnsiTheme="majorHAnsi"/>
                <w:sz w:val="20"/>
                <w:szCs w:val="20"/>
              </w:rPr>
              <w:t>(de Souza et al 2019)</w:t>
            </w:r>
            <w:r>
              <w:rPr>
                <w:rFonts w:ascii="Cambria" w:hAnsi="Cambria"/>
              </w:rPr>
              <w:fldChar w:fldCharType="end"/>
            </w:r>
          </w:p>
        </w:tc>
      </w:tr>
      <w:tr w:rsidR="00A345E4" w14:paraId="5C3FBC0C" w14:textId="77777777">
        <w:tc>
          <w:tcPr>
            <w:tcW w:w="1643" w:type="dxa"/>
            <w:vMerge/>
          </w:tcPr>
          <w:p w14:paraId="52B19EDE" w14:textId="77777777" w:rsidR="00A345E4" w:rsidRDefault="00A345E4">
            <w:pPr>
              <w:spacing w:after="120"/>
              <w:rPr>
                <w:rFonts w:ascii="Calibri" w:hAnsi="Calibri" w:cs="Calibri"/>
                <w:sz w:val="20"/>
                <w:szCs w:val="20"/>
              </w:rPr>
            </w:pPr>
          </w:p>
        </w:tc>
        <w:tc>
          <w:tcPr>
            <w:tcW w:w="3654" w:type="dxa"/>
          </w:tcPr>
          <w:p w14:paraId="03289A4C" w14:textId="77777777" w:rsidR="00A345E4" w:rsidRDefault="00AD2B29">
            <w:pPr>
              <w:tabs>
                <w:tab w:val="left" w:pos="1149"/>
              </w:tabs>
              <w:spacing w:after="120"/>
              <w:rPr>
                <w:rFonts w:ascii="Calibri" w:hAnsi="Calibri" w:cs="Calibri"/>
                <w:color w:val="000000"/>
                <w:sz w:val="20"/>
                <w:szCs w:val="20"/>
              </w:rPr>
            </w:pPr>
            <w:r>
              <w:rPr>
                <w:rFonts w:ascii="Calibri" w:hAnsi="Calibri" w:cs="Calibri"/>
                <w:color w:val="000000"/>
                <w:sz w:val="20"/>
                <w:szCs w:val="20"/>
              </w:rPr>
              <w:t>Genomic comparison of 3837 bacterial genomes identified thousands of plant-associated gene clusters and found genomes of plant associated microorganisms tended to be larger</w:t>
            </w:r>
          </w:p>
        </w:tc>
        <w:tc>
          <w:tcPr>
            <w:tcW w:w="3004" w:type="dxa"/>
          </w:tcPr>
          <w:p w14:paraId="47B3FB73" w14:textId="77777777" w:rsidR="00A345E4" w:rsidRDefault="00AD2B29">
            <w:pPr>
              <w:spacing w:after="120"/>
              <w:rPr>
                <w:rFonts w:ascii="Calibri" w:hAnsi="Calibri" w:cs="Calibri"/>
                <w:i/>
                <w:iCs/>
                <w:sz w:val="20"/>
                <w:szCs w:val="20"/>
              </w:rPr>
            </w:pPr>
            <w:r>
              <w:rPr>
                <w:rFonts w:ascii="Calibri" w:hAnsi="Calibri" w:cs="Calibri"/>
                <w:sz w:val="20"/>
                <w:szCs w:val="20"/>
              </w:rPr>
              <w:t>Diverse bacterial taxa</w:t>
            </w:r>
          </w:p>
        </w:tc>
        <w:tc>
          <w:tcPr>
            <w:tcW w:w="2048" w:type="dxa"/>
          </w:tcPr>
          <w:p w14:paraId="5EC23A34" w14:textId="77777777" w:rsidR="00A345E4" w:rsidRDefault="00AD2B29">
            <w:pPr>
              <w:spacing w:after="120"/>
              <w:rPr>
                <w:sz w:val="20"/>
                <w:szCs w:val="20"/>
              </w:rPr>
            </w:pPr>
            <w:r>
              <w:fldChar w:fldCharType="begin"/>
            </w:r>
            <w:r>
              <w:rPr>
                <w:rFonts w:ascii="Cambria" w:hAnsi="Cambria"/>
              </w:rPr>
              <w:instrText>ADDIN EN.CITE</w:instrText>
            </w:r>
            <w:r>
              <w:fldChar w:fldCharType="begin"/>
            </w:r>
            <w:r>
              <w:rPr>
                <w:rFonts w:ascii="Cambria" w:hAnsi="Cambria"/>
              </w:rPr>
              <w:instrText>ADDIN EN.CITE.DATA</w:instrText>
            </w:r>
            <w:r w:rsidR="0008070B">
              <w:rPr>
                <w:rFonts w:ascii="Cambria" w:hAnsi="Cambria"/>
              </w:rPr>
              <w:fldChar w:fldCharType="separate"/>
            </w:r>
            <w:r>
              <w:rPr>
                <w:rFonts w:ascii="Cambria" w:hAnsi="Cambria"/>
              </w:rPr>
              <w:fldChar w:fldCharType="end"/>
            </w:r>
            <w:r>
              <w:rPr>
                <w:rFonts w:ascii="Cambria" w:hAnsi="Cambria"/>
              </w:rPr>
              <w:fldChar w:fldCharType="separate"/>
            </w:r>
            <w:r>
              <w:rPr>
                <w:rFonts w:asciiTheme="majorHAnsi" w:hAnsiTheme="majorHAnsi"/>
                <w:sz w:val="20"/>
                <w:szCs w:val="20"/>
              </w:rPr>
              <w:t>(Levy et al 2017)</w:t>
            </w:r>
            <w:r>
              <w:rPr>
                <w:rFonts w:ascii="Cambria" w:hAnsi="Cambria"/>
              </w:rPr>
              <w:fldChar w:fldCharType="end"/>
            </w:r>
          </w:p>
        </w:tc>
      </w:tr>
      <w:tr w:rsidR="00A345E4" w14:paraId="5100027B" w14:textId="77777777">
        <w:tc>
          <w:tcPr>
            <w:tcW w:w="1643" w:type="dxa"/>
            <w:vMerge/>
          </w:tcPr>
          <w:p w14:paraId="141E0C6D" w14:textId="77777777" w:rsidR="00A345E4" w:rsidRDefault="00A345E4">
            <w:pPr>
              <w:spacing w:after="120"/>
              <w:rPr>
                <w:rFonts w:ascii="Calibri" w:hAnsi="Calibri" w:cs="Calibri"/>
                <w:sz w:val="20"/>
                <w:szCs w:val="20"/>
              </w:rPr>
            </w:pPr>
          </w:p>
        </w:tc>
        <w:tc>
          <w:tcPr>
            <w:tcW w:w="3654" w:type="dxa"/>
          </w:tcPr>
          <w:p w14:paraId="5FCF72EF" w14:textId="77777777" w:rsidR="00A345E4" w:rsidRDefault="00AD2B29">
            <w:pPr>
              <w:tabs>
                <w:tab w:val="left" w:pos="1149"/>
              </w:tabs>
              <w:spacing w:after="120"/>
              <w:rPr>
                <w:rFonts w:ascii="Calibri" w:hAnsi="Calibri" w:cs="Calibri"/>
                <w:color w:val="000000"/>
                <w:sz w:val="20"/>
                <w:szCs w:val="20"/>
              </w:rPr>
            </w:pPr>
            <w:r>
              <w:rPr>
                <w:rFonts w:ascii="Calibri" w:hAnsi="Calibri" w:cs="Calibri"/>
                <w:color w:val="000000"/>
                <w:sz w:val="20"/>
                <w:szCs w:val="20"/>
              </w:rPr>
              <w:t>Intense genome reduction in isolates of microbes associated with aphids (Arthropoda).</w:t>
            </w:r>
          </w:p>
        </w:tc>
        <w:tc>
          <w:tcPr>
            <w:tcW w:w="3004" w:type="dxa"/>
          </w:tcPr>
          <w:p w14:paraId="347923A6" w14:textId="77777777" w:rsidR="00A345E4" w:rsidRDefault="00AD2B29">
            <w:pPr>
              <w:spacing w:after="120"/>
              <w:rPr>
                <w:rFonts w:ascii="Calibri" w:hAnsi="Calibri" w:cs="Calibri"/>
                <w:sz w:val="20"/>
                <w:szCs w:val="20"/>
              </w:rPr>
            </w:pPr>
            <w:proofErr w:type="spellStart"/>
            <w:r>
              <w:rPr>
                <w:rFonts w:ascii="Calibri" w:hAnsi="Calibri" w:cs="Calibri"/>
                <w:i/>
                <w:iCs/>
                <w:sz w:val="20"/>
                <w:szCs w:val="20"/>
              </w:rPr>
              <w:t>Buchnera</w:t>
            </w:r>
            <w:proofErr w:type="spellEnd"/>
            <w:r>
              <w:rPr>
                <w:rFonts w:ascii="Calibri" w:hAnsi="Calibri" w:cs="Calibri"/>
                <w:i/>
                <w:iCs/>
                <w:sz w:val="20"/>
                <w:szCs w:val="20"/>
              </w:rPr>
              <w:t xml:space="preserve"> </w:t>
            </w:r>
            <w:proofErr w:type="spellStart"/>
            <w:r>
              <w:rPr>
                <w:rFonts w:ascii="Calibri" w:hAnsi="Calibri" w:cs="Calibri"/>
                <w:i/>
                <w:iCs/>
                <w:sz w:val="20"/>
                <w:szCs w:val="20"/>
              </w:rPr>
              <w:t>aphidicola</w:t>
            </w:r>
            <w:proofErr w:type="spellEnd"/>
            <w:r>
              <w:rPr>
                <w:rFonts w:ascii="Calibri" w:hAnsi="Calibri" w:cs="Calibri"/>
                <w:sz w:val="20"/>
                <w:szCs w:val="20"/>
              </w:rPr>
              <w:t xml:space="preserve"> (class </w:t>
            </w:r>
            <w:proofErr w:type="spellStart"/>
            <w:r>
              <w:rPr>
                <w:rFonts w:ascii="Calibri" w:hAnsi="Calibri" w:cs="Calibri"/>
                <w:sz w:val="20"/>
                <w:szCs w:val="20"/>
              </w:rPr>
              <w:t>Gammaproteobacteria</w:t>
            </w:r>
            <w:proofErr w:type="spellEnd"/>
            <w:r>
              <w:rPr>
                <w:rFonts w:ascii="Calibri" w:hAnsi="Calibri" w:cs="Calibri"/>
                <w:sz w:val="20"/>
                <w:szCs w:val="20"/>
              </w:rPr>
              <w:t>)</w:t>
            </w:r>
          </w:p>
        </w:tc>
        <w:tc>
          <w:tcPr>
            <w:tcW w:w="2048" w:type="dxa"/>
          </w:tcPr>
          <w:p w14:paraId="26597591" w14:textId="77777777" w:rsidR="00A345E4" w:rsidRDefault="00AD2B29">
            <w:pPr>
              <w:spacing w:after="120"/>
              <w:rPr>
                <w:rFonts w:ascii="Calibri" w:hAnsi="Calibri" w:cs="Calibri"/>
                <w:sz w:val="20"/>
                <w:szCs w:val="20"/>
              </w:rPr>
            </w:pPr>
            <w:r>
              <w:fldChar w:fldCharType="begin"/>
            </w:r>
            <w:r>
              <w:rPr>
                <w:rFonts w:ascii="Cambria" w:hAnsi="Cambria"/>
              </w:rPr>
              <w:instrText>ADDIN EN.CITE</w:instrText>
            </w:r>
            <w:r>
              <w:fldChar w:fldCharType="begin"/>
            </w:r>
            <w:r>
              <w:rPr>
                <w:rFonts w:ascii="Cambria" w:hAnsi="Cambria"/>
              </w:rPr>
              <w:instrText>ADDIN EN.CITE.DATA</w:instrText>
            </w:r>
            <w:r w:rsidR="0008070B">
              <w:rPr>
                <w:rFonts w:ascii="Cambria" w:hAnsi="Cambria"/>
              </w:rPr>
              <w:fldChar w:fldCharType="separate"/>
            </w:r>
            <w:r>
              <w:rPr>
                <w:rFonts w:ascii="Cambria" w:hAnsi="Cambria"/>
              </w:rPr>
              <w:fldChar w:fldCharType="end"/>
            </w:r>
            <w:r>
              <w:rPr>
                <w:rFonts w:ascii="Cambria" w:hAnsi="Cambria"/>
              </w:rPr>
              <w:fldChar w:fldCharType="separate"/>
            </w:r>
            <w:r>
              <w:rPr>
                <w:rFonts w:asciiTheme="majorHAnsi" w:hAnsiTheme="majorHAnsi"/>
                <w:sz w:val="20"/>
                <w:szCs w:val="20"/>
              </w:rPr>
              <w:t>(Tamas et al 2002)</w:t>
            </w:r>
            <w:r>
              <w:rPr>
                <w:rFonts w:ascii="Cambria" w:hAnsi="Cambria"/>
              </w:rPr>
              <w:fldChar w:fldCharType="end"/>
            </w:r>
          </w:p>
        </w:tc>
      </w:tr>
      <w:tr w:rsidR="00A345E4" w:rsidRPr="00C74B91" w14:paraId="72081AC3" w14:textId="77777777">
        <w:tc>
          <w:tcPr>
            <w:tcW w:w="1643" w:type="dxa"/>
            <w:vMerge/>
          </w:tcPr>
          <w:p w14:paraId="086C1B7A" w14:textId="77777777" w:rsidR="00A345E4" w:rsidRDefault="00A345E4">
            <w:pPr>
              <w:spacing w:after="120"/>
              <w:rPr>
                <w:rFonts w:ascii="Calibri" w:hAnsi="Calibri" w:cs="Calibri"/>
                <w:sz w:val="20"/>
                <w:szCs w:val="20"/>
              </w:rPr>
            </w:pPr>
          </w:p>
        </w:tc>
        <w:tc>
          <w:tcPr>
            <w:tcW w:w="3654" w:type="dxa"/>
          </w:tcPr>
          <w:p w14:paraId="3666D549" w14:textId="77777777" w:rsidR="00A345E4" w:rsidRDefault="00AD2B29">
            <w:pPr>
              <w:tabs>
                <w:tab w:val="left" w:pos="1149"/>
              </w:tabs>
              <w:spacing w:after="120"/>
              <w:rPr>
                <w:rFonts w:ascii="Calibri" w:hAnsi="Calibri" w:cs="Calibri"/>
                <w:color w:val="000000"/>
                <w:sz w:val="20"/>
                <w:szCs w:val="20"/>
              </w:rPr>
            </w:pPr>
            <w:r>
              <w:rPr>
                <w:rFonts w:ascii="Calibri" w:hAnsi="Calibri" w:cs="Calibri"/>
                <w:i/>
                <w:iCs/>
                <w:color w:val="000000"/>
                <w:sz w:val="20"/>
                <w:szCs w:val="20"/>
              </w:rPr>
              <w:t>In vitro</w:t>
            </w:r>
            <w:r>
              <w:rPr>
                <w:rFonts w:ascii="Calibri" w:hAnsi="Calibri" w:cs="Calibri"/>
                <w:color w:val="000000"/>
                <w:sz w:val="20"/>
                <w:szCs w:val="20"/>
              </w:rPr>
              <w:t xml:space="preserve"> cultures and metagenomic datasets indicate reduced genome sizes in microbes associated with humans and other </w:t>
            </w:r>
            <w:proofErr w:type="spellStart"/>
            <w:r>
              <w:rPr>
                <w:rFonts w:ascii="Calibri" w:hAnsi="Calibri" w:cs="Calibri"/>
                <w:color w:val="000000"/>
                <w:sz w:val="20"/>
                <w:szCs w:val="20"/>
              </w:rPr>
              <w:t>mammmals</w:t>
            </w:r>
            <w:proofErr w:type="spellEnd"/>
          </w:p>
        </w:tc>
        <w:tc>
          <w:tcPr>
            <w:tcW w:w="3004" w:type="dxa"/>
          </w:tcPr>
          <w:p w14:paraId="221133AE" w14:textId="77777777" w:rsidR="00A345E4" w:rsidRDefault="00AD2B29">
            <w:pPr>
              <w:spacing w:after="120"/>
              <w:rPr>
                <w:rFonts w:ascii="Calibri" w:hAnsi="Calibri" w:cs="Calibri"/>
                <w:sz w:val="20"/>
                <w:szCs w:val="20"/>
                <w:lang w:val="es-ES"/>
              </w:rPr>
            </w:pPr>
            <w:r>
              <w:rPr>
                <w:rFonts w:ascii="Calibri" w:hAnsi="Calibri" w:cs="Calibri"/>
                <w:i/>
                <w:iCs/>
                <w:sz w:val="20"/>
                <w:szCs w:val="20"/>
                <w:lang w:val="es-ES"/>
              </w:rPr>
              <w:t xml:space="preserve">Salmonella </w:t>
            </w:r>
            <w:proofErr w:type="spellStart"/>
            <w:r>
              <w:rPr>
                <w:rFonts w:ascii="Calibri" w:hAnsi="Calibri" w:cs="Calibri"/>
                <w:i/>
                <w:iCs/>
                <w:sz w:val="20"/>
                <w:szCs w:val="20"/>
                <w:lang w:val="es-ES"/>
              </w:rPr>
              <w:t>enterica</w:t>
            </w:r>
            <w:proofErr w:type="spellEnd"/>
            <w:r>
              <w:rPr>
                <w:rFonts w:ascii="Calibri" w:hAnsi="Calibri" w:cs="Calibri"/>
                <w:sz w:val="20"/>
                <w:szCs w:val="20"/>
                <w:lang w:val="es-ES"/>
              </w:rPr>
              <w:t xml:space="preserve"> (</w:t>
            </w:r>
            <w:proofErr w:type="spellStart"/>
            <w:r>
              <w:rPr>
                <w:rFonts w:ascii="Calibri" w:hAnsi="Calibri" w:cs="Calibri"/>
                <w:sz w:val="20"/>
                <w:szCs w:val="20"/>
                <w:lang w:val="es-ES"/>
              </w:rPr>
              <w:t>class</w:t>
            </w:r>
            <w:proofErr w:type="spellEnd"/>
            <w:r>
              <w:rPr>
                <w:rFonts w:ascii="Calibri" w:hAnsi="Calibri" w:cs="Calibri"/>
                <w:sz w:val="20"/>
                <w:szCs w:val="20"/>
                <w:lang w:val="es-ES"/>
              </w:rPr>
              <w:t xml:space="preserve"> </w:t>
            </w:r>
            <w:proofErr w:type="spellStart"/>
            <w:r>
              <w:rPr>
                <w:rFonts w:ascii="Calibri" w:hAnsi="Calibri" w:cs="Calibri"/>
                <w:sz w:val="20"/>
                <w:szCs w:val="20"/>
                <w:lang w:val="es-ES"/>
              </w:rPr>
              <w:t>Gammaproteobacteria</w:t>
            </w:r>
            <w:proofErr w:type="spellEnd"/>
            <w:r>
              <w:rPr>
                <w:rFonts w:ascii="Calibri" w:hAnsi="Calibri" w:cs="Calibri"/>
                <w:sz w:val="20"/>
                <w:szCs w:val="20"/>
                <w:lang w:val="es-ES"/>
              </w:rPr>
              <w:t>)</w:t>
            </w:r>
          </w:p>
          <w:p w14:paraId="08F84BBE" w14:textId="77777777" w:rsidR="00A345E4" w:rsidRDefault="00AD2B29">
            <w:pPr>
              <w:spacing w:after="120"/>
              <w:rPr>
                <w:rFonts w:ascii="Calibri" w:hAnsi="Calibri" w:cs="Calibri"/>
                <w:sz w:val="20"/>
                <w:szCs w:val="20"/>
                <w:lang w:val="es-ES"/>
              </w:rPr>
            </w:pPr>
            <w:proofErr w:type="spellStart"/>
            <w:r>
              <w:rPr>
                <w:rFonts w:ascii="Calibri" w:hAnsi="Calibri" w:cs="Calibri"/>
                <w:sz w:val="20"/>
                <w:szCs w:val="20"/>
                <w:lang w:val="es-ES"/>
              </w:rPr>
              <w:t>Patescibacteria</w:t>
            </w:r>
            <w:proofErr w:type="spellEnd"/>
            <w:r>
              <w:rPr>
                <w:rFonts w:ascii="Calibri" w:hAnsi="Calibri" w:cs="Calibri"/>
                <w:sz w:val="20"/>
                <w:szCs w:val="20"/>
                <w:lang w:val="es-ES"/>
              </w:rPr>
              <w:t xml:space="preserve"> (</w:t>
            </w:r>
            <w:proofErr w:type="spellStart"/>
            <w:r>
              <w:rPr>
                <w:rFonts w:ascii="Calibri" w:hAnsi="Calibri" w:cs="Calibri"/>
                <w:sz w:val="20"/>
                <w:szCs w:val="20"/>
                <w:lang w:val="es-ES"/>
              </w:rPr>
              <w:t>phylum</w:t>
            </w:r>
            <w:proofErr w:type="spellEnd"/>
            <w:r>
              <w:rPr>
                <w:rFonts w:ascii="Calibri" w:hAnsi="Calibri" w:cs="Calibri"/>
                <w:sz w:val="20"/>
                <w:szCs w:val="20"/>
                <w:lang w:val="es-ES"/>
              </w:rPr>
              <w:t>)</w:t>
            </w:r>
          </w:p>
        </w:tc>
        <w:tc>
          <w:tcPr>
            <w:tcW w:w="2048" w:type="dxa"/>
          </w:tcPr>
          <w:p w14:paraId="387E6DF9" w14:textId="77777777" w:rsidR="00A345E4" w:rsidRDefault="00AD2B29">
            <w:pPr>
              <w:spacing w:after="120"/>
              <w:rPr>
                <w:rFonts w:ascii="Calibri" w:hAnsi="Calibri" w:cs="Calibri"/>
                <w:sz w:val="20"/>
                <w:szCs w:val="20"/>
                <w:lang w:val="es-ES"/>
              </w:rPr>
            </w:pPr>
            <w:r>
              <w:fldChar w:fldCharType="begin"/>
            </w:r>
            <w:r w:rsidRPr="00C74B91">
              <w:rPr>
                <w:rFonts w:ascii="Cambria" w:hAnsi="Cambria"/>
                <w:lang w:val="es-ES"/>
              </w:rPr>
              <w:instrText>ADDIN EN.CITE</w:instrText>
            </w:r>
            <w:r>
              <w:fldChar w:fldCharType="begin"/>
            </w:r>
            <w:r w:rsidRPr="00C74B91">
              <w:rPr>
                <w:rFonts w:ascii="Cambria" w:hAnsi="Cambria"/>
                <w:lang w:val="es-ES"/>
              </w:rPr>
              <w:instrText>ADDIN EN.CITE.DATA</w:instrText>
            </w:r>
            <w:r w:rsidR="0008070B">
              <w:rPr>
                <w:rFonts w:ascii="Cambria" w:hAnsi="Cambria"/>
              </w:rPr>
              <w:fldChar w:fldCharType="separate"/>
            </w:r>
            <w:r>
              <w:rPr>
                <w:rFonts w:ascii="Cambria" w:hAnsi="Cambria"/>
              </w:rPr>
              <w:fldChar w:fldCharType="end"/>
            </w:r>
            <w:r>
              <w:rPr>
                <w:rFonts w:ascii="Cambria" w:hAnsi="Cambria"/>
              </w:rPr>
              <w:fldChar w:fldCharType="separate"/>
            </w:r>
            <w:r>
              <w:rPr>
                <w:rFonts w:asciiTheme="majorHAnsi" w:hAnsiTheme="majorHAnsi"/>
                <w:sz w:val="20"/>
                <w:szCs w:val="20"/>
                <w:lang w:val="es-ES"/>
              </w:rPr>
              <w:t>(McLean et al 2020, Nilsson et al 2005)</w:t>
            </w:r>
            <w:r>
              <w:rPr>
                <w:rFonts w:ascii="Cambria" w:hAnsi="Cambria"/>
              </w:rPr>
              <w:fldChar w:fldCharType="end"/>
            </w:r>
          </w:p>
          <w:p w14:paraId="654DBAE7" w14:textId="77777777" w:rsidR="00A345E4" w:rsidRDefault="00A345E4">
            <w:pPr>
              <w:spacing w:after="120"/>
              <w:rPr>
                <w:rFonts w:ascii="Calibri" w:hAnsi="Calibri" w:cs="Calibri"/>
                <w:sz w:val="20"/>
                <w:szCs w:val="20"/>
                <w:lang w:val="es-ES"/>
              </w:rPr>
            </w:pPr>
          </w:p>
        </w:tc>
      </w:tr>
      <w:tr w:rsidR="00A345E4" w14:paraId="6FCD1992" w14:textId="77777777">
        <w:tc>
          <w:tcPr>
            <w:tcW w:w="1643" w:type="dxa"/>
            <w:vMerge/>
          </w:tcPr>
          <w:p w14:paraId="3BF7ABCB" w14:textId="77777777" w:rsidR="00A345E4" w:rsidRDefault="00A345E4">
            <w:pPr>
              <w:spacing w:after="120"/>
              <w:rPr>
                <w:rFonts w:ascii="Calibri" w:hAnsi="Calibri" w:cs="Calibri"/>
                <w:sz w:val="20"/>
                <w:szCs w:val="20"/>
                <w:lang w:val="es-ES"/>
              </w:rPr>
            </w:pPr>
          </w:p>
        </w:tc>
        <w:tc>
          <w:tcPr>
            <w:tcW w:w="3654" w:type="dxa"/>
          </w:tcPr>
          <w:p w14:paraId="27865574" w14:textId="77777777" w:rsidR="00A345E4" w:rsidRDefault="00AD2B29">
            <w:pPr>
              <w:tabs>
                <w:tab w:val="left" w:pos="1149"/>
              </w:tabs>
              <w:spacing w:after="120"/>
              <w:rPr>
                <w:rFonts w:ascii="Calibri" w:hAnsi="Calibri" w:cs="Calibri"/>
                <w:sz w:val="20"/>
                <w:szCs w:val="20"/>
              </w:rPr>
            </w:pPr>
            <w:r>
              <w:rPr>
                <w:rFonts w:ascii="Calibri" w:hAnsi="Calibri" w:cs="Calibri"/>
                <w:sz w:val="20"/>
                <w:szCs w:val="20"/>
              </w:rPr>
              <w:t xml:space="preserve">Environmental samples indicate that symbionts and epibionts of other microbes present highly reduced genomes. </w:t>
            </w:r>
          </w:p>
        </w:tc>
        <w:tc>
          <w:tcPr>
            <w:tcW w:w="3004" w:type="dxa"/>
          </w:tcPr>
          <w:p w14:paraId="6788FA49" w14:textId="77777777" w:rsidR="00A345E4" w:rsidRDefault="00AD2B29">
            <w:pPr>
              <w:spacing w:after="120"/>
              <w:rPr>
                <w:rFonts w:ascii="Calibri" w:hAnsi="Calibri" w:cs="Calibri"/>
                <w:sz w:val="20"/>
                <w:szCs w:val="20"/>
              </w:rPr>
            </w:pPr>
            <w:r>
              <w:rPr>
                <w:rFonts w:ascii="Calibri" w:hAnsi="Calibri" w:cs="Calibri"/>
                <w:sz w:val="20"/>
                <w:szCs w:val="20"/>
              </w:rPr>
              <w:t xml:space="preserve"> Bacteria of the CPR clade (such as </w:t>
            </w:r>
            <w:proofErr w:type="spellStart"/>
            <w:r>
              <w:rPr>
                <w:rFonts w:ascii="Calibri" w:hAnsi="Calibri" w:cs="Calibri"/>
                <w:i/>
                <w:iCs/>
                <w:sz w:val="20"/>
                <w:szCs w:val="20"/>
              </w:rPr>
              <w:t>Vampirococcus</w:t>
            </w:r>
            <w:proofErr w:type="spellEnd"/>
            <w:r>
              <w:rPr>
                <w:rFonts w:ascii="Calibri" w:hAnsi="Calibri" w:cs="Calibri"/>
                <w:i/>
                <w:iCs/>
                <w:sz w:val="20"/>
                <w:szCs w:val="20"/>
              </w:rPr>
              <w:t xml:space="preserve"> </w:t>
            </w:r>
            <w:proofErr w:type="spellStart"/>
            <w:r>
              <w:rPr>
                <w:rFonts w:ascii="Calibri" w:hAnsi="Calibri" w:cs="Calibri"/>
                <w:i/>
                <w:iCs/>
                <w:sz w:val="20"/>
                <w:szCs w:val="20"/>
              </w:rPr>
              <w:t>lugosii</w:t>
            </w:r>
            <w:proofErr w:type="spellEnd"/>
            <w:r>
              <w:rPr>
                <w:rFonts w:ascii="Calibri" w:hAnsi="Calibri" w:cs="Calibri"/>
                <w:sz w:val="20"/>
                <w:szCs w:val="20"/>
              </w:rPr>
              <w:t>) and Archaea of the DPANN</w:t>
            </w:r>
          </w:p>
        </w:tc>
        <w:tc>
          <w:tcPr>
            <w:tcW w:w="2048" w:type="dxa"/>
          </w:tcPr>
          <w:p w14:paraId="0CF6B6BD" w14:textId="77777777" w:rsidR="00A345E4" w:rsidRDefault="00AD2B29">
            <w:pPr>
              <w:spacing w:after="120"/>
              <w:rPr>
                <w:rFonts w:ascii="Calibri" w:hAnsi="Calibri" w:cs="Calibri"/>
                <w:sz w:val="20"/>
                <w:szCs w:val="20"/>
              </w:rPr>
            </w:pPr>
            <w:r>
              <w:fldChar w:fldCharType="begin"/>
            </w:r>
            <w:r>
              <w:rPr>
                <w:rFonts w:ascii="Cambria" w:hAnsi="Cambria"/>
              </w:rPr>
              <w:instrText>ADDIN EN.CITE</w:instrText>
            </w:r>
            <w:r>
              <w:fldChar w:fldCharType="begin"/>
            </w:r>
            <w:r>
              <w:rPr>
                <w:rFonts w:ascii="Cambria" w:hAnsi="Cambria"/>
              </w:rPr>
              <w:instrText>ADDIN EN.CITE.DATA</w:instrText>
            </w:r>
            <w:r w:rsidR="0008070B">
              <w:rPr>
                <w:rFonts w:ascii="Cambria" w:hAnsi="Cambria"/>
              </w:rPr>
              <w:fldChar w:fldCharType="separate"/>
            </w:r>
            <w:r>
              <w:rPr>
                <w:rFonts w:ascii="Cambria" w:hAnsi="Cambria"/>
              </w:rPr>
              <w:fldChar w:fldCharType="end"/>
            </w:r>
            <w:r>
              <w:rPr>
                <w:rFonts w:ascii="Cambria" w:hAnsi="Cambria"/>
              </w:rPr>
              <w:fldChar w:fldCharType="separate"/>
            </w:r>
            <w:r>
              <w:rPr>
                <w:rFonts w:asciiTheme="majorHAnsi" w:hAnsiTheme="majorHAnsi"/>
                <w:sz w:val="20"/>
                <w:szCs w:val="20"/>
              </w:rPr>
              <w:t>(Castelle and Banfield 2018, Moreira et al 2000)</w:t>
            </w:r>
            <w:r>
              <w:rPr>
                <w:rFonts w:ascii="Cambria" w:hAnsi="Cambria"/>
              </w:rPr>
              <w:fldChar w:fldCharType="end"/>
            </w:r>
          </w:p>
        </w:tc>
      </w:tr>
      <w:tr w:rsidR="00A345E4" w14:paraId="1A9393CE" w14:textId="77777777">
        <w:tc>
          <w:tcPr>
            <w:tcW w:w="1643" w:type="dxa"/>
          </w:tcPr>
          <w:p w14:paraId="2A5AD6A0" w14:textId="77777777" w:rsidR="00A345E4" w:rsidRDefault="00AD2B29">
            <w:pPr>
              <w:spacing w:after="120"/>
              <w:rPr>
                <w:rFonts w:ascii="Calibri" w:hAnsi="Calibri" w:cs="Calibri"/>
                <w:sz w:val="20"/>
                <w:szCs w:val="20"/>
              </w:rPr>
            </w:pPr>
            <w:r>
              <w:rPr>
                <w:rFonts w:ascii="Calibri" w:hAnsi="Calibri" w:cs="Calibri"/>
                <w:sz w:val="20"/>
                <w:szCs w:val="20"/>
              </w:rPr>
              <w:lastRenderedPageBreak/>
              <w:t xml:space="preserve">Viruses </w:t>
            </w:r>
          </w:p>
        </w:tc>
        <w:tc>
          <w:tcPr>
            <w:tcW w:w="3654" w:type="dxa"/>
          </w:tcPr>
          <w:p w14:paraId="79E870D8" w14:textId="77777777" w:rsidR="00A345E4" w:rsidRDefault="00AD2B29">
            <w:pPr>
              <w:spacing w:after="120"/>
              <w:rPr>
                <w:rFonts w:ascii="Calibri" w:hAnsi="Calibri" w:cs="Calibri"/>
                <w:sz w:val="20"/>
                <w:szCs w:val="20"/>
              </w:rPr>
            </w:pPr>
            <w:r>
              <w:rPr>
                <w:rFonts w:ascii="Calibri" w:hAnsi="Calibri" w:cs="Calibri"/>
                <w:sz w:val="20"/>
                <w:szCs w:val="20"/>
              </w:rPr>
              <w:t>Marine isolates support the “Cryptic Escape Theory”. In here small cell size is a strategy to minimize viral predation. This article also finds a correlation between genome size and cell size.</w:t>
            </w:r>
          </w:p>
        </w:tc>
        <w:tc>
          <w:tcPr>
            <w:tcW w:w="3004" w:type="dxa"/>
          </w:tcPr>
          <w:p w14:paraId="653DFB90" w14:textId="77777777" w:rsidR="00A345E4" w:rsidRDefault="00AD2B29">
            <w:pPr>
              <w:spacing w:after="120"/>
              <w:rPr>
                <w:rFonts w:ascii="Calibri" w:hAnsi="Calibri" w:cs="Calibri"/>
                <w:sz w:val="20"/>
                <w:szCs w:val="20"/>
              </w:rPr>
            </w:pPr>
            <w:r>
              <w:rPr>
                <w:rFonts w:ascii="Calibri" w:hAnsi="Calibri" w:cs="Calibri"/>
                <w:sz w:val="20"/>
                <w:szCs w:val="20"/>
              </w:rPr>
              <w:t>Diverse bacterial taxa (Cyanobacteria, Proteobacteria, Actinobacteria, among others)</w:t>
            </w:r>
          </w:p>
        </w:tc>
        <w:tc>
          <w:tcPr>
            <w:tcW w:w="2048" w:type="dxa"/>
          </w:tcPr>
          <w:p w14:paraId="15E8AF23" w14:textId="77777777" w:rsidR="00A345E4" w:rsidRDefault="00AD2B29">
            <w:pPr>
              <w:spacing w:after="120"/>
              <w:rPr>
                <w:rFonts w:ascii="Calibri" w:hAnsi="Calibri" w:cs="Calibri"/>
                <w:sz w:val="20"/>
                <w:szCs w:val="20"/>
              </w:rPr>
            </w:pPr>
            <w:r>
              <w:fldChar w:fldCharType="begin"/>
            </w:r>
            <w:r>
              <w:rPr>
                <w:rFonts w:ascii="Cambria" w:hAnsi="Cambria"/>
              </w:rPr>
              <w:instrText>ADDIN EN.CITE</w:instrText>
            </w:r>
            <w:r>
              <w:fldChar w:fldCharType="begin"/>
            </w:r>
            <w:r>
              <w:rPr>
                <w:rFonts w:ascii="Cambria" w:hAnsi="Cambria"/>
              </w:rPr>
              <w:instrText>ADDIN EN.CITE.DATA</w:instrText>
            </w:r>
            <w:r w:rsidR="0008070B">
              <w:rPr>
                <w:rFonts w:ascii="Cambria" w:hAnsi="Cambria"/>
              </w:rPr>
              <w:fldChar w:fldCharType="separate"/>
            </w:r>
            <w:r>
              <w:rPr>
                <w:rFonts w:ascii="Cambria" w:hAnsi="Cambria"/>
              </w:rPr>
              <w:fldChar w:fldCharType="end"/>
            </w:r>
            <w:r>
              <w:rPr>
                <w:rFonts w:ascii="Cambria" w:hAnsi="Cambria"/>
              </w:rPr>
              <w:fldChar w:fldCharType="separate"/>
            </w:r>
            <w:r>
              <w:rPr>
                <w:rFonts w:asciiTheme="majorHAnsi" w:hAnsiTheme="majorHAnsi"/>
                <w:sz w:val="20"/>
                <w:szCs w:val="20"/>
              </w:rPr>
              <w:t>(Yooseph et al 2010)</w:t>
            </w:r>
            <w:r>
              <w:rPr>
                <w:rFonts w:ascii="Cambria" w:hAnsi="Cambria"/>
              </w:rPr>
              <w:fldChar w:fldCharType="end"/>
            </w:r>
          </w:p>
        </w:tc>
      </w:tr>
    </w:tbl>
    <w:p w14:paraId="2A9A0141" w14:textId="77777777" w:rsidR="00A345E4" w:rsidRDefault="00A345E4">
      <w:pPr>
        <w:spacing w:after="120"/>
        <w:rPr>
          <w:b/>
          <w:bCs/>
        </w:rPr>
      </w:pPr>
    </w:p>
    <w:p w14:paraId="712EF606" w14:textId="77777777" w:rsidR="00A345E4" w:rsidRDefault="00AD2B29">
      <w:pPr>
        <w:spacing w:after="120"/>
        <w:rPr>
          <w:b/>
          <w:bCs/>
        </w:rPr>
      </w:pPr>
      <w:r>
        <w:rPr>
          <w:b/>
          <w:bCs/>
        </w:rPr>
        <w:t xml:space="preserve">Table References </w:t>
      </w:r>
    </w:p>
    <w:p w14:paraId="31A13519" w14:textId="77777777" w:rsidR="00A345E4" w:rsidRDefault="00AD2B29">
      <w:pPr>
        <w:pStyle w:val="EndNoteBibliography"/>
        <w:spacing w:after="120"/>
      </w:pPr>
      <w:r>
        <w:fldChar w:fldCharType="begin"/>
      </w:r>
      <w:r>
        <w:instrText>ADDIN EN.REFLIST</w:instrText>
      </w:r>
      <w:r>
        <w:fldChar w:fldCharType="separate"/>
      </w:r>
      <w:r>
        <w:t>Allen LZ, Allen EE, Badger JH, McCrow JP, Paulsen IT, Elbourne LD</w:t>
      </w:r>
      <w:r>
        <w:rPr>
          <w:i/>
        </w:rPr>
        <w:t xml:space="preserve"> et al</w:t>
      </w:r>
      <w:r>
        <w:t xml:space="preserve"> (2012). Influence of nutrients and currents on the genomic composition of microbes across an upwelling mosaic. </w:t>
      </w:r>
      <w:r>
        <w:rPr>
          <w:i/>
        </w:rPr>
        <w:t>ISME J</w:t>
      </w:r>
      <w:r>
        <w:t xml:space="preserve"> </w:t>
      </w:r>
      <w:r>
        <w:rPr>
          <w:b/>
        </w:rPr>
        <w:t>6:</w:t>
      </w:r>
      <w:r>
        <w:t xml:space="preserve"> 1403-1414 10.1038/ismej.2011.201.</w:t>
      </w:r>
    </w:p>
    <w:p w14:paraId="107ECFBC" w14:textId="77777777" w:rsidR="00A345E4" w:rsidRDefault="00AD2B29">
      <w:pPr>
        <w:pStyle w:val="EndNoteBibliography"/>
        <w:spacing w:after="120"/>
      </w:pPr>
      <w:r>
        <w:t xml:space="preserve">Aylward FO, Santoro AE (2020). Heterotrophic Thaumarchaea with Small Genomes Are Widespread in the Dark Ocean. </w:t>
      </w:r>
      <w:r>
        <w:rPr>
          <w:i/>
        </w:rPr>
        <w:t>mSystems</w:t>
      </w:r>
      <w:r>
        <w:t xml:space="preserve"> </w:t>
      </w:r>
      <w:r>
        <w:rPr>
          <w:b/>
        </w:rPr>
        <w:t>5</w:t>
      </w:r>
      <w:r>
        <w:t xml:space="preserve"> 10.1128/mSystems.00415-20.</w:t>
      </w:r>
    </w:p>
    <w:p w14:paraId="6BF415FE" w14:textId="77777777" w:rsidR="00A345E4" w:rsidRDefault="00AD2B29">
      <w:pPr>
        <w:pStyle w:val="EndNoteBibliography"/>
        <w:spacing w:after="120"/>
      </w:pPr>
      <w:r>
        <w:rPr>
          <w:lang w:val="sv-SE"/>
        </w:rPr>
        <w:t>Berube PM, Biller SJ, Hackl T, Hogle SL, Satinsky BM, Becker JW</w:t>
      </w:r>
      <w:r>
        <w:rPr>
          <w:i/>
          <w:lang w:val="sv-SE"/>
        </w:rPr>
        <w:t xml:space="preserve"> et al</w:t>
      </w:r>
      <w:r>
        <w:rPr>
          <w:lang w:val="sv-SE"/>
        </w:rPr>
        <w:t xml:space="preserve"> (2018). </w:t>
      </w:r>
      <w:r>
        <w:t xml:space="preserve">Single cell genomes of Prochlorococcus, Synechococcus, and sympatric microbes from diverse marine environments. </w:t>
      </w:r>
      <w:r>
        <w:rPr>
          <w:i/>
        </w:rPr>
        <w:t>Sci Data</w:t>
      </w:r>
      <w:r>
        <w:t xml:space="preserve"> </w:t>
      </w:r>
      <w:r>
        <w:rPr>
          <w:b/>
        </w:rPr>
        <w:t>5:</w:t>
      </w:r>
      <w:r>
        <w:t xml:space="preserve"> 180154 10.1038/sdata.2018.154.</w:t>
      </w:r>
    </w:p>
    <w:p w14:paraId="0DFCA20B" w14:textId="77777777" w:rsidR="00A345E4" w:rsidRDefault="00AD2B29">
      <w:pPr>
        <w:pStyle w:val="EndNoteBibliography"/>
        <w:spacing w:after="120"/>
      </w:pPr>
      <w:r>
        <w:t xml:space="preserve">Blesa A, Averhoff B, Berenguer J (2018). Horizontal Gene Transfer in Thermus spp. </w:t>
      </w:r>
      <w:r>
        <w:rPr>
          <w:i/>
        </w:rPr>
        <w:t>Curr Issues Mol Biol</w:t>
      </w:r>
      <w:r>
        <w:t xml:space="preserve"> </w:t>
      </w:r>
      <w:r>
        <w:rPr>
          <w:b/>
        </w:rPr>
        <w:t>29:</w:t>
      </w:r>
      <w:r>
        <w:t xml:space="preserve"> 23-36 10.21775/cimb.029.023.</w:t>
      </w:r>
    </w:p>
    <w:p w14:paraId="2FE141B6" w14:textId="77777777" w:rsidR="00A345E4" w:rsidRDefault="00AD2B29">
      <w:pPr>
        <w:pStyle w:val="EndNoteBibliography"/>
        <w:spacing w:after="120"/>
      </w:pPr>
      <w:r>
        <w:t xml:space="preserve">Borges KM, Bergquist PL (1993). Genomic restriction map of the extremely thermophilic bacterium Thermus thermophilus HB8. </w:t>
      </w:r>
      <w:r>
        <w:rPr>
          <w:i/>
        </w:rPr>
        <w:t>J Bacteriol</w:t>
      </w:r>
      <w:r>
        <w:t xml:space="preserve"> </w:t>
      </w:r>
      <w:r>
        <w:rPr>
          <w:b/>
        </w:rPr>
        <w:t>175:</w:t>
      </w:r>
      <w:r>
        <w:t xml:space="preserve"> 103-110 10.1128/jb.175.1.103-110.1993.</w:t>
      </w:r>
    </w:p>
    <w:p w14:paraId="6FA2A20E" w14:textId="77777777" w:rsidR="00A345E4" w:rsidRDefault="00AD2B29">
      <w:pPr>
        <w:pStyle w:val="EndNoteBibliography"/>
        <w:spacing w:after="120"/>
      </w:pPr>
      <w:r>
        <w:t xml:space="preserve">Boussau B, Karlberg EO, Frank AC, Legault BA, Andersson SG (2004). Computational inference of scenarios for alpha-proteobacterial genome evolution. </w:t>
      </w:r>
      <w:r>
        <w:rPr>
          <w:i/>
        </w:rPr>
        <w:t>Proc Natl Acad Sci U S A</w:t>
      </w:r>
      <w:r>
        <w:t xml:space="preserve"> </w:t>
      </w:r>
      <w:r>
        <w:rPr>
          <w:b/>
        </w:rPr>
        <w:t>101:</w:t>
      </w:r>
      <w:r>
        <w:t xml:space="preserve"> 9722-9727 10.1073/pnas.0400975101.</w:t>
      </w:r>
    </w:p>
    <w:p w14:paraId="4D2FE31A" w14:textId="77777777" w:rsidR="00A345E4" w:rsidRDefault="00AD2B29">
      <w:pPr>
        <w:pStyle w:val="EndNoteBibliography"/>
        <w:spacing w:after="120"/>
      </w:pPr>
      <w:r>
        <w:t xml:space="preserve">Brewer TE, Handley KM, Carini P, Gilbert JA, Fierer N (2016). Genome reduction in an abundant and ubiquitous soil bacterium ‘Candidatus Udaeobacter copiosus’. </w:t>
      </w:r>
      <w:r>
        <w:rPr>
          <w:i/>
        </w:rPr>
        <w:t>Nature Microbiology</w:t>
      </w:r>
      <w:r>
        <w:t xml:space="preserve"> </w:t>
      </w:r>
      <w:r>
        <w:rPr>
          <w:b/>
        </w:rPr>
        <w:t>2:</w:t>
      </w:r>
      <w:r>
        <w:t xml:space="preserve"> 16198 10.1038/nmicrobiol.2016.198.</w:t>
      </w:r>
    </w:p>
    <w:p w14:paraId="41284B90" w14:textId="77777777" w:rsidR="00A345E4" w:rsidRDefault="00AD2B29">
      <w:pPr>
        <w:pStyle w:val="EndNoteBibliography"/>
        <w:spacing w:after="120"/>
      </w:pPr>
      <w:r>
        <w:t xml:space="preserve">Brochier-Armanet C, Deschamps P, Lopez-Garcia P, Zivanovic Y, Rodriguez-Valera F, Moreira D (2011). Complete-fosmid and fosmid-end sequences reveal frequent horizontal gene transfers in marine uncultured planktonic archaea. </w:t>
      </w:r>
      <w:r>
        <w:rPr>
          <w:i/>
        </w:rPr>
        <w:t>ISME J</w:t>
      </w:r>
      <w:r>
        <w:t xml:space="preserve"> </w:t>
      </w:r>
      <w:r>
        <w:rPr>
          <w:b/>
        </w:rPr>
        <w:t>5:</w:t>
      </w:r>
      <w:r>
        <w:t xml:space="preserve"> 1291-1302 10.1038/ismej.2011.16.</w:t>
      </w:r>
    </w:p>
    <w:p w14:paraId="41E7BB77" w14:textId="77777777" w:rsidR="00A345E4" w:rsidRDefault="00AD2B29">
      <w:pPr>
        <w:pStyle w:val="EndNoteBibliography"/>
        <w:spacing w:after="120"/>
      </w:pPr>
      <w:r>
        <w:t xml:space="preserve">Bromfield ESP, Cloutier S, Nguyen HDT (2019). Description and complete genome sequence of Bradyrhizobium amphicarpaeae sp. nov., harbouring photosystem and nitrogen-fixation genes. </w:t>
      </w:r>
      <w:r>
        <w:rPr>
          <w:i/>
        </w:rPr>
        <w:t>Int J Syst Evol Microbiol</w:t>
      </w:r>
      <w:r>
        <w:t xml:space="preserve"> </w:t>
      </w:r>
      <w:r>
        <w:rPr>
          <w:b/>
        </w:rPr>
        <w:t>69:</w:t>
      </w:r>
      <w:r>
        <w:t xml:space="preserve"> 2841-2848 10.1099/ijsem.0.003569.</w:t>
      </w:r>
    </w:p>
    <w:p w14:paraId="720F8A23" w14:textId="77777777" w:rsidR="00A345E4" w:rsidRDefault="00AD2B29">
      <w:pPr>
        <w:pStyle w:val="EndNoteBibliography"/>
        <w:spacing w:after="120"/>
      </w:pPr>
      <w:r>
        <w:t>Cabello-Yeves PJ, Zemskaya TI, Rosselli R, Coutinho FH, Zakharenko AS, Blinov VV</w:t>
      </w:r>
      <w:r>
        <w:rPr>
          <w:i/>
        </w:rPr>
        <w:t xml:space="preserve"> et al</w:t>
      </w:r>
      <w:r>
        <w:t xml:space="preserve"> (2018). Genomes of Novel Microbial Lineages Assembled from the Sub-Ice Waters of Lake Baikal. </w:t>
      </w:r>
      <w:r>
        <w:rPr>
          <w:i/>
        </w:rPr>
        <w:t>Appl Environ Microbiol</w:t>
      </w:r>
      <w:r>
        <w:t xml:space="preserve"> </w:t>
      </w:r>
      <w:r>
        <w:rPr>
          <w:b/>
        </w:rPr>
        <w:t>84</w:t>
      </w:r>
      <w:r>
        <w:t xml:space="preserve"> 10.1128/AEM.02132-17.</w:t>
      </w:r>
    </w:p>
    <w:p w14:paraId="59334C9C" w14:textId="77777777" w:rsidR="00A345E4" w:rsidRDefault="00AD2B29">
      <w:pPr>
        <w:pStyle w:val="EndNoteBibliography"/>
        <w:spacing w:after="120"/>
      </w:pPr>
      <w:r>
        <w:t xml:space="preserve">Castelle CJ, Banfield JF (2018). Major New Microbial Groups Expand Diversity and Alter our Understanding of the Tree of Life. </w:t>
      </w:r>
      <w:r>
        <w:rPr>
          <w:i/>
        </w:rPr>
        <w:t>Cell</w:t>
      </w:r>
      <w:r>
        <w:t xml:space="preserve"> </w:t>
      </w:r>
      <w:r>
        <w:rPr>
          <w:b/>
        </w:rPr>
        <w:t>172:</w:t>
      </w:r>
      <w:r>
        <w:t xml:space="preserve"> 1181-1197 10.1016/j.cell.2018.02.016.</w:t>
      </w:r>
    </w:p>
    <w:p w14:paraId="200EEC18" w14:textId="77777777" w:rsidR="00A345E4" w:rsidRDefault="00AD2B29">
      <w:pPr>
        <w:pStyle w:val="EndNoteBibliography"/>
        <w:spacing w:after="120"/>
        <w:rPr>
          <w:lang w:val="es-ES"/>
        </w:rPr>
      </w:pPr>
      <w:r>
        <w:t xml:space="preserve">Chu X, Li S, Wang S, Luo D, Luo H (2020). Gene loss through pseudogenization contributes to the ecological diversification of a generalist Roseobacter lineage. </w:t>
      </w:r>
      <w:r>
        <w:rPr>
          <w:i/>
          <w:lang w:val="es-ES"/>
        </w:rPr>
        <w:t>ISME J</w:t>
      </w:r>
      <w:r>
        <w:rPr>
          <w:lang w:val="es-ES"/>
        </w:rPr>
        <w:t xml:space="preserve"> </w:t>
      </w:r>
      <w:r>
        <w:rPr>
          <w:b/>
          <w:lang w:val="es-ES"/>
        </w:rPr>
        <w:t>15:</w:t>
      </w:r>
      <w:r>
        <w:rPr>
          <w:lang w:val="es-ES"/>
        </w:rPr>
        <w:t xml:space="preserve"> 489-502 10.1038/s41396-020-00790-0.</w:t>
      </w:r>
    </w:p>
    <w:p w14:paraId="77840C03" w14:textId="77777777" w:rsidR="00A345E4" w:rsidRDefault="00AD2B29">
      <w:pPr>
        <w:pStyle w:val="EndNoteBibliography"/>
        <w:spacing w:after="120"/>
      </w:pPr>
      <w:r>
        <w:rPr>
          <w:lang w:val="es-ES"/>
        </w:rPr>
        <w:lastRenderedPageBreak/>
        <w:t xml:space="preserve">de Souza RSC, Armanhi JSL, Damasceno NB, Imperial J, Arruda P (2019). </w:t>
      </w:r>
      <w:r>
        <w:t xml:space="preserve">Genome Sequences of a Plant Beneficial Synthetic Bacterial Community Reveal Genetic Features for Successful Plant Colonization. </w:t>
      </w:r>
      <w:r>
        <w:rPr>
          <w:i/>
        </w:rPr>
        <w:t>Frontiers in microbiology</w:t>
      </w:r>
      <w:r>
        <w:t xml:space="preserve"> </w:t>
      </w:r>
      <w:r>
        <w:rPr>
          <w:b/>
        </w:rPr>
        <w:t>10:</w:t>
      </w:r>
      <w:r>
        <w:t xml:space="preserve"> 1779 10.3389/fmicb.2019.01779.</w:t>
      </w:r>
    </w:p>
    <w:p w14:paraId="1FCDD13E" w14:textId="77777777" w:rsidR="00A345E4" w:rsidRDefault="00AD2B29">
      <w:pPr>
        <w:pStyle w:val="EndNoteBibliography"/>
        <w:spacing w:after="120"/>
      </w:pPr>
      <w:r>
        <w:t>Di Rienzi SC, Sharon I, Wrighton KC, Koren O, Hug LA, Thomas BC</w:t>
      </w:r>
      <w:r>
        <w:rPr>
          <w:i/>
        </w:rPr>
        <w:t xml:space="preserve"> et al</w:t>
      </w:r>
      <w:r>
        <w:t xml:space="preserve"> (2013). The human gut and groundwater harbor non-photosynthetic bacteria belonging to a new candidate phylum sibling to Cyanobacteria. </w:t>
      </w:r>
      <w:r>
        <w:rPr>
          <w:i/>
        </w:rPr>
        <w:t>eLife</w:t>
      </w:r>
      <w:r>
        <w:t xml:space="preserve"> </w:t>
      </w:r>
      <w:r>
        <w:rPr>
          <w:b/>
        </w:rPr>
        <w:t>2:</w:t>
      </w:r>
      <w:r>
        <w:t xml:space="preserve"> e01102 10.7554/eLife.01102.</w:t>
      </w:r>
    </w:p>
    <w:p w14:paraId="35E0FEA2" w14:textId="77777777" w:rsidR="00A345E4" w:rsidRDefault="00AD2B29">
      <w:pPr>
        <w:pStyle w:val="EndNoteBibliography"/>
        <w:spacing w:after="120"/>
      </w:pPr>
      <w:r>
        <w:t xml:space="preserve">Dieser M, Smith HJ, Ramaraj T, Foreman CM (2019). Janthinobacterium CG23_2: Comparative Genome Analysis Reveals Enhanced Environmental Sensing and Transcriptional Regulation for Adaptation to Life in an Antarctic Supraglacial Stream. </w:t>
      </w:r>
      <w:r>
        <w:rPr>
          <w:i/>
        </w:rPr>
        <w:t>Microorganisms</w:t>
      </w:r>
      <w:r>
        <w:t xml:space="preserve"> </w:t>
      </w:r>
      <w:r>
        <w:rPr>
          <w:b/>
        </w:rPr>
        <w:t>7</w:t>
      </w:r>
      <w:r>
        <w:t xml:space="preserve"> 10.3390/microorganisms7100454.</w:t>
      </w:r>
    </w:p>
    <w:p w14:paraId="13954ECB" w14:textId="77777777" w:rsidR="00A345E4" w:rsidRDefault="00AD2B29">
      <w:pPr>
        <w:pStyle w:val="EndNoteBibliography"/>
        <w:spacing w:after="120"/>
      </w:pPr>
      <w:r>
        <w:t>Dufresne A, Salanoubat M, Partensky F, Artiguenave F, Axmann IM, Barbe V</w:t>
      </w:r>
      <w:r>
        <w:rPr>
          <w:i/>
        </w:rPr>
        <w:t xml:space="preserve"> et al</w:t>
      </w:r>
      <w:r>
        <w:t xml:space="preserve"> (2003). Genome sequence of the cyanobacterium Prochlorococcus marinus SS120, a nearly minimal oxyphototrophic genome. </w:t>
      </w:r>
      <w:r>
        <w:rPr>
          <w:i/>
        </w:rPr>
        <w:t>Proc Natl Acad Sci U S A</w:t>
      </w:r>
      <w:r>
        <w:t xml:space="preserve"> </w:t>
      </w:r>
      <w:r>
        <w:rPr>
          <w:b/>
        </w:rPr>
        <w:t>100:</w:t>
      </w:r>
      <w:r>
        <w:t xml:space="preserve"> 10020-10025 10.1073/pnas.1733211100.</w:t>
      </w:r>
    </w:p>
    <w:p w14:paraId="61FC6F3A" w14:textId="77777777" w:rsidR="00A345E4" w:rsidRDefault="00AD2B29">
      <w:pPr>
        <w:pStyle w:val="EndNoteBibliography"/>
        <w:spacing w:after="120"/>
      </w:pPr>
      <w:r>
        <w:t xml:space="preserve">Gagunashvili AN, Andresson OS (2018). Distinctive characters of Nostoc genomes in cyanolichens. </w:t>
      </w:r>
      <w:r>
        <w:rPr>
          <w:i/>
        </w:rPr>
        <w:t>BMC genomics</w:t>
      </w:r>
      <w:r>
        <w:t xml:space="preserve"> </w:t>
      </w:r>
      <w:r>
        <w:rPr>
          <w:b/>
        </w:rPr>
        <w:t>19:</w:t>
      </w:r>
      <w:r>
        <w:t xml:space="preserve"> 434 10.1186/s12864-018-4743-5.</w:t>
      </w:r>
    </w:p>
    <w:p w14:paraId="2C43E7BA" w14:textId="77777777" w:rsidR="00A345E4" w:rsidRDefault="00AD2B29">
      <w:pPr>
        <w:pStyle w:val="EndNoteBibliography"/>
        <w:spacing w:after="120"/>
      </w:pPr>
      <w:r>
        <w:t xml:space="preserve">Garcia SL, Buck M, McMahon KD, Grossart HP, Eiler A, Warnecke F (2015). Auxotrophy and intrapopulation complementary in the "interactome' of a cultivated freshwater model community. </w:t>
      </w:r>
      <w:r>
        <w:rPr>
          <w:i/>
        </w:rPr>
        <w:t>Molecular ecology</w:t>
      </w:r>
      <w:r>
        <w:t xml:space="preserve"> </w:t>
      </w:r>
      <w:r>
        <w:rPr>
          <w:b/>
        </w:rPr>
        <w:t>24:</w:t>
      </w:r>
      <w:r>
        <w:t xml:space="preserve"> 4449-4459 10.1111/mec.13319.</w:t>
      </w:r>
    </w:p>
    <w:p w14:paraId="441D9460" w14:textId="77777777" w:rsidR="00A345E4" w:rsidRDefault="00AD2B29">
      <w:pPr>
        <w:pStyle w:val="EndNoteBibliography"/>
        <w:spacing w:after="120"/>
      </w:pPr>
      <w:r>
        <w:t>Grote J, Thrash JC, Huggett MJ, Landry ZC, Carini P, Giovannoni SJ</w:t>
      </w:r>
      <w:r>
        <w:rPr>
          <w:i/>
        </w:rPr>
        <w:t xml:space="preserve"> et al</w:t>
      </w:r>
      <w:r>
        <w:t xml:space="preserve"> (2012). Streamlining and Core Genome Conservation among Highly Divergent Members of the SAR11 Clade. </w:t>
      </w:r>
      <w:r>
        <w:rPr>
          <w:i/>
        </w:rPr>
        <w:t>Mbio</w:t>
      </w:r>
      <w:r>
        <w:t xml:space="preserve"> </w:t>
      </w:r>
      <w:r>
        <w:rPr>
          <w:b/>
        </w:rPr>
        <w:t>3</w:t>
      </w:r>
      <w:r>
        <w:t xml:space="preserve"> 10.1128/mBio.00252-12.</w:t>
      </w:r>
    </w:p>
    <w:p w14:paraId="3DD1FD7E" w14:textId="77777777" w:rsidR="00A345E4" w:rsidRDefault="00AD2B29">
      <w:pPr>
        <w:pStyle w:val="EndNoteBibliography"/>
        <w:spacing w:after="120"/>
      </w:pPr>
      <w:r>
        <w:t xml:space="preserve">Kang I, Kim S, Islam MR, Cho J-C (2017). The first complete genome sequences of the acI lineage, the most abundant freshwater Actinobacteria, obtained by whole-genome-amplification of dilution-to-extinction cultures. </w:t>
      </w:r>
      <w:r>
        <w:rPr>
          <w:i/>
        </w:rPr>
        <w:t>Scientific reports</w:t>
      </w:r>
      <w:r>
        <w:t xml:space="preserve"> </w:t>
      </w:r>
      <w:r>
        <w:rPr>
          <w:b/>
        </w:rPr>
        <w:t>7</w:t>
      </w:r>
      <w:r>
        <w:t xml:space="preserve"> 10.1038/srep42252.</w:t>
      </w:r>
    </w:p>
    <w:p w14:paraId="3BF6A3B7" w14:textId="77777777" w:rsidR="00A345E4" w:rsidRDefault="00AD2B29">
      <w:pPr>
        <w:pStyle w:val="EndNoteBibliography"/>
        <w:spacing w:after="120"/>
      </w:pPr>
      <w:r>
        <w:t xml:space="preserve">Konstantinidis KT, Tiedje JM (2004). Trends between gene content and genome size in prokaryotic species with larger genomes. </w:t>
      </w:r>
      <w:r>
        <w:rPr>
          <w:i/>
        </w:rPr>
        <w:t>Proc Natl Acad Sci U S A</w:t>
      </w:r>
      <w:r>
        <w:t xml:space="preserve"> </w:t>
      </w:r>
      <w:r>
        <w:rPr>
          <w:b/>
        </w:rPr>
        <w:t>101:</w:t>
      </w:r>
      <w:r>
        <w:t xml:space="preserve"> 3160-3165 10.1073/pnas.0308653100.</w:t>
      </w:r>
    </w:p>
    <w:p w14:paraId="7FF36E41" w14:textId="77777777" w:rsidR="00A345E4" w:rsidRDefault="00AD2B29">
      <w:pPr>
        <w:pStyle w:val="EndNoteBibliography"/>
        <w:spacing w:after="120"/>
      </w:pPr>
      <w:r>
        <w:t>Lauro FM, McDougald D, Thomas T, Williams TJ, Egan S, Rice S</w:t>
      </w:r>
      <w:r>
        <w:rPr>
          <w:i/>
        </w:rPr>
        <w:t xml:space="preserve"> et al</w:t>
      </w:r>
      <w:r>
        <w:t xml:space="preserve"> (2009). The genomic basis of trophic strategy in marine bacteria. </w:t>
      </w:r>
      <w:r>
        <w:rPr>
          <w:i/>
        </w:rPr>
        <w:t>Proc Natl Acad Sci U S A</w:t>
      </w:r>
      <w:r>
        <w:t xml:space="preserve"> </w:t>
      </w:r>
      <w:r>
        <w:rPr>
          <w:b/>
        </w:rPr>
        <w:t>106:</w:t>
      </w:r>
      <w:r>
        <w:t xml:space="preserve"> 15527-15533 10.1073/pnas.0903507106.</w:t>
      </w:r>
    </w:p>
    <w:p w14:paraId="38D9BE75" w14:textId="77777777" w:rsidR="00A345E4" w:rsidRDefault="00AD2B29">
      <w:pPr>
        <w:pStyle w:val="EndNoteBibliography"/>
        <w:spacing w:after="120"/>
      </w:pPr>
      <w:r>
        <w:t>Levy A, Salas Gonzalez I, Mittelviefhaus M, Clingenpeel S, Herrera Paredes S, Miao J</w:t>
      </w:r>
      <w:r>
        <w:rPr>
          <w:i/>
        </w:rPr>
        <w:t xml:space="preserve"> et al</w:t>
      </w:r>
      <w:r>
        <w:t xml:space="preserve"> (2017). Genomic features of bacterial adaptation to plants. </w:t>
      </w:r>
      <w:r>
        <w:rPr>
          <w:i/>
        </w:rPr>
        <w:t>Nat Genet</w:t>
      </w:r>
      <w:r>
        <w:t xml:space="preserve"> </w:t>
      </w:r>
      <w:r>
        <w:rPr>
          <w:b/>
        </w:rPr>
        <w:t>50:</w:t>
      </w:r>
      <w:r>
        <w:t xml:space="preserve"> 138-150 10.1038/s41588-017-0012-9.</w:t>
      </w:r>
    </w:p>
    <w:p w14:paraId="146C5850" w14:textId="77777777" w:rsidR="00A345E4" w:rsidRDefault="00AD2B29">
      <w:pPr>
        <w:pStyle w:val="EndNoteBibliography"/>
        <w:spacing w:after="120"/>
      </w:pPr>
      <w:r>
        <w:t>Makarova K, Slesarev A, Wolf Y, Sorokin A, Mirkin B, Koonin E</w:t>
      </w:r>
      <w:r>
        <w:rPr>
          <w:i/>
        </w:rPr>
        <w:t xml:space="preserve"> et al</w:t>
      </w:r>
      <w:r>
        <w:t xml:space="preserve"> (2006). Comparative genomics of the lactic acid bacteria. </w:t>
      </w:r>
      <w:r>
        <w:rPr>
          <w:i/>
        </w:rPr>
        <w:t>Proc Natl Acad Sci U S A</w:t>
      </w:r>
      <w:r>
        <w:t xml:space="preserve"> </w:t>
      </w:r>
      <w:r>
        <w:rPr>
          <w:b/>
        </w:rPr>
        <w:t>103:</w:t>
      </w:r>
      <w:r>
        <w:t xml:space="preserve"> 15611-15616 10.1073/pnas.0607117103.</w:t>
      </w:r>
    </w:p>
    <w:p w14:paraId="1B84A552" w14:textId="77777777" w:rsidR="00A345E4" w:rsidRDefault="00AD2B29">
      <w:pPr>
        <w:pStyle w:val="EndNoteBibliography"/>
        <w:spacing w:after="120"/>
        <w:rPr>
          <w:lang w:val="sv-SE"/>
        </w:rPr>
      </w:pPr>
      <w:r>
        <w:t>McLean JS, Bor B, Kerns KA, Liu Q, To TT, Solden L</w:t>
      </w:r>
      <w:r>
        <w:rPr>
          <w:i/>
        </w:rPr>
        <w:t xml:space="preserve"> et al</w:t>
      </w:r>
      <w:r>
        <w:t xml:space="preserve"> (2020). Acquisition and Adaptation of Ultra-small Parasitic Reduced Genome Bacteria to Mammalian Hosts. </w:t>
      </w:r>
      <w:r>
        <w:rPr>
          <w:i/>
          <w:lang w:val="sv-SE"/>
        </w:rPr>
        <w:t>Cell reports</w:t>
      </w:r>
      <w:r>
        <w:rPr>
          <w:lang w:val="sv-SE"/>
        </w:rPr>
        <w:t xml:space="preserve"> </w:t>
      </w:r>
      <w:r>
        <w:rPr>
          <w:b/>
          <w:lang w:val="sv-SE"/>
        </w:rPr>
        <w:t>32:</w:t>
      </w:r>
      <w:r>
        <w:rPr>
          <w:lang w:val="sv-SE"/>
        </w:rPr>
        <w:t xml:space="preserve"> 107939 10.1016/j.celrep.2020.107939.</w:t>
      </w:r>
    </w:p>
    <w:p w14:paraId="4AC6ED5E" w14:textId="77777777" w:rsidR="00A345E4" w:rsidRDefault="00AD2B29">
      <w:pPr>
        <w:pStyle w:val="EndNoteBibliography"/>
        <w:spacing w:after="120"/>
      </w:pPr>
      <w:r>
        <w:rPr>
          <w:lang w:val="sv-SE"/>
        </w:rPr>
        <w:t>Mende DR, Bryant JA, Aylward FO, Eppley JM, Nielsen T, Karl DM</w:t>
      </w:r>
      <w:r>
        <w:rPr>
          <w:i/>
          <w:lang w:val="sv-SE"/>
        </w:rPr>
        <w:t xml:space="preserve"> et al</w:t>
      </w:r>
      <w:r>
        <w:rPr>
          <w:lang w:val="sv-SE"/>
        </w:rPr>
        <w:t xml:space="preserve"> (2017). </w:t>
      </w:r>
      <w:r>
        <w:t xml:space="preserve">Environmental drivers of a microbial genomic transition zone in the ocean's interior. </w:t>
      </w:r>
      <w:r>
        <w:rPr>
          <w:i/>
        </w:rPr>
        <w:t>Nat Microbiol</w:t>
      </w:r>
      <w:r>
        <w:t xml:space="preserve"> </w:t>
      </w:r>
      <w:r>
        <w:rPr>
          <w:b/>
        </w:rPr>
        <w:t>2:</w:t>
      </w:r>
      <w:r>
        <w:t xml:space="preserve"> 1367-1373 10.1038/s41564-017-0008-3.</w:t>
      </w:r>
    </w:p>
    <w:p w14:paraId="4C8CF9ED" w14:textId="77777777" w:rsidR="00A345E4" w:rsidRDefault="00AD2B29">
      <w:pPr>
        <w:pStyle w:val="EndNoteBibliography"/>
        <w:spacing w:after="120"/>
        <w:rPr>
          <w:lang w:val="sv-SE"/>
        </w:rPr>
      </w:pPr>
      <w:r>
        <w:lastRenderedPageBreak/>
        <w:t xml:space="preserve">Moreira D, Le Guyader H, Philippe H (2000). The origin of red algae and the evolution of chloroplasts. </w:t>
      </w:r>
      <w:r>
        <w:rPr>
          <w:i/>
          <w:lang w:val="sv-SE"/>
        </w:rPr>
        <w:t>Nature</w:t>
      </w:r>
      <w:r>
        <w:rPr>
          <w:lang w:val="sv-SE"/>
        </w:rPr>
        <w:t xml:space="preserve"> </w:t>
      </w:r>
      <w:r>
        <w:rPr>
          <w:b/>
          <w:lang w:val="sv-SE"/>
        </w:rPr>
        <w:t>405:</w:t>
      </w:r>
      <w:r>
        <w:rPr>
          <w:lang w:val="sv-SE"/>
        </w:rPr>
        <w:t xml:space="preserve"> 69-72 Doi 10.1038/35011054.</w:t>
      </w:r>
    </w:p>
    <w:p w14:paraId="575CDD93" w14:textId="77777777" w:rsidR="00A345E4" w:rsidRDefault="00AD2B29">
      <w:pPr>
        <w:pStyle w:val="EndNoteBibliography"/>
        <w:spacing w:after="120"/>
      </w:pPr>
      <w:r>
        <w:rPr>
          <w:lang w:val="sv-SE"/>
        </w:rPr>
        <w:t>Nielsen DA, Fierer N, Geoghegan JL, Gillings MR, Gumerov V, Madin JS</w:t>
      </w:r>
      <w:r>
        <w:rPr>
          <w:i/>
          <w:lang w:val="sv-SE"/>
        </w:rPr>
        <w:t xml:space="preserve"> et al</w:t>
      </w:r>
      <w:r>
        <w:rPr>
          <w:lang w:val="sv-SE"/>
        </w:rPr>
        <w:t xml:space="preserve"> (2021). </w:t>
      </w:r>
      <w:r>
        <w:t xml:space="preserve">Aerobic bacteria and archaea tend to have larger and more versatile genomes. </w:t>
      </w:r>
      <w:r>
        <w:rPr>
          <w:i/>
        </w:rPr>
        <w:t>Oikos</w:t>
      </w:r>
      <w:r>
        <w:t xml:space="preserve"> </w:t>
      </w:r>
      <w:r>
        <w:rPr>
          <w:b/>
        </w:rPr>
        <w:t>130:</w:t>
      </w:r>
      <w:r>
        <w:t xml:space="preserve"> 501-511 10.1111/oik.07912.</w:t>
      </w:r>
    </w:p>
    <w:p w14:paraId="20AD407F" w14:textId="77777777" w:rsidR="00A345E4" w:rsidRDefault="00AD2B29">
      <w:pPr>
        <w:pStyle w:val="EndNoteBibliography"/>
        <w:spacing w:after="120"/>
      </w:pPr>
      <w:r>
        <w:t xml:space="preserve">Nilsson AI, Koskiniemi S, Eriksson S, Kugelberg E, Hinton JC, Andersson DI (2005). Bacterial genome size reduction by experimental evolution. </w:t>
      </w:r>
      <w:r>
        <w:rPr>
          <w:i/>
        </w:rPr>
        <w:t>Proc Natl Acad Sci U S A</w:t>
      </w:r>
      <w:r>
        <w:t xml:space="preserve"> </w:t>
      </w:r>
      <w:r>
        <w:rPr>
          <w:b/>
        </w:rPr>
        <w:t>102:</w:t>
      </w:r>
      <w:r>
        <w:t xml:space="preserve"> 12112-12116 10.1073/pnas.0503654102.</w:t>
      </w:r>
    </w:p>
    <w:p w14:paraId="319017C9" w14:textId="77777777" w:rsidR="00A345E4" w:rsidRDefault="00AD2B29">
      <w:pPr>
        <w:pStyle w:val="EndNoteBibliography"/>
        <w:spacing w:after="120"/>
      </w:pPr>
      <w:r>
        <w:t>Okubo T, Fukushima S, Itakura M, Oshima K, Longtonglang A, Teaumroong N</w:t>
      </w:r>
      <w:r>
        <w:rPr>
          <w:i/>
        </w:rPr>
        <w:t xml:space="preserve"> et al</w:t>
      </w:r>
      <w:r>
        <w:t xml:space="preserve"> (2013). Genome analysis suggests that the soil oligotrophic bacterium Agromonas oligotrophica (Bradyrhizobium oligotrophicum) is a nitrogen-fixing symbiont of Aeschynomene indica. </w:t>
      </w:r>
      <w:r>
        <w:rPr>
          <w:i/>
        </w:rPr>
        <w:t>Appl Environ Microbiol</w:t>
      </w:r>
      <w:r>
        <w:t xml:space="preserve"> </w:t>
      </w:r>
      <w:r>
        <w:rPr>
          <w:b/>
        </w:rPr>
        <w:t>79:</w:t>
      </w:r>
      <w:r>
        <w:t xml:space="preserve"> 2542-2551 10.1128/AEM.00009-13.</w:t>
      </w:r>
    </w:p>
    <w:p w14:paraId="7FED5714" w14:textId="77777777" w:rsidR="00A345E4" w:rsidRDefault="00AD2B29">
      <w:pPr>
        <w:pStyle w:val="EndNoteBibliography"/>
        <w:spacing w:after="120"/>
      </w:pPr>
      <w:r>
        <w:t xml:space="preserve">Rhodes ME, Spear JR, Oren A, House CH (2011). Differences in lateral gene transfer in hypersaline versus thermal environments. </w:t>
      </w:r>
      <w:r>
        <w:rPr>
          <w:i/>
        </w:rPr>
        <w:t>BMC evolutionary biology</w:t>
      </w:r>
      <w:r>
        <w:t xml:space="preserve"> </w:t>
      </w:r>
      <w:r>
        <w:rPr>
          <w:b/>
        </w:rPr>
        <w:t>11:</w:t>
      </w:r>
      <w:r>
        <w:t xml:space="preserve"> 199 10.1186/1471-2148-11-199.</w:t>
      </w:r>
    </w:p>
    <w:p w14:paraId="4F328B08" w14:textId="77777777" w:rsidR="00A345E4" w:rsidRDefault="00AD2B29">
      <w:pPr>
        <w:pStyle w:val="EndNoteBibliography"/>
        <w:spacing w:after="120"/>
        <w:rPr>
          <w:lang w:val="sv-SE"/>
        </w:rPr>
      </w:pPr>
      <w:r>
        <w:t>Rocap G, Larimer FW, Lamerdin J, Malfatti S, Chain P, Ahlgren NA</w:t>
      </w:r>
      <w:r>
        <w:rPr>
          <w:i/>
        </w:rPr>
        <w:t xml:space="preserve"> et al</w:t>
      </w:r>
      <w:r>
        <w:t xml:space="preserve"> (2003). Genome divergence in two Prochlorococcus ecotypes reflects oceanic niche differentiation. </w:t>
      </w:r>
      <w:r>
        <w:rPr>
          <w:i/>
          <w:lang w:val="sv-SE"/>
        </w:rPr>
        <w:t>Nature</w:t>
      </w:r>
      <w:r>
        <w:rPr>
          <w:lang w:val="sv-SE"/>
        </w:rPr>
        <w:t xml:space="preserve"> </w:t>
      </w:r>
      <w:r>
        <w:rPr>
          <w:b/>
          <w:lang w:val="sv-SE"/>
        </w:rPr>
        <w:t>424:</w:t>
      </w:r>
      <w:r>
        <w:rPr>
          <w:lang w:val="sv-SE"/>
        </w:rPr>
        <w:t xml:space="preserve"> 1042-1047 10.1038/nature01947.</w:t>
      </w:r>
    </w:p>
    <w:p w14:paraId="610C99FB" w14:textId="77777777" w:rsidR="00A345E4" w:rsidRDefault="00AD2B29">
      <w:pPr>
        <w:pStyle w:val="EndNoteBibliography"/>
        <w:spacing w:after="120"/>
      </w:pPr>
      <w:r>
        <w:rPr>
          <w:lang w:val="sv-SE"/>
        </w:rPr>
        <w:t xml:space="preserve">Saifuddin M, Bhatnagar JM, Segre D, Finzi AC (2019). </w:t>
      </w:r>
      <w:r>
        <w:t xml:space="preserve">Microbial carbon use efficiency predicted from genome-scale metabolic models. </w:t>
      </w:r>
      <w:r>
        <w:rPr>
          <w:i/>
        </w:rPr>
        <w:t>Nat Commun</w:t>
      </w:r>
      <w:r>
        <w:t xml:space="preserve"> </w:t>
      </w:r>
      <w:r>
        <w:rPr>
          <w:b/>
        </w:rPr>
        <w:t>10:</w:t>
      </w:r>
      <w:r>
        <w:t xml:space="preserve"> 3568 10.1038/s41467-019-11488-z.</w:t>
      </w:r>
    </w:p>
    <w:p w14:paraId="3B7C177D" w14:textId="77777777" w:rsidR="00A345E4" w:rsidRDefault="00AD2B29">
      <w:pPr>
        <w:pStyle w:val="EndNoteBibliography"/>
        <w:spacing w:after="120"/>
      </w:pPr>
      <w:r>
        <w:t xml:space="preserve">Smith MW, Zeigler Allen L, Allen AE, Herfort L, Simon HM (2013). Contrasting genomic properties of free-living and particle-attached microbial assemblages within a coastal ecosystem. </w:t>
      </w:r>
      <w:r>
        <w:rPr>
          <w:i/>
        </w:rPr>
        <w:t>Frontiers in microbiology</w:t>
      </w:r>
      <w:r>
        <w:t xml:space="preserve"> </w:t>
      </w:r>
      <w:r>
        <w:rPr>
          <w:b/>
        </w:rPr>
        <w:t>4:</w:t>
      </w:r>
      <w:r>
        <w:t xml:space="preserve"> 120 10.3389/fmicb.2013.00120.</w:t>
      </w:r>
    </w:p>
    <w:p w14:paraId="229DE011" w14:textId="77777777" w:rsidR="00A345E4" w:rsidRDefault="00AD2B29">
      <w:pPr>
        <w:pStyle w:val="EndNoteBibliography"/>
        <w:spacing w:after="120"/>
      </w:pPr>
      <w:r>
        <w:t xml:space="preserve">Sorensen JW, Dunivin TK, Tobin TC, Shade A (2019). Ecological selection for small microbial genomes along a temperate-to-thermal soil gradient. </w:t>
      </w:r>
      <w:r>
        <w:rPr>
          <w:i/>
        </w:rPr>
        <w:t>Nat Microbiol</w:t>
      </w:r>
      <w:r>
        <w:t xml:space="preserve"> </w:t>
      </w:r>
      <w:r>
        <w:rPr>
          <w:b/>
        </w:rPr>
        <w:t>4:</w:t>
      </w:r>
      <w:r>
        <w:t xml:space="preserve"> 55-61 10.1038/s41564-018-0276-6.</w:t>
      </w:r>
    </w:p>
    <w:p w14:paraId="1DA9B4DC" w14:textId="77777777" w:rsidR="00A345E4" w:rsidRDefault="00AD2B29">
      <w:pPr>
        <w:pStyle w:val="EndNoteBibliography"/>
        <w:spacing w:after="120"/>
      </w:pPr>
      <w:r>
        <w:t>Tamas I, Klasson L, Canback B, Naslund AK, Eriksson AS, Wernegreen JJ</w:t>
      </w:r>
      <w:r>
        <w:rPr>
          <w:i/>
        </w:rPr>
        <w:t xml:space="preserve"> et al</w:t>
      </w:r>
      <w:r>
        <w:t xml:space="preserve"> (2002). 50 million years of genomic stasis in endosymbiotic bacteria. </w:t>
      </w:r>
      <w:r>
        <w:rPr>
          <w:i/>
        </w:rPr>
        <w:t>Science</w:t>
      </w:r>
      <w:r>
        <w:t xml:space="preserve"> </w:t>
      </w:r>
      <w:r>
        <w:rPr>
          <w:b/>
        </w:rPr>
        <w:t>296:</w:t>
      </w:r>
      <w:r>
        <w:t xml:space="preserve"> 2376-2379 10.1126/science.1071278.</w:t>
      </w:r>
    </w:p>
    <w:p w14:paraId="128C16BE" w14:textId="77777777" w:rsidR="00A345E4" w:rsidRDefault="00AD2B29">
      <w:pPr>
        <w:pStyle w:val="EndNoteBibliography"/>
        <w:spacing w:after="120"/>
      </w:pPr>
      <w:r>
        <w:t>Yooseph S, Nealson KH, Rusch DB, McCrow JP, Dupont CL, Kim M</w:t>
      </w:r>
      <w:r>
        <w:rPr>
          <w:i/>
        </w:rPr>
        <w:t xml:space="preserve"> et al</w:t>
      </w:r>
      <w:r>
        <w:t xml:space="preserve"> (2010). Genomic and functional adaptation in surface ocean planktonic prokaryotes. </w:t>
      </w:r>
      <w:r>
        <w:rPr>
          <w:i/>
        </w:rPr>
        <w:t>Nature</w:t>
      </w:r>
      <w:r>
        <w:t xml:space="preserve"> </w:t>
      </w:r>
      <w:r>
        <w:rPr>
          <w:b/>
        </w:rPr>
        <w:t>468:</w:t>
      </w:r>
      <w:r>
        <w:t xml:space="preserve"> 60-66 10.1038/nature09530.</w:t>
      </w:r>
    </w:p>
    <w:p w14:paraId="2351410E" w14:textId="77777777" w:rsidR="00A345E4" w:rsidRDefault="00AD2B29">
      <w:pPr>
        <w:spacing w:after="120"/>
      </w:pPr>
      <w:r>
        <w:fldChar w:fldCharType="end"/>
      </w:r>
    </w:p>
    <w:p w14:paraId="7F397B3E" w14:textId="77777777" w:rsidR="00A345E4" w:rsidRDefault="00A345E4">
      <w:pPr>
        <w:keepNext/>
        <w:spacing w:after="120"/>
        <w:rPr>
          <w:rFonts w:cs="Times New Roman"/>
          <w:b/>
          <w:szCs w:val="24"/>
        </w:rPr>
      </w:pPr>
    </w:p>
    <w:p w14:paraId="5B39EC76" w14:textId="77777777" w:rsidR="00A345E4" w:rsidRDefault="00A345E4">
      <w:pPr>
        <w:spacing w:before="240" w:after="120"/>
      </w:pPr>
    </w:p>
    <w:sectPr w:rsidR="00A345E4">
      <w:headerReference w:type="even" r:id="rId11"/>
      <w:headerReference w:type="default" r:id="rId12"/>
      <w:footerReference w:type="even" r:id="rId13"/>
      <w:footerReference w:type="default" r:id="rId14"/>
      <w:headerReference w:type="first" r:id="rId15"/>
      <w:pgSz w:w="12240" w:h="15840"/>
      <w:pgMar w:top="1138" w:right="1181" w:bottom="1138" w:left="1282" w:header="720" w:footer="720" w:gutter="0"/>
      <w:cols w:space="720"/>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639F7D" w14:textId="77777777" w:rsidR="0008070B" w:rsidRDefault="0008070B">
      <w:pPr>
        <w:spacing w:before="0" w:after="0"/>
      </w:pPr>
      <w:r>
        <w:separator/>
      </w:r>
    </w:p>
  </w:endnote>
  <w:endnote w:type="continuationSeparator" w:id="0">
    <w:p w14:paraId="06437ABC" w14:textId="77777777" w:rsidR="0008070B" w:rsidRDefault="0008070B">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iberation Sans">
    <w:altName w:val="Arial"/>
    <w:panose1 w:val="020B0604020202020204"/>
    <w:charset w:val="01"/>
    <w:family w:val="roman"/>
    <w:pitch w:val="variable"/>
  </w:font>
  <w:font w:name="Noto Sans CJK SC">
    <w:panose1 w:val="020B0604020202020204"/>
    <w:charset w:val="00"/>
    <w:family w:val="roman"/>
    <w:pitch w:val="default"/>
  </w:font>
  <w:font w:name="Lohit Devanagari">
    <w:altName w:val="Cambria"/>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01C3FA" w14:textId="77777777" w:rsidR="00A345E4" w:rsidRDefault="00AD2B29">
    <w:pPr>
      <w:rPr>
        <w:color w:val="C00000"/>
        <w:szCs w:val="24"/>
      </w:rPr>
    </w:pPr>
    <w:r>
      <w:rPr>
        <w:noProof/>
        <w:color w:val="C00000"/>
        <w:szCs w:val="24"/>
      </w:rPr>
      <mc:AlternateContent>
        <mc:Choice Requires="wps">
          <w:drawing>
            <wp:anchor distT="0" distB="0" distL="0" distR="0" simplePos="0" relativeHeight="13" behindDoc="1" locked="0" layoutInCell="1" allowOverlap="1" wp14:anchorId="33832643" wp14:editId="495F9C4D">
              <wp:simplePos x="0" y="0"/>
              <wp:positionH relativeFrom="margin">
                <wp:align>right</wp:align>
              </wp:positionH>
              <wp:positionV relativeFrom="paragraph">
                <wp:posOffset>635</wp:posOffset>
              </wp:positionV>
              <wp:extent cx="1510030" cy="433705"/>
              <wp:effectExtent l="0" t="0" r="0" b="0"/>
              <wp:wrapNone/>
              <wp:docPr id="5" name="Text Box 1"/>
              <wp:cNvGraphicFramePr/>
              <a:graphic xmlns:a="http://schemas.openxmlformats.org/drawingml/2006/main">
                <a:graphicData uri="http://schemas.microsoft.com/office/word/2010/wordprocessingShape">
                  <wps:wsp>
                    <wps:cNvSpPr/>
                    <wps:spPr>
                      <a:xfrm>
                        <a:off x="0" y="0"/>
                        <a:ext cx="1509480" cy="433080"/>
                      </a:xfrm>
                      <a:prstGeom prst="rect">
                        <a:avLst/>
                      </a:prstGeom>
                      <a:noFill/>
                      <a:ln w="6480">
                        <a:noFill/>
                      </a:ln>
                    </wps:spPr>
                    <wps:style>
                      <a:lnRef idx="0">
                        <a:scrgbClr r="0" g="0" b="0"/>
                      </a:lnRef>
                      <a:fillRef idx="0">
                        <a:scrgbClr r="0" g="0" b="0"/>
                      </a:fillRef>
                      <a:effectRef idx="0">
                        <a:scrgbClr r="0" g="0" b="0"/>
                      </a:effectRef>
                      <a:fontRef idx="minor"/>
                    </wps:style>
                    <wps:txbx>
                      <w:txbxContent>
                        <w:p w14:paraId="34B3CACD" w14:textId="77777777" w:rsidR="00A345E4" w:rsidRDefault="00AD2B29">
                          <w:pPr>
                            <w:pStyle w:val="FrameContents"/>
                            <w:jc w:val="right"/>
                            <w:rPr>
                              <w:color w:val="000000" w:themeColor="text1"/>
                              <w:szCs w:val="40"/>
                            </w:rPr>
                          </w:pPr>
                          <w:r>
                            <w:rPr>
                              <w:color w:val="000000"/>
                              <w:szCs w:val="40"/>
                            </w:rPr>
                            <w:fldChar w:fldCharType="begin"/>
                          </w:r>
                          <w:r>
                            <w:rPr>
                              <w:color w:val="000000"/>
                              <w:szCs w:val="40"/>
                            </w:rPr>
                            <w:instrText>PAGE</w:instrText>
                          </w:r>
                          <w:r>
                            <w:rPr>
                              <w:color w:val="000000"/>
                              <w:szCs w:val="40"/>
                            </w:rPr>
                            <w:fldChar w:fldCharType="separate"/>
                          </w:r>
                          <w:r>
                            <w:rPr>
                              <w:color w:val="000000"/>
                              <w:szCs w:val="40"/>
                            </w:rPr>
                            <w:t>10</w:t>
                          </w:r>
                          <w:r>
                            <w:rPr>
                              <w:color w:val="000000"/>
                              <w:szCs w:val="40"/>
                            </w:rPr>
                            <w:fldChar w:fldCharType="end"/>
                          </w:r>
                        </w:p>
                      </w:txbxContent>
                    </wps:txbx>
                    <wps:bodyPr>
                      <a:spAutoFit/>
                    </wps:bodyPr>
                  </wps:wsp>
                </a:graphicData>
              </a:graphic>
            </wp:anchor>
          </w:drawing>
        </mc:Choice>
        <mc:Fallback>
          <w:pict>
            <v:rect id="shape_0" ID="Text Box 1" stroked="f" style="position:absolute;margin-left:369.95pt;margin-top:0.05pt;width:118.8pt;height:34.05pt;mso-position-horizontal:right;mso-position-horizontal-relative:margin" wp14:anchorId="382EAD14">
              <w10:wrap type="square"/>
              <v:fill o:detectmouseclick="t" on="false"/>
              <v:stroke color="#3465a4" weight="6480" joinstyle="round" endcap="flat"/>
              <v:textbox>
                <w:txbxContent>
                  <w:p>
                    <w:pPr>
                      <w:pStyle w:val="FrameContents"/>
                      <w:spacing w:before="120" w:after="240"/>
                      <w:jc w:val="right"/>
                      <w:rPr>
                        <w:color w:val="000000" w:themeColor="text1"/>
                        <w:szCs w:val="40"/>
                      </w:rPr>
                    </w:pPr>
                    <w:r>
                      <w:rPr>
                        <w:color w:val="000000"/>
                        <w:szCs w:val="40"/>
                      </w:rPr>
                      <w:fldChar w:fldCharType="begin"/>
                    </w:r>
                    <w:r>
                      <w:rPr>
                        <w:szCs w:val="40"/>
                        <w:color w:val="000000"/>
                      </w:rPr>
                      <w:instrText> PAGE </w:instrText>
                    </w:r>
                    <w:r>
                      <w:rPr>
                        <w:szCs w:val="40"/>
                        <w:color w:val="000000"/>
                      </w:rPr>
                      <w:fldChar w:fldCharType="separate"/>
                    </w:r>
                    <w:r>
                      <w:rPr>
                        <w:szCs w:val="40"/>
                        <w:color w:val="000000"/>
                      </w:rPr>
                      <w:t>10</w:t>
                    </w:r>
                    <w:r>
                      <w:rPr>
                        <w:szCs w:val="40"/>
                        <w:color w:val="000000"/>
                      </w:rPr>
                      <w:fldChar w:fldCharType="end"/>
                    </w: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A4E35" w14:textId="77777777" w:rsidR="00A345E4" w:rsidRDefault="00AD2B29">
    <w:pPr>
      <w:rPr>
        <w:b/>
        <w:sz w:val="20"/>
        <w:szCs w:val="24"/>
      </w:rPr>
    </w:pPr>
    <w:r>
      <w:rPr>
        <w:b/>
        <w:noProof/>
        <w:sz w:val="20"/>
        <w:szCs w:val="24"/>
      </w:rPr>
      <mc:AlternateContent>
        <mc:Choice Requires="wps">
          <w:drawing>
            <wp:anchor distT="0" distB="0" distL="0" distR="0" simplePos="0" relativeHeight="5" behindDoc="1" locked="0" layoutInCell="1" allowOverlap="1" wp14:anchorId="73FC0625" wp14:editId="2684A0EB">
              <wp:simplePos x="0" y="0"/>
              <wp:positionH relativeFrom="margin">
                <wp:align>right</wp:align>
              </wp:positionH>
              <wp:positionV relativeFrom="paragraph">
                <wp:posOffset>635</wp:posOffset>
              </wp:positionV>
              <wp:extent cx="1510030" cy="433705"/>
              <wp:effectExtent l="0" t="0" r="0" b="0"/>
              <wp:wrapNone/>
              <wp:docPr id="7" name="Text Box 56"/>
              <wp:cNvGraphicFramePr/>
              <a:graphic xmlns:a="http://schemas.openxmlformats.org/drawingml/2006/main">
                <a:graphicData uri="http://schemas.microsoft.com/office/word/2010/wordprocessingShape">
                  <wps:wsp>
                    <wps:cNvSpPr/>
                    <wps:spPr>
                      <a:xfrm>
                        <a:off x="0" y="0"/>
                        <a:ext cx="1509480" cy="433080"/>
                      </a:xfrm>
                      <a:prstGeom prst="rect">
                        <a:avLst/>
                      </a:prstGeom>
                      <a:noFill/>
                      <a:ln w="6480">
                        <a:noFill/>
                      </a:ln>
                    </wps:spPr>
                    <wps:style>
                      <a:lnRef idx="0">
                        <a:scrgbClr r="0" g="0" b="0"/>
                      </a:lnRef>
                      <a:fillRef idx="0">
                        <a:scrgbClr r="0" g="0" b="0"/>
                      </a:fillRef>
                      <a:effectRef idx="0">
                        <a:scrgbClr r="0" g="0" b="0"/>
                      </a:effectRef>
                      <a:fontRef idx="minor"/>
                    </wps:style>
                    <wps:txbx>
                      <w:txbxContent>
                        <w:p w14:paraId="44859701" w14:textId="77777777" w:rsidR="00A345E4" w:rsidRDefault="00AD2B29">
                          <w:pPr>
                            <w:pStyle w:val="FrameContents"/>
                            <w:jc w:val="right"/>
                            <w:rPr>
                              <w:color w:val="000000" w:themeColor="text1"/>
                              <w:szCs w:val="40"/>
                            </w:rPr>
                          </w:pPr>
                          <w:r>
                            <w:rPr>
                              <w:color w:val="000000"/>
                              <w:szCs w:val="40"/>
                            </w:rPr>
                            <w:fldChar w:fldCharType="begin"/>
                          </w:r>
                          <w:r>
                            <w:rPr>
                              <w:color w:val="000000"/>
                              <w:szCs w:val="40"/>
                            </w:rPr>
                            <w:instrText>PAGE</w:instrText>
                          </w:r>
                          <w:r>
                            <w:rPr>
                              <w:color w:val="000000"/>
                              <w:szCs w:val="40"/>
                            </w:rPr>
                            <w:fldChar w:fldCharType="separate"/>
                          </w:r>
                          <w:r>
                            <w:rPr>
                              <w:color w:val="000000"/>
                              <w:szCs w:val="40"/>
                            </w:rPr>
                            <w:t>9</w:t>
                          </w:r>
                          <w:r>
                            <w:rPr>
                              <w:color w:val="000000"/>
                              <w:szCs w:val="40"/>
                            </w:rPr>
                            <w:fldChar w:fldCharType="end"/>
                          </w:r>
                        </w:p>
                      </w:txbxContent>
                    </wps:txbx>
                    <wps:bodyPr>
                      <a:spAutoFit/>
                    </wps:bodyPr>
                  </wps:wsp>
                </a:graphicData>
              </a:graphic>
            </wp:anchor>
          </w:drawing>
        </mc:Choice>
        <mc:Fallback>
          <w:pict>
            <v:rect id="shape_0" ID="Text Box 56" stroked="f" style="position:absolute;margin-left:369.95pt;margin-top:0.05pt;width:118.8pt;height:34.05pt;mso-position-horizontal:right;mso-position-horizontal-relative:margin" wp14:anchorId="70F9F55F">
              <w10:wrap type="square"/>
              <v:fill o:detectmouseclick="t" on="false"/>
              <v:stroke color="#3465a4" weight="6480" joinstyle="round" endcap="flat"/>
              <v:textbox>
                <w:txbxContent>
                  <w:p>
                    <w:pPr>
                      <w:pStyle w:val="FrameContents"/>
                      <w:spacing w:before="120" w:after="240"/>
                      <w:jc w:val="right"/>
                      <w:rPr>
                        <w:color w:val="000000" w:themeColor="text1"/>
                        <w:szCs w:val="40"/>
                      </w:rPr>
                    </w:pPr>
                    <w:r>
                      <w:rPr>
                        <w:color w:val="000000"/>
                        <w:szCs w:val="40"/>
                      </w:rPr>
                      <w:fldChar w:fldCharType="begin"/>
                    </w:r>
                    <w:r>
                      <w:rPr>
                        <w:szCs w:val="40"/>
                        <w:color w:val="000000"/>
                      </w:rPr>
                      <w:instrText> PAGE </w:instrText>
                    </w:r>
                    <w:r>
                      <w:rPr>
                        <w:szCs w:val="40"/>
                        <w:color w:val="000000"/>
                      </w:rPr>
                      <w:fldChar w:fldCharType="separate"/>
                    </w:r>
                    <w:r>
                      <w:rPr>
                        <w:szCs w:val="40"/>
                        <w:color w:val="000000"/>
                      </w:rPr>
                      <w:t>9</w:t>
                    </w:r>
                    <w:r>
                      <w:rPr>
                        <w:szCs w:val="40"/>
                        <w:color w:val="000000"/>
                      </w:rPr>
                      <w:fldChar w:fldCharType="end"/>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57AE1D" w14:textId="77777777" w:rsidR="0008070B" w:rsidRDefault="0008070B">
      <w:pPr>
        <w:spacing w:before="0" w:after="0"/>
      </w:pPr>
      <w:r>
        <w:separator/>
      </w:r>
    </w:p>
  </w:footnote>
  <w:footnote w:type="continuationSeparator" w:id="0">
    <w:p w14:paraId="6A2D2D57" w14:textId="77777777" w:rsidR="0008070B" w:rsidRDefault="0008070B">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06D0A1" w14:textId="77777777" w:rsidR="00A345E4" w:rsidRDefault="00AD2B29">
    <w:pPr>
      <w:rPr>
        <w:rFonts w:cs="Times New Roman"/>
      </w:rPr>
    </w:pPr>
    <w:r>
      <w:rPr>
        <w:rFonts w:cs="Times New Roman"/>
      </w:rPr>
      <w:tab/>
    </w:r>
    <w:r>
      <w:rPr>
        <w:rFonts w:cs="Times New Roman"/>
      </w:rPr>
      <w:tab/>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5BFE58" w14:textId="77777777" w:rsidR="00A345E4" w:rsidRDefault="00A345E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504303" w14:textId="77777777" w:rsidR="00A345E4" w:rsidRDefault="00AD2B29">
    <w:r>
      <w:rPr>
        <w:noProof/>
      </w:rPr>
      <w:drawing>
        <wp:inline distT="0" distB="0" distL="0" distR="0" wp14:anchorId="491E2B5E" wp14:editId="25728061">
          <wp:extent cx="1382395" cy="497205"/>
          <wp:effectExtent l="0" t="0" r="0" b="0"/>
          <wp:docPr id="4"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7"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stretch>
                    <a:fillRect/>
                  </a:stretch>
                </pic:blipFill>
                <pic:spPr bwMode="auto">
                  <a:xfrm>
                    <a:off x="0" y="0"/>
                    <a:ext cx="1382395" cy="497205"/>
                  </a:xfrm>
                  <a:prstGeom prst="rect">
                    <a:avLst/>
                  </a:prstGeom>
                </pic:spPr>
              </pic:pic>
            </a:graphicData>
          </a:graphic>
        </wp:inline>
      </w:drawing>
    </w:r>
    <w:r>
      <w:rPr>
        <w:b/>
      </w:rP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3047F7"/>
    <w:multiLevelType w:val="multilevel"/>
    <w:tmpl w:val="48069FCA"/>
    <w:lvl w:ilvl="0">
      <w:start w:val="1"/>
      <w:numFmt w:val="decimal"/>
      <w:pStyle w:val="Heading1"/>
      <w:lvlText w:val="%1"/>
      <w:lvlJc w:val="left"/>
      <w:pPr>
        <w:tabs>
          <w:tab w:val="num" w:pos="567"/>
        </w:tabs>
        <w:ind w:left="567" w:hanging="567"/>
      </w:pPr>
    </w:lvl>
    <w:lvl w:ilvl="1">
      <w:start w:val="1"/>
      <w:numFmt w:val="decimal"/>
      <w:pStyle w:val="Heading2"/>
      <w:lvlText w:val="%1.%2"/>
      <w:lvlJc w:val="left"/>
      <w:pPr>
        <w:tabs>
          <w:tab w:val="num" w:pos="3357"/>
        </w:tabs>
        <w:ind w:left="3357" w:hanging="567"/>
      </w:pPr>
    </w:lvl>
    <w:lvl w:ilvl="2">
      <w:start w:val="1"/>
      <w:numFmt w:val="decimal"/>
      <w:pStyle w:val="Heading3"/>
      <w:lvlText w:val="%1.%2.%3"/>
      <w:lvlJc w:val="left"/>
      <w:pPr>
        <w:tabs>
          <w:tab w:val="num" w:pos="567"/>
        </w:tabs>
        <w:ind w:left="567" w:hanging="567"/>
      </w:pPr>
    </w:lvl>
    <w:lvl w:ilvl="3">
      <w:start w:val="1"/>
      <w:numFmt w:val="decimal"/>
      <w:pStyle w:val="Heading4"/>
      <w:lvlText w:val="%1.%2.%3.%4"/>
      <w:lvlJc w:val="left"/>
      <w:pPr>
        <w:tabs>
          <w:tab w:val="num" w:pos="567"/>
        </w:tabs>
        <w:ind w:left="567" w:hanging="567"/>
      </w:pPr>
    </w:lvl>
    <w:lvl w:ilvl="4">
      <w:start w:val="1"/>
      <w:numFmt w:val="decimal"/>
      <w:pStyle w:val="Heading5"/>
      <w:lvlText w:val="%1.%2.%3.%4.%5"/>
      <w:lvlJc w:val="left"/>
      <w:pPr>
        <w:tabs>
          <w:tab w:val="num" w:pos="567"/>
        </w:tabs>
        <w:ind w:left="567" w:hanging="567"/>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1"/>
  <w:proofState w:spelling="clean" w:grammar="clean"/>
  <w:defaultTabStop w:val="720"/>
  <w:autoHyphenation/>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45E4"/>
    <w:rsid w:val="0008070B"/>
    <w:rsid w:val="00341703"/>
    <w:rsid w:val="003F1F47"/>
    <w:rsid w:val="004C0608"/>
    <w:rsid w:val="005B4B43"/>
    <w:rsid w:val="009C316A"/>
    <w:rsid w:val="00A345E4"/>
    <w:rsid w:val="00AD2B29"/>
    <w:rsid w:val="00C0419B"/>
    <w:rsid w:val="00C74B91"/>
    <w:rsid w:val="00CA5EC4"/>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decimalSymbol w:val="."/>
  <w:listSeparator w:val=","/>
  <w14:docId w14:val="2051936F"/>
  <w15:docId w15:val="{C940991E-7B6A-6E43-B12B-0E400DFE87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Cs w:val="22"/>
        <w:lang w:val="en-US"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
      </w:numPr>
      <w:spacing w:before="240" w:after="120"/>
      <w:outlineLvl w:val="0"/>
    </w:pPr>
    <w:rPr>
      <w:b/>
    </w:rPr>
  </w:style>
  <w:style w:type="paragraph" w:styleId="Heading2">
    <w:name w:val="heading 2"/>
    <w:basedOn w:val="Heading1"/>
    <w:next w:val="Normal"/>
    <w:link w:val="Heading2Char"/>
    <w:uiPriority w:val="2"/>
    <w:qFormat/>
    <w:rsid w:val="00AB6715"/>
    <w:pPr>
      <w:numPr>
        <w:ilvl w:val="1"/>
      </w:numPr>
      <w:tabs>
        <w:tab w:val="left" w:pos="567"/>
      </w:tabs>
      <w:spacing w:after="200"/>
      <w:ind w:left="567" w:firstLine="0"/>
      <w:outlineLvl w:val="1"/>
    </w:pPr>
  </w:style>
  <w:style w:type="paragraph" w:styleId="Heading3">
    <w:name w:val="heading 3"/>
    <w:basedOn w:val="Normal"/>
    <w:next w:val="Normal"/>
    <w:link w:val="Heading3Char"/>
    <w:uiPriority w:val="2"/>
    <w:qFormat/>
    <w:rsid w:val="00AB6715"/>
    <w:pPr>
      <w:keepNext/>
      <w:keepLines/>
      <w:numPr>
        <w:ilvl w:val="2"/>
        <w:numId w:val="1"/>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qFormat/>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qFormat/>
    <w:rsid w:val="00AB6715"/>
    <w:rPr>
      <w:rFonts w:ascii="Times New Roman" w:eastAsia="Cambria" w:hAnsi="Times New Roman" w:cs="Times New Roman"/>
      <w:b/>
      <w:sz w:val="24"/>
      <w:szCs w:val="24"/>
    </w:rPr>
  </w:style>
  <w:style w:type="character" w:customStyle="1" w:styleId="SubtitleChar">
    <w:name w:val="Subtitle Char"/>
    <w:basedOn w:val="DefaultParagraphFont"/>
    <w:link w:val="Subtitle"/>
    <w:uiPriority w:val="99"/>
    <w:qFormat/>
    <w:rsid w:val="00AB6715"/>
    <w:rPr>
      <w:rFonts w:ascii="Times New Roman" w:hAnsi="Times New Roman" w:cs="Times New Roman"/>
      <w:b/>
      <w:sz w:val="24"/>
      <w:szCs w:val="24"/>
    </w:rPr>
  </w:style>
  <w:style w:type="character" w:customStyle="1" w:styleId="BalloonTextChar">
    <w:name w:val="Balloon Text Char"/>
    <w:basedOn w:val="DefaultParagraphFont"/>
    <w:link w:val="BalloonText"/>
    <w:uiPriority w:val="99"/>
    <w:semiHidden/>
    <w:qFormat/>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character" w:styleId="CommentReference">
    <w:name w:val="annotation reference"/>
    <w:basedOn w:val="DefaultParagraphFont"/>
    <w:uiPriority w:val="99"/>
    <w:semiHidden/>
    <w:unhideWhenUsed/>
    <w:qFormat/>
    <w:rsid w:val="00AB6715"/>
    <w:rPr>
      <w:sz w:val="16"/>
      <w:szCs w:val="16"/>
    </w:rPr>
  </w:style>
  <w:style w:type="character" w:customStyle="1" w:styleId="CommentTextChar">
    <w:name w:val="Comment Text Char"/>
    <w:basedOn w:val="DefaultParagraphFont"/>
    <w:link w:val="CommentText"/>
    <w:uiPriority w:val="99"/>
    <w:semiHidden/>
    <w:qFormat/>
    <w:rsid w:val="00AB6715"/>
    <w:rPr>
      <w:rFonts w:ascii="Times New Roman" w:hAnsi="Times New Roman"/>
      <w:sz w:val="20"/>
      <w:szCs w:val="20"/>
    </w:rPr>
  </w:style>
  <w:style w:type="character" w:customStyle="1" w:styleId="CommentSubjectChar">
    <w:name w:val="Comment Subject Char"/>
    <w:basedOn w:val="CommentTextChar"/>
    <w:link w:val="CommentSubject"/>
    <w:uiPriority w:val="99"/>
    <w:semiHidden/>
    <w:qFormat/>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customStyle="1" w:styleId="EndnoteCharacters">
    <w:name w:val="Endnote Characters"/>
    <w:basedOn w:val="DefaultParagraphFont"/>
    <w:uiPriority w:val="99"/>
    <w:semiHidden/>
    <w:unhideWhenUsed/>
    <w:qFormat/>
    <w:rsid w:val="00AB6715"/>
    <w:rPr>
      <w:vertAlign w:val="superscript"/>
    </w:rPr>
  </w:style>
  <w:style w:type="character" w:customStyle="1" w:styleId="EndnoteAnchor">
    <w:name w:val="Endnote Anchor"/>
    <w:rPr>
      <w:vertAlign w:val="superscript"/>
    </w:rPr>
  </w:style>
  <w:style w:type="character" w:customStyle="1" w:styleId="EndnoteTextChar">
    <w:name w:val="Endnote Text Char"/>
    <w:basedOn w:val="DefaultParagraphFont"/>
    <w:link w:val="EndnoteText"/>
    <w:uiPriority w:val="99"/>
    <w:semiHidden/>
    <w:qFormat/>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character" w:customStyle="1" w:styleId="FooterChar">
    <w:name w:val="Footer Char"/>
    <w:basedOn w:val="DefaultParagraphFont"/>
    <w:link w:val="Footer"/>
    <w:uiPriority w:val="99"/>
    <w:qFormat/>
    <w:rsid w:val="00AB6715"/>
    <w:rPr>
      <w:rFonts w:ascii="Times New Roman" w:hAnsi="Times New Roman"/>
      <w:sz w:val="24"/>
    </w:rPr>
  </w:style>
  <w:style w:type="character" w:customStyle="1" w:styleId="FootnoteCharacters">
    <w:name w:val="Footnote Characters"/>
    <w:basedOn w:val="DefaultParagraphFont"/>
    <w:uiPriority w:val="99"/>
    <w:semiHidden/>
    <w:unhideWhenUsed/>
    <w:qFormat/>
    <w:rsid w:val="00AB6715"/>
    <w:rPr>
      <w:vertAlign w:val="superscript"/>
    </w:rPr>
  </w:style>
  <w:style w:type="character" w:customStyle="1" w:styleId="FootnoteAnchor">
    <w:name w:val="Footnote Anchor"/>
    <w:rPr>
      <w:vertAlign w:val="superscript"/>
    </w:rPr>
  </w:style>
  <w:style w:type="character" w:customStyle="1" w:styleId="FootnoteTextChar">
    <w:name w:val="Footnote Text Char"/>
    <w:basedOn w:val="DefaultParagraphFont"/>
    <w:link w:val="FootnoteText"/>
    <w:uiPriority w:val="99"/>
    <w:semiHidden/>
    <w:qFormat/>
    <w:rsid w:val="00AB6715"/>
    <w:rPr>
      <w:rFonts w:ascii="Times New Roman" w:hAnsi="Times New Roman"/>
      <w:sz w:val="20"/>
      <w:szCs w:val="20"/>
    </w:rPr>
  </w:style>
  <w:style w:type="character" w:customStyle="1" w:styleId="HeaderChar">
    <w:name w:val="Header Char"/>
    <w:basedOn w:val="DefaultParagraphFont"/>
    <w:link w:val="Header"/>
    <w:uiPriority w:val="99"/>
    <w:qFormat/>
    <w:rsid w:val="00AB6715"/>
    <w:rPr>
      <w:rFonts w:ascii="Times New Roman" w:hAnsi="Times New Roman"/>
      <w:b/>
      <w:sz w:val="24"/>
    </w:r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qFormat/>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qFormat/>
    <w:rsid w:val="00AB6715"/>
  </w:style>
  <w:style w:type="character" w:customStyle="1" w:styleId="Heading3Char">
    <w:name w:val="Heading 3 Char"/>
    <w:basedOn w:val="DefaultParagraphFont"/>
    <w:link w:val="Heading3"/>
    <w:uiPriority w:val="2"/>
    <w:qFormat/>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qFormat/>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qFormat/>
    <w:rsid w:val="00AB6715"/>
    <w:rPr>
      <w:rFonts w:ascii="Times New Roman" w:eastAsiaTheme="majorEastAsia" w:hAnsi="Times New Roman" w:cstheme="majorBidi"/>
      <w:b/>
      <w:iCs/>
      <w:sz w:val="24"/>
      <w:szCs w:val="24"/>
    </w:rPr>
  </w:style>
  <w:style w:type="character" w:customStyle="1" w:styleId="QuoteChar">
    <w:name w:val="Quote Char"/>
    <w:basedOn w:val="DefaultParagraphFont"/>
    <w:link w:val="Quote"/>
    <w:uiPriority w:val="29"/>
    <w:qFormat/>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character" w:customStyle="1" w:styleId="TitleChar">
    <w:name w:val="Title Char"/>
    <w:basedOn w:val="DefaultParagraphFont"/>
    <w:link w:val="Title"/>
    <w:qFormat/>
    <w:rsid w:val="00AB6715"/>
    <w:rPr>
      <w:rFonts w:ascii="Times New Roman" w:hAnsi="Times New Roman" w:cs="Times New Roman"/>
      <w:b/>
      <w:sz w:val="32"/>
      <w:szCs w:val="32"/>
    </w:rPr>
  </w:style>
  <w:style w:type="character" w:customStyle="1" w:styleId="EndNoteBibliographyChar">
    <w:name w:val="EndNote Bibliography Char"/>
    <w:basedOn w:val="DefaultParagraphFont"/>
    <w:link w:val="EndNoteBibliography"/>
    <w:qFormat/>
    <w:rsid w:val="00103CEE"/>
    <w:rPr>
      <w:rFonts w:ascii="Times New Roman" w:eastAsia="Times New Roman" w:hAnsi="Times New Roman" w:cs="Times New Roman"/>
      <w:sz w:val="24"/>
      <w:szCs w:val="24"/>
    </w:rPr>
  </w:style>
  <w:style w:type="character" w:customStyle="1" w:styleId="EndNoteBibliographyTitleChar">
    <w:name w:val="EndNote Bibliography Title Char"/>
    <w:basedOn w:val="DefaultParagraphFont"/>
    <w:link w:val="EndNoteBibliographyTitle"/>
    <w:qFormat/>
    <w:rsid w:val="00103CEE"/>
    <w:rPr>
      <w:rFonts w:ascii="Times New Roman" w:hAnsi="Times New Roman" w:cs="Times New Roman"/>
      <w:sz w:val="24"/>
    </w:rPr>
  </w:style>
  <w:style w:type="paragraph" w:customStyle="1" w:styleId="Heading">
    <w:name w:val="Heading"/>
    <w:basedOn w:val="Normal"/>
    <w:next w:val="BodyText"/>
    <w:qFormat/>
    <w:pPr>
      <w:keepNext/>
      <w:spacing w:before="240" w:after="120"/>
    </w:pPr>
    <w:rPr>
      <w:rFonts w:ascii="Liberation Sans" w:eastAsia="Noto Sans CJK SC" w:hAnsi="Liberation Sans" w:cs="Lohit Devanagari"/>
      <w:sz w:val="28"/>
      <w:szCs w:val="28"/>
    </w:rPr>
  </w:style>
  <w:style w:type="paragraph" w:styleId="BodyText">
    <w:name w:val="Body Text"/>
    <w:basedOn w:val="Normal"/>
    <w:pPr>
      <w:spacing w:before="0" w:after="140" w:line="276" w:lineRule="auto"/>
    </w:pPr>
  </w:style>
  <w:style w:type="paragraph" w:styleId="List">
    <w:name w:val="List"/>
    <w:basedOn w:val="BodyText"/>
    <w:rPr>
      <w:rFonts w:cs="Lohit Devanagari"/>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customStyle="1" w:styleId="Index">
    <w:name w:val="Index"/>
    <w:basedOn w:val="Normal"/>
    <w:qFormat/>
    <w:pPr>
      <w:suppressLineNumbers/>
    </w:pPr>
    <w:rPr>
      <w:rFonts w:cs="Lohit Devanagari"/>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paragraph" w:customStyle="1" w:styleId="AuthorList">
    <w:name w:val="Author List"/>
    <w:basedOn w:val="Subtitle"/>
    <w:next w:val="Normal"/>
    <w:uiPriority w:val="1"/>
    <w:qFormat/>
    <w:rsid w:val="00AB6715"/>
  </w:style>
  <w:style w:type="paragraph" w:styleId="BalloonText">
    <w:name w:val="Balloon Text"/>
    <w:basedOn w:val="Normal"/>
    <w:link w:val="BalloonTextChar"/>
    <w:uiPriority w:val="99"/>
    <w:semiHidden/>
    <w:unhideWhenUsed/>
    <w:qFormat/>
    <w:rsid w:val="00AB6715"/>
    <w:pPr>
      <w:spacing w:after="0"/>
    </w:pPr>
    <w:rPr>
      <w:rFonts w:ascii="Tahoma" w:hAnsi="Tahoma" w:cs="Tahoma"/>
      <w:sz w:val="16"/>
      <w:szCs w:val="16"/>
    </w:rPr>
  </w:style>
  <w:style w:type="paragraph" w:styleId="NoSpacing">
    <w:name w:val="No Spacing"/>
    <w:uiPriority w:val="99"/>
    <w:unhideWhenUsed/>
    <w:qFormat/>
    <w:rsid w:val="00AB6715"/>
    <w:rPr>
      <w:rFonts w:ascii="Times New Roman" w:hAnsi="Times New Roman"/>
      <w:sz w:val="24"/>
    </w:rPr>
  </w:style>
  <w:style w:type="paragraph" w:styleId="CommentText">
    <w:name w:val="annotation text"/>
    <w:basedOn w:val="Normal"/>
    <w:link w:val="CommentTextChar"/>
    <w:uiPriority w:val="99"/>
    <w:semiHidden/>
    <w:unhideWhenUsed/>
    <w:qFormat/>
    <w:rsid w:val="00AB6715"/>
    <w:rPr>
      <w:sz w:val="20"/>
      <w:szCs w:val="20"/>
    </w:rPr>
  </w:style>
  <w:style w:type="paragraph" w:styleId="CommentSubject">
    <w:name w:val="annotation subject"/>
    <w:basedOn w:val="CommentText"/>
    <w:next w:val="CommentText"/>
    <w:link w:val="CommentSubjectChar"/>
    <w:uiPriority w:val="99"/>
    <w:semiHidden/>
    <w:unhideWhenUsed/>
    <w:qFormat/>
    <w:rsid w:val="00AB6715"/>
    <w:rPr>
      <w:b/>
      <w:bCs/>
    </w:rPr>
  </w:style>
  <w:style w:type="paragraph" w:styleId="EndnoteText">
    <w:name w:val="endnote text"/>
    <w:basedOn w:val="Normal"/>
    <w:link w:val="EndnoteTextChar"/>
    <w:uiPriority w:val="99"/>
    <w:semiHidden/>
    <w:unhideWhenUsed/>
    <w:rsid w:val="00AB6715"/>
    <w:pPr>
      <w:spacing w:after="0"/>
    </w:pPr>
    <w:rPr>
      <w:sz w:val="20"/>
      <w:szCs w:val="20"/>
    </w:rPr>
  </w:style>
  <w:style w:type="paragraph" w:customStyle="1" w:styleId="HeaderandFooter">
    <w:name w:val="Header and Footer"/>
    <w:basedOn w:val="Normal"/>
    <w:qFormat/>
  </w:style>
  <w:style w:type="paragraph" w:styleId="Footer">
    <w:name w:val="footer"/>
    <w:basedOn w:val="Normal"/>
    <w:link w:val="FooterChar"/>
    <w:uiPriority w:val="99"/>
    <w:unhideWhenUsed/>
    <w:rsid w:val="00AB6715"/>
    <w:pPr>
      <w:tabs>
        <w:tab w:val="center" w:pos="4844"/>
        <w:tab w:val="right" w:pos="9689"/>
      </w:tabs>
      <w:spacing w:after="0"/>
    </w:pPr>
  </w:style>
  <w:style w:type="paragraph" w:styleId="FootnoteText">
    <w:name w:val="footnote text"/>
    <w:basedOn w:val="Normal"/>
    <w:link w:val="FootnoteTextChar"/>
    <w:uiPriority w:val="99"/>
    <w:semiHidden/>
    <w:unhideWhenUsed/>
    <w:rsid w:val="00AB6715"/>
    <w:pPr>
      <w:spacing w:after="0"/>
    </w:pPr>
    <w:rPr>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paragraph" w:styleId="ListParagraph">
    <w:name w:val="List Paragraph"/>
    <w:basedOn w:val="Normal"/>
    <w:uiPriority w:val="3"/>
    <w:qFormat/>
    <w:rsid w:val="00AB6715"/>
    <w:pPr>
      <w:contextualSpacing/>
    </w:pPr>
    <w:rPr>
      <w:rFonts w:eastAsia="Cambria" w:cs="Times New Roman"/>
      <w:szCs w:val="24"/>
    </w:rPr>
  </w:style>
  <w:style w:type="paragraph" w:styleId="NormalWeb">
    <w:name w:val="Normal (Web)"/>
    <w:basedOn w:val="Normal"/>
    <w:uiPriority w:val="99"/>
    <w:unhideWhenUsed/>
    <w:qFormat/>
    <w:rsid w:val="00AB6715"/>
    <w:pPr>
      <w:spacing w:beforeAutospacing="1"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paragraph" w:customStyle="1" w:styleId="EndNoteBibliography">
    <w:name w:val="EndNote Bibliography"/>
    <w:basedOn w:val="Normal"/>
    <w:link w:val="EndNoteBibliographyChar"/>
    <w:qFormat/>
    <w:rsid w:val="00103CEE"/>
    <w:pPr>
      <w:spacing w:before="0" w:after="0"/>
    </w:pPr>
    <w:rPr>
      <w:rFonts w:eastAsia="Times New Roman" w:cs="Times New Roman"/>
      <w:szCs w:val="24"/>
    </w:rPr>
  </w:style>
  <w:style w:type="paragraph" w:customStyle="1" w:styleId="EndNoteBibliographyTitle">
    <w:name w:val="EndNote Bibliography Title"/>
    <w:basedOn w:val="Normal"/>
    <w:link w:val="EndNoteBibliographyTitleChar"/>
    <w:qFormat/>
    <w:rsid w:val="00103CEE"/>
    <w:pPr>
      <w:spacing w:after="0"/>
      <w:jc w:val="center"/>
    </w:pPr>
    <w:rPr>
      <w:rFonts w:cs="Times New Roman"/>
    </w:rPr>
  </w:style>
  <w:style w:type="paragraph" w:customStyle="1" w:styleId="FrameContents">
    <w:name w:val="Frame Contents"/>
    <w:basedOn w:val="Normal"/>
    <w:qFormat/>
  </w:style>
  <w:style w:type="numbering" w:customStyle="1" w:styleId="Headings">
    <w:name w:val="Headings"/>
    <w:uiPriority w:val="99"/>
    <w:qFormat/>
    <w:rsid w:val="00AB6715"/>
  </w:style>
  <w:style w:type="table" w:styleId="TableGrid">
    <w:name w:val="Table Grid"/>
    <w:basedOn w:val="TableNormal"/>
    <w:uiPriority w:val="39"/>
    <w:rsid w:val="00AB6715"/>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341703"/>
    <w:pPr>
      <w:suppressAutoHyphens w:val="0"/>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57A95B22-B4E8-4C8E-ABCB-1E2B9143F8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Pages>
  <Words>4808</Words>
  <Characters>27406</Characters>
  <Application>Microsoft Office Word</Application>
  <DocSecurity>0</DocSecurity>
  <Lines>228</Lines>
  <Paragraphs>64</Paragraphs>
  <ScaleCrop>false</ScaleCrop>
  <Company/>
  <LinksUpToDate>false</LinksUpToDate>
  <CharactersWithSpaces>32150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Frontiers Media SA</dc:creator>
  <dc:description/>
  <cp:lastModifiedBy>Sarahi Garcia</cp:lastModifiedBy>
  <cp:revision>3</cp:revision>
  <cp:lastPrinted>2013-10-03T12:51:00Z</cp:lastPrinted>
  <dcterms:created xsi:type="dcterms:W3CDTF">2021-12-21T13:43:00Z</dcterms:created>
  <dcterms:modified xsi:type="dcterms:W3CDTF">2021-12-21T13:44:00Z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