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2B2234" w14:textId="0ACD2266" w:rsidR="00145CA7" w:rsidRPr="005C744C" w:rsidRDefault="00145CA7" w:rsidP="00F02D31">
      <w:pPr>
        <w:autoSpaceDE w:val="0"/>
        <w:autoSpaceDN w:val="0"/>
        <w:adjustRightInd w:val="0"/>
        <w:spacing w:after="240" w:line="480" w:lineRule="auto"/>
        <w:rPr>
          <w:b/>
          <w:color w:val="000000" w:themeColor="text1"/>
        </w:rPr>
      </w:pPr>
      <w:r w:rsidRPr="005C744C">
        <w:rPr>
          <w:b/>
          <w:color w:val="000000" w:themeColor="text1"/>
        </w:rPr>
        <w:t>Supplementary data</w:t>
      </w:r>
    </w:p>
    <w:p w14:paraId="7AAD6B5B" w14:textId="6524B872" w:rsidR="008974F3" w:rsidRPr="0066655C" w:rsidRDefault="008974F3" w:rsidP="00F02D31">
      <w:pPr>
        <w:autoSpaceDE w:val="0"/>
        <w:autoSpaceDN w:val="0"/>
        <w:adjustRightInd w:val="0"/>
        <w:spacing w:after="240" w:line="480" w:lineRule="auto"/>
        <w:rPr>
          <w:b/>
          <w:color w:val="000000" w:themeColor="text1"/>
        </w:rPr>
      </w:pPr>
      <w:r w:rsidRPr="0066655C">
        <w:rPr>
          <w:b/>
          <w:color w:val="000000" w:themeColor="text1"/>
        </w:rPr>
        <w:t xml:space="preserve">(1) Setting of parameters; </w:t>
      </w:r>
      <w:r w:rsidRPr="0066655C">
        <w:rPr>
          <w:b/>
          <w:i/>
          <w:iCs/>
          <w:color w:val="000000" w:themeColor="text1"/>
        </w:rPr>
        <w:t>T</w:t>
      </w:r>
      <w:r w:rsidRPr="0066655C">
        <w:rPr>
          <w:b/>
          <w:color w:val="000000" w:themeColor="text1"/>
        </w:rPr>
        <w:t xml:space="preserve"> and </w:t>
      </w:r>
      <w:r w:rsidRPr="0066655C">
        <w:rPr>
          <w:b/>
          <w:i/>
          <w:iCs/>
          <w:color w:val="000000" w:themeColor="text1"/>
        </w:rPr>
        <w:t xml:space="preserve">k </w:t>
      </w:r>
      <w:r w:rsidRPr="0066655C">
        <w:rPr>
          <w:b/>
          <w:color w:val="000000" w:themeColor="text1"/>
        </w:rPr>
        <w:t>(Supplementary Fig. 1)</w:t>
      </w:r>
    </w:p>
    <w:p w14:paraId="076977F6" w14:textId="24ECBF53" w:rsidR="007A4A2F" w:rsidRPr="0066655C" w:rsidRDefault="007A4A2F" w:rsidP="0018509B">
      <w:pPr>
        <w:spacing w:line="480" w:lineRule="auto"/>
        <w:ind w:firstLine="357"/>
        <w:rPr>
          <w:rFonts w:eastAsia="Times New Roman"/>
          <w:color w:val="000000" w:themeColor="text1"/>
        </w:rPr>
      </w:pPr>
      <w:r w:rsidRPr="0066655C">
        <w:rPr>
          <w:rFonts w:eastAsia="Times New Roman"/>
          <w:color w:val="000000" w:themeColor="text1"/>
        </w:rPr>
        <w:t xml:space="preserve">According to </w:t>
      </w:r>
      <w:r w:rsidR="004E0180" w:rsidRPr="0066655C">
        <w:rPr>
          <w:rFonts w:eastAsia="Times New Roman"/>
          <w:color w:val="000000" w:themeColor="text1"/>
        </w:rPr>
        <w:t xml:space="preserve">the </w:t>
      </w:r>
      <w:r w:rsidRPr="0066655C">
        <w:rPr>
          <w:rFonts w:eastAsia="Times New Roman"/>
          <w:color w:val="000000" w:themeColor="text1"/>
        </w:rPr>
        <w:t xml:space="preserve">Fourier series, 2 Hz </w:t>
      </w:r>
      <w:r w:rsidR="005B26D8" w:rsidRPr="0066655C">
        <w:rPr>
          <w:rFonts w:eastAsia="Times New Roman"/>
          <w:color w:val="000000" w:themeColor="text1"/>
        </w:rPr>
        <w:t>(</w:t>
      </w:r>
      <w:proofErr w:type="spellStart"/>
      <w:r w:rsidR="005B26D8" w:rsidRPr="00866F8A">
        <w:rPr>
          <w:i/>
          <w:color w:val="000000" w:themeColor="text1"/>
        </w:rPr>
        <w:t>f</w:t>
      </w:r>
      <w:r w:rsidR="005B26D8" w:rsidRPr="00866F8A">
        <w:rPr>
          <w:i/>
          <w:color w:val="000000" w:themeColor="text1"/>
          <w:vertAlign w:val="subscript"/>
        </w:rPr>
        <w:t>p</w:t>
      </w:r>
      <w:proofErr w:type="spellEnd"/>
      <w:r w:rsidR="005B26D8" w:rsidRPr="00866F8A">
        <w:rPr>
          <w:i/>
          <w:color w:val="000000" w:themeColor="text1"/>
        </w:rPr>
        <w:t xml:space="preserve"> = 1/ T</w:t>
      </w:r>
      <w:r w:rsidR="005B26D8" w:rsidRPr="0066655C">
        <w:rPr>
          <w:rFonts w:eastAsia="Times New Roman"/>
          <w:color w:val="000000" w:themeColor="text1"/>
        </w:rPr>
        <w:t xml:space="preserve">) </w:t>
      </w:r>
      <w:r w:rsidRPr="0066655C">
        <w:rPr>
          <w:rFonts w:eastAsia="Times New Roman"/>
          <w:color w:val="000000" w:themeColor="text1"/>
        </w:rPr>
        <w:t xml:space="preserve">periodic signals have line peaks with </w:t>
      </w:r>
      <w:r w:rsidR="004E0180" w:rsidRPr="0066655C">
        <w:rPr>
          <w:rFonts w:eastAsia="Times New Roman"/>
          <w:color w:val="000000" w:themeColor="text1"/>
        </w:rPr>
        <w:t xml:space="preserve">a </w:t>
      </w:r>
      <w:r w:rsidRPr="0066655C">
        <w:rPr>
          <w:rFonts w:eastAsia="Times New Roman"/>
          <w:color w:val="000000" w:themeColor="text1"/>
        </w:rPr>
        <w:t xml:space="preserve">fundamental and its harmonics (2, 4, 6...,2*k, Hz) in power spectrum density (PSD). In turn, the frequency spectrum represented by line peaks will contain features of </w:t>
      </w:r>
      <w:r w:rsidR="004E0180" w:rsidRPr="0066655C">
        <w:rPr>
          <w:rFonts w:eastAsia="Times New Roman"/>
          <w:color w:val="000000" w:themeColor="text1"/>
        </w:rPr>
        <w:t xml:space="preserve">the </w:t>
      </w:r>
      <w:r w:rsidRPr="0066655C">
        <w:rPr>
          <w:rFonts w:eastAsia="Times New Roman"/>
          <w:color w:val="000000" w:themeColor="text1"/>
        </w:rPr>
        <w:t xml:space="preserve">waveform (time-series data, i.e., MMR). Therefore, the ideal parameter of </w:t>
      </w:r>
      <w:r w:rsidRPr="0066655C">
        <w:rPr>
          <w:rFonts w:eastAsia="Times New Roman"/>
          <w:i/>
          <w:iCs/>
          <w:color w:val="000000" w:themeColor="text1"/>
        </w:rPr>
        <w:t>k</w:t>
      </w:r>
      <w:r w:rsidRPr="0066655C">
        <w:rPr>
          <w:rFonts w:eastAsia="Times New Roman"/>
          <w:color w:val="000000" w:themeColor="text1"/>
        </w:rPr>
        <w:t xml:space="preserve"> to represent MMR should be infinite (k = </w:t>
      </w:r>
      <w:r w:rsidR="005B26D8" w:rsidRPr="0066655C">
        <w:rPr>
          <w:rFonts w:eastAsia="Times New Roman" w:hint="eastAsia"/>
          <w:color w:val="000000" w:themeColor="text1"/>
        </w:rPr>
        <w:t>∞</w:t>
      </w:r>
      <w:r w:rsidRPr="0066655C">
        <w:rPr>
          <w:rFonts w:eastAsia="Times New Roman"/>
          <w:color w:val="000000" w:themeColor="text1"/>
        </w:rPr>
        <w:t>); however</w:t>
      </w:r>
      <w:r w:rsidR="004E0180" w:rsidRPr="0066655C">
        <w:rPr>
          <w:rFonts w:eastAsia="Times New Roman"/>
          <w:color w:val="000000" w:themeColor="text1"/>
        </w:rPr>
        <w:t>,</w:t>
      </w:r>
      <w:r w:rsidRPr="0066655C">
        <w:rPr>
          <w:rFonts w:eastAsia="Times New Roman"/>
          <w:color w:val="000000" w:themeColor="text1"/>
        </w:rPr>
        <w:t xml:space="preserve"> if infinit</w:t>
      </w:r>
      <w:r w:rsidR="005B26D8" w:rsidRPr="0066655C">
        <w:rPr>
          <w:rFonts w:eastAsia="Times New Roman"/>
          <w:color w:val="000000" w:themeColor="text1"/>
        </w:rPr>
        <w:t>y</w:t>
      </w:r>
      <w:r w:rsidRPr="0066655C">
        <w:rPr>
          <w:rFonts w:eastAsia="Times New Roman"/>
          <w:color w:val="000000" w:themeColor="text1"/>
        </w:rPr>
        <w:t xml:space="preserve"> is selected, the decomposition result</w:t>
      </w:r>
      <w:r w:rsidR="005B26D8" w:rsidRPr="0066655C">
        <w:rPr>
          <w:rFonts w:eastAsia="Times New Roman"/>
          <w:color w:val="000000" w:themeColor="text1"/>
        </w:rPr>
        <w:t>s</w:t>
      </w:r>
      <w:r w:rsidRPr="0066655C">
        <w:rPr>
          <w:rFonts w:eastAsia="Times New Roman"/>
          <w:color w:val="000000" w:themeColor="text1"/>
        </w:rPr>
        <w:t xml:space="preserve"> (</w:t>
      </w:r>
      <w:r w:rsidR="005B26D8" w:rsidRPr="0066655C">
        <w:rPr>
          <w:i/>
          <w:color w:val="000000" w:themeColor="text1"/>
        </w:rPr>
        <w:t>BSS</w:t>
      </w:r>
      <w:r w:rsidR="005B26D8" w:rsidRPr="0066655C">
        <w:rPr>
          <w:i/>
          <w:color w:val="000000" w:themeColor="text1"/>
          <w:vertAlign w:val="subscript"/>
        </w:rPr>
        <w:t>T/k</w:t>
      </w:r>
      <w:r w:rsidRPr="0066655C">
        <w:rPr>
          <w:rFonts w:eastAsia="Times New Roman"/>
          <w:color w:val="000000" w:themeColor="text1"/>
        </w:rPr>
        <w:t xml:space="preserve"> or SOBI) would fall into s</w:t>
      </w:r>
      <w:r w:rsidR="006C3B27" w:rsidRPr="0066655C">
        <w:rPr>
          <w:rFonts w:eastAsia="Times New Roman"/>
          <w:color w:val="000000" w:themeColor="text1"/>
        </w:rPr>
        <w:t>t</w:t>
      </w:r>
      <w:r w:rsidR="005B26D8" w:rsidRPr="0066655C">
        <w:rPr>
          <w:rFonts w:eastAsia="Times New Roman"/>
          <w:color w:val="000000" w:themeColor="text1"/>
        </w:rPr>
        <w:t>rong</w:t>
      </w:r>
      <w:r w:rsidRPr="0066655C">
        <w:rPr>
          <w:rFonts w:eastAsia="Times New Roman"/>
          <w:color w:val="000000" w:themeColor="text1"/>
        </w:rPr>
        <w:t xml:space="preserve"> independen</w:t>
      </w:r>
      <w:r w:rsidR="005B26D8" w:rsidRPr="0066655C">
        <w:rPr>
          <w:rFonts w:eastAsia="Times New Roman"/>
          <w:color w:val="000000" w:themeColor="text1"/>
        </w:rPr>
        <w:t>ce</w:t>
      </w:r>
      <w:r w:rsidRPr="0066655C">
        <w:rPr>
          <w:rFonts w:eastAsia="Times New Roman"/>
          <w:color w:val="000000" w:themeColor="text1"/>
        </w:rPr>
        <w:t xml:space="preserve">, </w:t>
      </w:r>
      <w:r w:rsidR="005B26D8" w:rsidRPr="0066655C">
        <w:rPr>
          <w:rFonts w:eastAsia="Times New Roman"/>
          <w:color w:val="000000" w:themeColor="text1"/>
        </w:rPr>
        <w:t>which</w:t>
      </w:r>
      <w:r w:rsidRPr="0066655C">
        <w:rPr>
          <w:rFonts w:eastAsia="Times New Roman"/>
          <w:color w:val="000000" w:themeColor="text1"/>
        </w:rPr>
        <w:t xml:space="preserve"> is equivalent to ICA (see introduction). </w:t>
      </w:r>
      <w:r w:rsidR="004E0180" w:rsidRPr="0066655C">
        <w:rPr>
          <w:rFonts w:eastAsia="Times New Roman"/>
          <w:color w:val="000000" w:themeColor="text1"/>
        </w:rPr>
        <w:t xml:space="preserve">The number of </w:t>
      </w:r>
      <w:r w:rsidRPr="0066655C">
        <w:rPr>
          <w:rFonts w:eastAsia="Times New Roman"/>
          <w:color w:val="000000" w:themeColor="text1"/>
        </w:rPr>
        <w:t>harmonics (</w:t>
      </w:r>
      <w:r w:rsidRPr="0066655C">
        <w:rPr>
          <w:rFonts w:eastAsia="Times New Roman"/>
          <w:i/>
          <w:iCs/>
          <w:color w:val="000000" w:themeColor="text1"/>
        </w:rPr>
        <w:t>k</w:t>
      </w:r>
      <w:r w:rsidRPr="0066655C">
        <w:rPr>
          <w:rFonts w:eastAsia="Times New Roman"/>
          <w:color w:val="000000" w:themeColor="text1"/>
        </w:rPr>
        <w:t>) we should take</w:t>
      </w:r>
      <w:r w:rsidR="004E0180" w:rsidRPr="0066655C">
        <w:rPr>
          <w:rFonts w:eastAsia="Times New Roman"/>
          <w:color w:val="000000" w:themeColor="text1"/>
        </w:rPr>
        <w:t xml:space="preserve"> can be arbitrary; </w:t>
      </w:r>
      <w:r w:rsidRPr="0066655C">
        <w:rPr>
          <w:rFonts w:eastAsia="Times New Roman"/>
          <w:color w:val="000000" w:themeColor="text1"/>
        </w:rPr>
        <w:t>however</w:t>
      </w:r>
      <w:r w:rsidR="004E0180" w:rsidRPr="0066655C">
        <w:rPr>
          <w:rFonts w:eastAsia="Times New Roman"/>
          <w:color w:val="000000" w:themeColor="text1"/>
        </w:rPr>
        <w:t>,</w:t>
      </w:r>
      <w:r w:rsidRPr="0066655C">
        <w:rPr>
          <w:rFonts w:eastAsia="Times New Roman"/>
          <w:color w:val="000000" w:themeColor="text1"/>
        </w:rPr>
        <w:t xml:space="preserve"> it can </w:t>
      </w:r>
      <w:r w:rsidR="005B26D8" w:rsidRPr="0066655C">
        <w:rPr>
          <w:rFonts w:eastAsia="Times New Roman"/>
          <w:color w:val="000000" w:themeColor="text1"/>
        </w:rPr>
        <w:t>reasonably</w:t>
      </w:r>
      <w:r w:rsidRPr="0066655C">
        <w:rPr>
          <w:rFonts w:eastAsia="Times New Roman"/>
          <w:color w:val="000000" w:themeColor="text1"/>
        </w:rPr>
        <w:t xml:space="preserve"> be determined in the context of noise. </w:t>
      </w:r>
      <w:r w:rsidR="006C3B27" w:rsidRPr="0066655C">
        <w:rPr>
          <w:rFonts w:eastAsia="Times New Roman"/>
          <w:color w:val="000000" w:themeColor="text1"/>
        </w:rPr>
        <w:t xml:space="preserve">This </w:t>
      </w:r>
      <w:r w:rsidRPr="0066655C">
        <w:rPr>
          <w:rFonts w:eastAsia="Times New Roman"/>
          <w:color w:val="000000" w:themeColor="text1"/>
        </w:rPr>
        <w:t>ha</w:t>
      </w:r>
      <w:r w:rsidR="004E0180" w:rsidRPr="0066655C">
        <w:rPr>
          <w:rFonts w:eastAsia="Times New Roman"/>
          <w:color w:val="000000" w:themeColor="text1"/>
        </w:rPr>
        <w:t>s</w:t>
      </w:r>
      <w:r w:rsidRPr="0066655C">
        <w:rPr>
          <w:rFonts w:eastAsia="Times New Roman"/>
          <w:color w:val="000000" w:themeColor="text1"/>
        </w:rPr>
        <w:t xml:space="preserve"> been shown in </w:t>
      </w:r>
      <w:r w:rsidR="004E0180" w:rsidRPr="0066655C">
        <w:rPr>
          <w:rFonts w:eastAsia="Times New Roman"/>
          <w:color w:val="000000" w:themeColor="text1"/>
        </w:rPr>
        <w:t xml:space="preserve">a </w:t>
      </w:r>
      <w:r w:rsidRPr="0066655C">
        <w:rPr>
          <w:rFonts w:eastAsia="Times New Roman"/>
          <w:color w:val="000000" w:themeColor="text1"/>
        </w:rPr>
        <w:t>previous paper (Kishida</w:t>
      </w:r>
      <w:r w:rsidR="005B26D8" w:rsidRPr="0066655C">
        <w:rPr>
          <w:rFonts w:eastAsia="Times New Roman"/>
          <w:color w:val="000000" w:themeColor="text1"/>
        </w:rPr>
        <w:t xml:space="preserve"> K. Phys Rev E Stat </w:t>
      </w:r>
      <w:proofErr w:type="spellStart"/>
      <w:r w:rsidR="005B26D8" w:rsidRPr="0066655C">
        <w:rPr>
          <w:rFonts w:eastAsia="Times New Roman"/>
          <w:color w:val="000000" w:themeColor="text1"/>
        </w:rPr>
        <w:t>Nonlin</w:t>
      </w:r>
      <w:proofErr w:type="spellEnd"/>
      <w:r w:rsidR="005B26D8" w:rsidRPr="0066655C">
        <w:rPr>
          <w:rFonts w:eastAsia="Times New Roman"/>
          <w:color w:val="000000" w:themeColor="text1"/>
        </w:rPr>
        <w:t xml:space="preserve"> Soft Matter Phys, 2009</w:t>
      </w:r>
      <w:r w:rsidRPr="0066655C">
        <w:rPr>
          <w:rFonts w:eastAsia="Times New Roman"/>
          <w:color w:val="000000" w:themeColor="text1"/>
        </w:rPr>
        <w:t xml:space="preserve">). </w:t>
      </w:r>
    </w:p>
    <w:p w14:paraId="742BD3C8" w14:textId="04DEC344" w:rsidR="007A4A2F" w:rsidRPr="0066655C" w:rsidRDefault="007A4A2F" w:rsidP="0018509B">
      <w:pPr>
        <w:spacing w:line="480" w:lineRule="auto"/>
        <w:ind w:firstLine="357"/>
        <w:rPr>
          <w:rFonts w:eastAsia="Times New Roman"/>
          <w:color w:val="000000" w:themeColor="text1"/>
        </w:rPr>
      </w:pPr>
      <w:r w:rsidRPr="0066655C">
        <w:rPr>
          <w:rFonts w:eastAsia="Times New Roman"/>
          <w:color w:val="000000" w:themeColor="text1"/>
        </w:rPr>
        <w:t xml:space="preserve">We used data from </w:t>
      </w:r>
      <w:r w:rsidR="004E3D9A" w:rsidRPr="0066655C">
        <w:rPr>
          <w:rFonts w:eastAsia="Times New Roman"/>
          <w:color w:val="000000" w:themeColor="text1"/>
        </w:rPr>
        <w:t xml:space="preserve">a </w:t>
      </w:r>
      <w:r w:rsidRPr="0066655C">
        <w:rPr>
          <w:rFonts w:eastAsia="Times New Roman"/>
          <w:color w:val="000000" w:themeColor="text1"/>
        </w:rPr>
        <w:t>representative subject (Subject 2). The MMR difference waveform, which was calculated by subtracting the averaged deviant ERFs from the averaged standard ERF</w:t>
      </w:r>
      <w:r w:rsidR="005B26D8" w:rsidRPr="0066655C">
        <w:rPr>
          <w:rFonts w:eastAsia="Times New Roman"/>
          <w:color w:val="000000" w:themeColor="text1"/>
        </w:rPr>
        <w:t>,</w:t>
      </w:r>
      <w:r w:rsidRPr="0066655C">
        <w:rPr>
          <w:rFonts w:eastAsia="Times New Roman"/>
          <w:color w:val="000000" w:themeColor="text1"/>
        </w:rPr>
        <w:t xml:space="preserve"> w</w:t>
      </w:r>
      <w:r w:rsidR="005B26D8" w:rsidRPr="0066655C">
        <w:rPr>
          <w:rFonts w:eastAsia="Times New Roman"/>
          <w:color w:val="000000" w:themeColor="text1"/>
        </w:rPr>
        <w:t>as</w:t>
      </w:r>
      <w:r w:rsidRPr="0066655C">
        <w:rPr>
          <w:rFonts w:eastAsia="Times New Roman"/>
          <w:color w:val="000000" w:themeColor="text1"/>
        </w:rPr>
        <w:t xml:space="preserve"> used with its 500</w:t>
      </w:r>
      <w:r w:rsidR="004E3D9A" w:rsidRPr="0066655C">
        <w:rPr>
          <w:rFonts w:eastAsia="Times New Roman"/>
          <w:color w:val="000000" w:themeColor="text1"/>
        </w:rPr>
        <w:t>-</w:t>
      </w:r>
      <w:r w:rsidRPr="0066655C">
        <w:rPr>
          <w:rFonts w:eastAsia="Times New Roman"/>
          <w:color w:val="000000" w:themeColor="text1"/>
        </w:rPr>
        <w:t>ms duration (0</w:t>
      </w:r>
      <w:r w:rsidR="006C3B27" w:rsidRPr="0066655C">
        <w:rPr>
          <w:rFonts w:eastAsia="Times New Roman"/>
          <w:color w:val="000000" w:themeColor="text1"/>
        </w:rPr>
        <w:t>–</w:t>
      </w:r>
      <w:r w:rsidRPr="0066655C">
        <w:rPr>
          <w:rFonts w:eastAsia="Times New Roman"/>
          <w:color w:val="000000" w:themeColor="text1"/>
        </w:rPr>
        <w:t xml:space="preserve">500 </w:t>
      </w:r>
      <w:proofErr w:type="spellStart"/>
      <w:r w:rsidRPr="0066655C">
        <w:rPr>
          <w:rFonts w:eastAsia="Times New Roman"/>
          <w:color w:val="000000" w:themeColor="text1"/>
        </w:rPr>
        <w:t>ms</w:t>
      </w:r>
      <w:proofErr w:type="spellEnd"/>
      <w:r w:rsidRPr="0066655C">
        <w:rPr>
          <w:rFonts w:eastAsia="Times New Roman"/>
          <w:color w:val="000000" w:themeColor="text1"/>
        </w:rPr>
        <w:t xml:space="preserve">), </w:t>
      </w:r>
      <w:r w:rsidR="004E3D9A" w:rsidRPr="0066655C">
        <w:rPr>
          <w:rFonts w:eastAsia="Times New Roman"/>
          <w:color w:val="000000" w:themeColor="text1"/>
        </w:rPr>
        <w:t xml:space="preserve">which </w:t>
      </w:r>
      <w:r w:rsidR="005B26D8" w:rsidRPr="0066655C">
        <w:rPr>
          <w:rFonts w:eastAsia="Times New Roman"/>
          <w:color w:val="000000" w:themeColor="text1"/>
        </w:rPr>
        <w:t>correspond</w:t>
      </w:r>
      <w:r w:rsidR="004E3D9A" w:rsidRPr="0066655C">
        <w:rPr>
          <w:rFonts w:eastAsia="Times New Roman"/>
          <w:color w:val="000000" w:themeColor="text1"/>
        </w:rPr>
        <w:t>ed</w:t>
      </w:r>
      <w:r w:rsidR="005B26D8" w:rsidRPr="0066655C">
        <w:rPr>
          <w:rFonts w:eastAsia="Times New Roman"/>
          <w:color w:val="000000" w:themeColor="text1"/>
        </w:rPr>
        <w:t xml:space="preserve"> to</w:t>
      </w:r>
      <w:r w:rsidRPr="0066655C">
        <w:rPr>
          <w:rFonts w:eastAsia="Times New Roman"/>
          <w:color w:val="000000" w:themeColor="text1"/>
        </w:rPr>
        <w:t xml:space="preserve"> </w:t>
      </w:r>
      <w:r w:rsidR="005B26D8" w:rsidRPr="0066655C">
        <w:rPr>
          <w:rFonts w:eastAsia="Times New Roman"/>
          <w:color w:val="000000" w:themeColor="text1"/>
        </w:rPr>
        <w:t xml:space="preserve">a </w:t>
      </w:r>
      <w:r w:rsidR="004E3D9A" w:rsidRPr="0066655C">
        <w:rPr>
          <w:rFonts w:eastAsia="Times New Roman"/>
          <w:color w:val="000000" w:themeColor="text1"/>
        </w:rPr>
        <w:t xml:space="preserve">rate of </w:t>
      </w:r>
      <w:r w:rsidRPr="0066655C">
        <w:rPr>
          <w:rFonts w:eastAsia="Times New Roman"/>
          <w:color w:val="000000" w:themeColor="text1"/>
        </w:rPr>
        <w:t xml:space="preserve">2-Hz. The representative sensor from </w:t>
      </w:r>
      <w:r w:rsidR="005B26D8" w:rsidRPr="0066655C">
        <w:rPr>
          <w:rFonts w:eastAsia="Times New Roman"/>
          <w:color w:val="000000" w:themeColor="text1"/>
        </w:rPr>
        <w:t xml:space="preserve">the </w:t>
      </w:r>
      <w:r w:rsidRPr="0066655C">
        <w:rPr>
          <w:rFonts w:eastAsia="Times New Roman"/>
          <w:color w:val="000000" w:themeColor="text1"/>
        </w:rPr>
        <w:t xml:space="preserve">right temporal region (MEG1442) </w:t>
      </w:r>
      <w:r w:rsidR="004E3D9A" w:rsidRPr="0066655C">
        <w:rPr>
          <w:rFonts w:eastAsia="Times New Roman"/>
          <w:color w:val="000000" w:themeColor="text1"/>
        </w:rPr>
        <w:t xml:space="preserve">was </w:t>
      </w:r>
      <w:r w:rsidRPr="0066655C">
        <w:rPr>
          <w:rFonts w:eastAsia="Times New Roman"/>
          <w:color w:val="000000" w:themeColor="text1"/>
        </w:rPr>
        <w:t>obtained from the MMR difference waveform (see Fig.</w:t>
      </w:r>
      <w:r w:rsidR="004E3D9A" w:rsidRPr="0066655C">
        <w:rPr>
          <w:rFonts w:eastAsia="Times New Roman"/>
          <w:color w:val="000000" w:themeColor="text1"/>
        </w:rPr>
        <w:t xml:space="preserve"> </w:t>
      </w:r>
      <w:r w:rsidRPr="0066655C">
        <w:rPr>
          <w:rFonts w:eastAsia="Times New Roman"/>
          <w:color w:val="000000" w:themeColor="text1"/>
        </w:rPr>
        <w:t xml:space="preserve">5A). </w:t>
      </w:r>
      <w:r w:rsidR="004E3D9A" w:rsidRPr="0066655C">
        <w:rPr>
          <w:rFonts w:eastAsia="Times New Roman"/>
          <w:color w:val="000000" w:themeColor="text1"/>
        </w:rPr>
        <w:t xml:space="preserve">Because </w:t>
      </w:r>
      <w:r w:rsidRPr="0066655C">
        <w:rPr>
          <w:rFonts w:eastAsia="Times New Roman"/>
          <w:color w:val="000000" w:themeColor="text1"/>
        </w:rPr>
        <w:t xml:space="preserve">the duration of 500 </w:t>
      </w:r>
      <w:proofErr w:type="spellStart"/>
      <w:r w:rsidRPr="0066655C">
        <w:rPr>
          <w:rFonts w:eastAsia="Times New Roman"/>
          <w:color w:val="000000" w:themeColor="text1"/>
        </w:rPr>
        <w:t>ms</w:t>
      </w:r>
      <w:proofErr w:type="spellEnd"/>
      <w:r w:rsidRPr="0066655C">
        <w:rPr>
          <w:rFonts w:eastAsia="Times New Roman"/>
          <w:color w:val="000000" w:themeColor="text1"/>
        </w:rPr>
        <w:t xml:space="preserve"> </w:t>
      </w:r>
      <w:r w:rsidR="004E3D9A" w:rsidRPr="0066655C">
        <w:rPr>
          <w:rFonts w:eastAsia="Times New Roman"/>
          <w:color w:val="000000" w:themeColor="text1"/>
        </w:rPr>
        <w:t xml:space="preserve">was </w:t>
      </w:r>
      <w:r w:rsidRPr="0066655C">
        <w:rPr>
          <w:rFonts w:eastAsia="Times New Roman"/>
          <w:color w:val="000000" w:themeColor="text1"/>
        </w:rPr>
        <w:t xml:space="preserve">too short to obtain </w:t>
      </w:r>
      <w:r w:rsidR="004E3D9A" w:rsidRPr="0066655C">
        <w:rPr>
          <w:rFonts w:eastAsia="Times New Roman"/>
          <w:color w:val="000000" w:themeColor="text1"/>
        </w:rPr>
        <w:t xml:space="preserve">the </w:t>
      </w:r>
      <w:r w:rsidRPr="0066655C">
        <w:rPr>
          <w:rFonts w:eastAsia="Times New Roman"/>
          <w:color w:val="000000" w:themeColor="text1"/>
        </w:rPr>
        <w:t xml:space="preserve">PSD, </w:t>
      </w:r>
      <w:r w:rsidR="004E3D9A" w:rsidRPr="0066655C">
        <w:rPr>
          <w:rFonts w:eastAsia="Times New Roman"/>
          <w:color w:val="000000" w:themeColor="text1"/>
        </w:rPr>
        <w:t xml:space="preserve">we </w:t>
      </w:r>
      <w:r w:rsidRPr="0066655C">
        <w:rPr>
          <w:rFonts w:eastAsia="Times New Roman"/>
          <w:color w:val="000000" w:themeColor="text1"/>
        </w:rPr>
        <w:t xml:space="preserve">elongated </w:t>
      </w:r>
      <w:r w:rsidR="004E3D9A" w:rsidRPr="0066655C">
        <w:rPr>
          <w:rFonts w:eastAsia="Times New Roman"/>
          <w:color w:val="000000" w:themeColor="text1"/>
        </w:rPr>
        <w:t xml:space="preserve">using </w:t>
      </w:r>
      <w:r w:rsidR="005B26D8" w:rsidRPr="0066655C">
        <w:rPr>
          <w:rFonts w:eastAsia="Times New Roman"/>
          <w:color w:val="000000" w:themeColor="text1"/>
        </w:rPr>
        <w:t xml:space="preserve">concatenation to form 512 s </w:t>
      </w:r>
      <w:r w:rsidR="004E3D9A" w:rsidRPr="0066655C">
        <w:rPr>
          <w:rFonts w:eastAsia="Times New Roman"/>
          <w:color w:val="000000" w:themeColor="text1"/>
        </w:rPr>
        <w:t xml:space="preserve">of </w:t>
      </w:r>
      <w:r w:rsidR="005B26D8" w:rsidRPr="0066655C">
        <w:rPr>
          <w:rFonts w:eastAsia="Times New Roman"/>
          <w:color w:val="000000" w:themeColor="text1"/>
        </w:rPr>
        <w:t>data. Then</w:t>
      </w:r>
      <w:r w:rsidR="004E3D9A" w:rsidRPr="0066655C">
        <w:rPr>
          <w:rFonts w:eastAsia="Times New Roman"/>
          <w:color w:val="000000" w:themeColor="text1"/>
        </w:rPr>
        <w:t>,</w:t>
      </w:r>
      <w:r w:rsidR="005B26D8" w:rsidRPr="0066655C">
        <w:rPr>
          <w:rFonts w:eastAsia="Times New Roman"/>
          <w:color w:val="000000" w:themeColor="text1"/>
        </w:rPr>
        <w:t xml:space="preserve"> brain noises from one occipital</w:t>
      </w:r>
      <w:r w:rsidR="006C3B27" w:rsidRPr="0066655C">
        <w:rPr>
          <w:rFonts w:eastAsia="Times New Roman"/>
          <w:color w:val="000000" w:themeColor="text1"/>
        </w:rPr>
        <w:t xml:space="preserve"> sensor</w:t>
      </w:r>
      <w:r w:rsidR="005B26D8" w:rsidRPr="0066655C">
        <w:rPr>
          <w:rFonts w:eastAsia="Times New Roman"/>
          <w:color w:val="000000" w:themeColor="text1"/>
        </w:rPr>
        <w:t xml:space="preserve"> (MEG2142) were added to the data. Finally, we obtained </w:t>
      </w:r>
      <w:r w:rsidR="004E3D9A" w:rsidRPr="0066655C">
        <w:rPr>
          <w:rFonts w:eastAsia="Times New Roman"/>
          <w:color w:val="000000" w:themeColor="text1"/>
        </w:rPr>
        <w:t xml:space="preserve">the </w:t>
      </w:r>
      <w:r w:rsidR="005B26D8" w:rsidRPr="0066655C">
        <w:rPr>
          <w:rFonts w:eastAsia="Times New Roman"/>
          <w:color w:val="000000" w:themeColor="text1"/>
        </w:rPr>
        <w:t>PSD of noise-contained repetitive MMR data</w:t>
      </w:r>
      <w:r w:rsidR="004E3D9A" w:rsidRPr="0066655C">
        <w:rPr>
          <w:rFonts w:eastAsia="Times New Roman"/>
          <w:color w:val="000000" w:themeColor="text1"/>
        </w:rPr>
        <w:t>,</w:t>
      </w:r>
      <w:r w:rsidR="005B26D8" w:rsidRPr="0066655C">
        <w:rPr>
          <w:rFonts w:eastAsia="Times New Roman"/>
          <w:color w:val="000000" w:themeColor="text1"/>
        </w:rPr>
        <w:t xml:space="preserve"> which ideally</w:t>
      </w:r>
      <w:r w:rsidRPr="0066655C">
        <w:rPr>
          <w:rFonts w:eastAsia="Times New Roman"/>
          <w:color w:val="000000" w:themeColor="text1"/>
        </w:rPr>
        <w:t xml:space="preserve"> represent</w:t>
      </w:r>
      <w:r w:rsidR="004E3D9A" w:rsidRPr="0066655C">
        <w:rPr>
          <w:rFonts w:eastAsia="Times New Roman"/>
          <w:color w:val="000000" w:themeColor="text1"/>
        </w:rPr>
        <w:t>ed the</w:t>
      </w:r>
      <w:r w:rsidRPr="0066655C">
        <w:rPr>
          <w:rFonts w:eastAsia="Times New Roman"/>
          <w:color w:val="000000" w:themeColor="text1"/>
        </w:rPr>
        <w:t> </w:t>
      </w:r>
      <w:r w:rsidR="00A74087" w:rsidRPr="0066655C">
        <w:rPr>
          <w:rFonts w:eastAsia="Times New Roman"/>
          <w:color w:val="000000" w:themeColor="text1"/>
        </w:rPr>
        <w:t>characteristics</w:t>
      </w:r>
      <w:r w:rsidRPr="0066655C">
        <w:rPr>
          <w:rFonts w:eastAsia="Times New Roman"/>
          <w:color w:val="000000" w:themeColor="text1"/>
        </w:rPr>
        <w:t xml:space="preserve"> of </w:t>
      </w:r>
      <w:r w:rsidR="004E3D9A" w:rsidRPr="0066655C">
        <w:rPr>
          <w:rFonts w:eastAsia="Times New Roman"/>
          <w:color w:val="000000" w:themeColor="text1"/>
        </w:rPr>
        <w:t xml:space="preserve">the </w:t>
      </w:r>
      <w:r w:rsidRPr="0066655C">
        <w:rPr>
          <w:rFonts w:eastAsia="Times New Roman"/>
          <w:color w:val="000000" w:themeColor="text1"/>
        </w:rPr>
        <w:lastRenderedPageBreak/>
        <w:t xml:space="preserve">MMR in </w:t>
      </w:r>
      <w:r w:rsidR="005B26D8" w:rsidRPr="0066655C">
        <w:rPr>
          <w:rFonts w:eastAsia="Times New Roman"/>
          <w:color w:val="000000" w:themeColor="text1"/>
        </w:rPr>
        <w:t>the frequency domain</w:t>
      </w:r>
      <w:r w:rsidRPr="0066655C">
        <w:rPr>
          <w:rFonts w:eastAsia="Times New Roman"/>
          <w:color w:val="000000" w:themeColor="text1"/>
        </w:rPr>
        <w:t xml:space="preserve">. </w:t>
      </w:r>
      <w:r w:rsidR="00813CE9" w:rsidRPr="0066655C">
        <w:rPr>
          <w:rFonts w:eastAsia="Times New Roman"/>
          <w:color w:val="000000" w:themeColor="text1"/>
        </w:rPr>
        <w:t>Supplementary Fig. 2</w:t>
      </w:r>
      <w:r w:rsidRPr="0066655C">
        <w:rPr>
          <w:rFonts w:eastAsia="Times New Roman"/>
          <w:color w:val="000000" w:themeColor="text1"/>
        </w:rPr>
        <w:t xml:space="preserve"> shows the fundamental </w:t>
      </w:r>
      <w:r w:rsidR="00813CE9" w:rsidRPr="0066655C">
        <w:rPr>
          <w:rFonts w:eastAsia="Times New Roman"/>
          <w:color w:val="000000" w:themeColor="text1"/>
        </w:rPr>
        <w:t xml:space="preserve">frequency </w:t>
      </w:r>
      <w:r w:rsidRPr="0066655C">
        <w:rPr>
          <w:rFonts w:eastAsia="Times New Roman"/>
          <w:color w:val="000000" w:themeColor="text1"/>
        </w:rPr>
        <w:t>and its harmonics in 2 Hz interval</w:t>
      </w:r>
      <w:r w:rsidR="004E3D9A" w:rsidRPr="0066655C">
        <w:rPr>
          <w:rFonts w:eastAsia="Times New Roman"/>
          <w:color w:val="000000" w:themeColor="text1"/>
        </w:rPr>
        <w:t>s</w:t>
      </w:r>
      <w:r w:rsidRPr="0066655C">
        <w:rPr>
          <w:rFonts w:eastAsia="Times New Roman"/>
          <w:color w:val="000000" w:themeColor="text1"/>
        </w:rPr>
        <w:t xml:space="preserve"> in </w:t>
      </w:r>
      <w:r w:rsidR="004E3D9A" w:rsidRPr="0066655C">
        <w:rPr>
          <w:rFonts w:eastAsia="Times New Roman"/>
          <w:color w:val="000000" w:themeColor="text1"/>
        </w:rPr>
        <w:t xml:space="preserve">a </w:t>
      </w:r>
      <w:r w:rsidRPr="0066655C">
        <w:rPr>
          <w:rFonts w:eastAsia="Times New Roman"/>
          <w:color w:val="000000" w:themeColor="text1"/>
        </w:rPr>
        <w:t>mixture of brain noise with 1/f and an alpha peak. Th</w:t>
      </w:r>
      <w:r w:rsidR="00813CE9" w:rsidRPr="0066655C">
        <w:rPr>
          <w:rFonts w:eastAsia="Times New Roman"/>
          <w:color w:val="000000" w:themeColor="text1"/>
        </w:rPr>
        <w:t>is</w:t>
      </w:r>
      <w:r w:rsidRPr="0066655C">
        <w:rPr>
          <w:rFonts w:eastAsia="Times New Roman"/>
          <w:color w:val="000000" w:themeColor="text1"/>
        </w:rPr>
        <w:t xml:space="preserve"> data-driven approach </w:t>
      </w:r>
      <w:r w:rsidR="00813CE9" w:rsidRPr="0066655C">
        <w:rPr>
          <w:rFonts w:eastAsia="Times New Roman"/>
          <w:color w:val="000000" w:themeColor="text1"/>
        </w:rPr>
        <w:t>reasonably</w:t>
      </w:r>
      <w:r w:rsidRPr="0066655C">
        <w:rPr>
          <w:rFonts w:eastAsia="Times New Roman"/>
          <w:color w:val="000000" w:themeColor="text1"/>
        </w:rPr>
        <w:t xml:space="preserve"> signif</w:t>
      </w:r>
      <w:r w:rsidR="004E3D9A" w:rsidRPr="0066655C">
        <w:rPr>
          <w:rFonts w:eastAsia="Times New Roman"/>
          <w:color w:val="000000" w:themeColor="text1"/>
        </w:rPr>
        <w:t>ied</w:t>
      </w:r>
      <w:r w:rsidRPr="0066655C">
        <w:rPr>
          <w:rFonts w:eastAsia="Times New Roman"/>
          <w:color w:val="000000" w:themeColor="text1"/>
        </w:rPr>
        <w:t xml:space="preserve"> 16 Hz (</w:t>
      </w:r>
      <w:r w:rsidRPr="0066655C">
        <w:rPr>
          <w:rFonts w:eastAsia="Times New Roman"/>
          <w:i/>
          <w:iCs/>
          <w:color w:val="000000" w:themeColor="text1"/>
        </w:rPr>
        <w:t>k</w:t>
      </w:r>
      <w:r w:rsidRPr="0066655C">
        <w:rPr>
          <w:rFonts w:eastAsia="Times New Roman"/>
          <w:color w:val="000000" w:themeColor="text1"/>
        </w:rPr>
        <w:t xml:space="preserve"> =</w:t>
      </w:r>
      <w:r w:rsidR="006C3B27" w:rsidRPr="0066655C">
        <w:rPr>
          <w:rFonts w:eastAsia="Times New Roman"/>
          <w:color w:val="000000" w:themeColor="text1"/>
        </w:rPr>
        <w:t xml:space="preserve"> </w:t>
      </w:r>
      <w:r w:rsidRPr="0066655C">
        <w:rPr>
          <w:rFonts w:eastAsia="Times New Roman"/>
          <w:color w:val="000000" w:themeColor="text1"/>
        </w:rPr>
        <w:t xml:space="preserve">8) </w:t>
      </w:r>
      <w:r w:rsidR="004E3D9A" w:rsidRPr="0066655C">
        <w:rPr>
          <w:rFonts w:eastAsia="Times New Roman"/>
          <w:color w:val="000000" w:themeColor="text1"/>
        </w:rPr>
        <w:t xml:space="preserve">as effective in </w:t>
      </w:r>
      <w:r w:rsidRPr="0066655C">
        <w:rPr>
          <w:rFonts w:eastAsia="Times New Roman"/>
          <w:color w:val="000000" w:themeColor="text1"/>
        </w:rPr>
        <w:t>cover</w:t>
      </w:r>
      <w:r w:rsidR="004E3D9A" w:rsidRPr="0066655C">
        <w:rPr>
          <w:rFonts w:eastAsia="Times New Roman"/>
          <w:color w:val="000000" w:themeColor="text1"/>
        </w:rPr>
        <w:t>ing</w:t>
      </w:r>
      <w:r w:rsidRPr="0066655C">
        <w:rPr>
          <w:rFonts w:eastAsia="Times New Roman"/>
          <w:color w:val="000000" w:themeColor="text1"/>
        </w:rPr>
        <w:t xml:space="preserve"> the harmonics above noise.</w:t>
      </w:r>
    </w:p>
    <w:p w14:paraId="4CC4EC58" w14:textId="77777777" w:rsidR="007A4A2F" w:rsidRPr="0066655C" w:rsidRDefault="007A4A2F" w:rsidP="00F02D31">
      <w:pPr>
        <w:autoSpaceDE w:val="0"/>
        <w:autoSpaceDN w:val="0"/>
        <w:adjustRightInd w:val="0"/>
        <w:spacing w:after="240" w:line="480" w:lineRule="auto"/>
        <w:rPr>
          <w:b/>
          <w:color w:val="000000" w:themeColor="text1"/>
        </w:rPr>
      </w:pPr>
    </w:p>
    <w:p w14:paraId="1A462913" w14:textId="46EA18B9" w:rsidR="008974F3" w:rsidRPr="0066655C" w:rsidRDefault="008974F3" w:rsidP="00F02D31">
      <w:pPr>
        <w:autoSpaceDE w:val="0"/>
        <w:autoSpaceDN w:val="0"/>
        <w:adjustRightInd w:val="0"/>
        <w:spacing w:after="240" w:line="480" w:lineRule="auto"/>
        <w:rPr>
          <w:b/>
          <w:color w:val="000000" w:themeColor="text1"/>
        </w:rPr>
      </w:pPr>
      <w:r w:rsidRPr="0066655C">
        <w:rPr>
          <w:b/>
          <w:color w:val="000000" w:themeColor="text1"/>
        </w:rPr>
        <w:t>(2) Validity of the weighted approach</w:t>
      </w:r>
    </w:p>
    <w:p w14:paraId="7D9FA360" w14:textId="1C8277C0" w:rsidR="008974F3" w:rsidRPr="0066655C" w:rsidRDefault="00145CA7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  <w:r w:rsidRPr="00866F8A">
        <w:rPr>
          <w:color w:val="000000" w:themeColor="text1"/>
        </w:rPr>
        <w:t xml:space="preserve">To investigate the validity of the weighted approach, </w:t>
      </w:r>
      <w:r w:rsidR="00555BD2" w:rsidRPr="00866F8A">
        <w:rPr>
          <w:color w:val="000000" w:themeColor="text1"/>
        </w:rPr>
        <w:t xml:space="preserve">two </w:t>
      </w:r>
      <w:r w:rsidRPr="00866F8A">
        <w:rPr>
          <w:color w:val="000000" w:themeColor="text1"/>
        </w:rPr>
        <w:t>further analys</w:t>
      </w:r>
      <w:r w:rsidR="00555BD2" w:rsidRPr="00866F8A">
        <w:rPr>
          <w:color w:val="000000" w:themeColor="text1"/>
        </w:rPr>
        <w:t>e</w:t>
      </w:r>
      <w:r w:rsidRPr="00866F8A">
        <w:rPr>
          <w:color w:val="000000" w:themeColor="text1"/>
        </w:rPr>
        <w:t>s were conducted</w:t>
      </w:r>
      <w:r w:rsidR="008974F3" w:rsidRPr="0066655C">
        <w:rPr>
          <w:color w:val="000000" w:themeColor="text1"/>
        </w:rPr>
        <w:t xml:space="preserve">; </w:t>
      </w:r>
      <w:proofErr w:type="spellStart"/>
      <w:r w:rsidR="008974F3" w:rsidRPr="0066655C">
        <w:rPr>
          <w:color w:val="000000" w:themeColor="text1"/>
        </w:rPr>
        <w:t>i</w:t>
      </w:r>
      <w:proofErr w:type="spellEnd"/>
      <w:r w:rsidR="008974F3" w:rsidRPr="0066655C">
        <w:rPr>
          <w:color w:val="000000" w:themeColor="text1"/>
        </w:rPr>
        <w:t>)</w:t>
      </w:r>
      <w:r w:rsidRPr="0066655C">
        <w:rPr>
          <w:color w:val="000000" w:themeColor="text1"/>
        </w:rPr>
        <w:t xml:space="preserve"> </w:t>
      </w:r>
      <w:r w:rsidRPr="00866F8A">
        <w:rPr>
          <w:color w:val="000000" w:themeColor="text1"/>
        </w:rPr>
        <w:t xml:space="preserve">using </w:t>
      </w:r>
      <w:r w:rsidR="004D24B8" w:rsidRPr="0066655C">
        <w:rPr>
          <w:color w:val="000000" w:themeColor="text1"/>
        </w:rPr>
        <w:t xml:space="preserve">weighted </w:t>
      </w:r>
      <w:r w:rsidRPr="00866F8A">
        <w:rPr>
          <w:color w:val="000000" w:themeColor="text1"/>
        </w:rPr>
        <w:t>standard epochs</w:t>
      </w:r>
      <w:r w:rsidR="008974F3" w:rsidRPr="00866F8A">
        <w:rPr>
          <w:color w:val="000000" w:themeColor="text1"/>
        </w:rPr>
        <w:t xml:space="preserve"> from one random subject,</w:t>
      </w:r>
      <w:r w:rsidR="003E588A" w:rsidRPr="0066655C">
        <w:rPr>
          <w:color w:val="000000" w:themeColor="text1"/>
        </w:rPr>
        <w:t xml:space="preserve"> and</w:t>
      </w:r>
      <w:r w:rsidR="008974F3" w:rsidRPr="0066655C">
        <w:rPr>
          <w:color w:val="000000" w:themeColor="text1"/>
        </w:rPr>
        <w:t xml:space="preserve"> ii) using a new cohort from two subjects previously excluded </w:t>
      </w:r>
      <w:r w:rsidR="004E3D9A" w:rsidRPr="0066655C">
        <w:rPr>
          <w:color w:val="000000" w:themeColor="text1"/>
        </w:rPr>
        <w:t xml:space="preserve">because of </w:t>
      </w:r>
      <w:r w:rsidR="008974F3" w:rsidRPr="0066655C">
        <w:rPr>
          <w:color w:val="000000" w:themeColor="text1"/>
        </w:rPr>
        <w:t>low SNR</w:t>
      </w:r>
      <w:r w:rsidRPr="0066655C">
        <w:rPr>
          <w:color w:val="000000" w:themeColor="text1"/>
        </w:rPr>
        <w:t xml:space="preserve">. </w:t>
      </w:r>
    </w:p>
    <w:p w14:paraId="137144B3" w14:textId="77777777" w:rsidR="00F555BF" w:rsidRPr="00866F8A" w:rsidRDefault="00F555BF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</w:p>
    <w:p w14:paraId="51D0ED22" w14:textId="154C4853" w:rsidR="004D24B8" w:rsidRPr="0066655C" w:rsidRDefault="004D24B8" w:rsidP="0018509B">
      <w:pPr>
        <w:autoSpaceDE w:val="0"/>
        <w:autoSpaceDN w:val="0"/>
        <w:adjustRightInd w:val="0"/>
        <w:spacing w:after="240" w:line="480" w:lineRule="auto"/>
        <w:rPr>
          <w:b/>
          <w:bCs/>
          <w:color w:val="000000" w:themeColor="text1"/>
        </w:rPr>
      </w:pPr>
      <w:r w:rsidRPr="0066655C">
        <w:rPr>
          <w:b/>
          <w:bCs/>
          <w:color w:val="000000" w:themeColor="text1"/>
        </w:rPr>
        <w:t>(2-1) Weighted standard epochs</w:t>
      </w:r>
    </w:p>
    <w:p w14:paraId="6ACBF609" w14:textId="3CE71E79" w:rsidR="00145CA7" w:rsidRPr="00866F8A" w:rsidRDefault="00145CA7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  <w:r w:rsidRPr="00866F8A">
        <w:rPr>
          <w:color w:val="000000" w:themeColor="text1"/>
        </w:rPr>
        <w:t>We randomly selected one subject (Subject 7)</w:t>
      </w:r>
      <w:r w:rsidR="00555BD2" w:rsidRPr="00866F8A">
        <w:rPr>
          <w:color w:val="000000" w:themeColor="text1"/>
        </w:rPr>
        <w:t xml:space="preserve"> and</w:t>
      </w:r>
      <w:r w:rsidRPr="00866F8A">
        <w:rPr>
          <w:color w:val="000000" w:themeColor="text1"/>
        </w:rPr>
        <w:t xml:space="preserve"> weight</w:t>
      </w:r>
      <w:r w:rsidR="00555BD2" w:rsidRPr="00866F8A">
        <w:rPr>
          <w:color w:val="000000" w:themeColor="text1"/>
        </w:rPr>
        <w:t>ed</w:t>
      </w:r>
      <w:r w:rsidRPr="00866F8A">
        <w:rPr>
          <w:color w:val="000000" w:themeColor="text1"/>
        </w:rPr>
        <w:t xml:space="preserve"> 96</w:t>
      </w:r>
      <w:r w:rsidR="00555BD2" w:rsidRPr="00866F8A">
        <w:rPr>
          <w:color w:val="000000" w:themeColor="text1"/>
        </w:rPr>
        <w:t>–</w:t>
      </w:r>
      <w:r w:rsidRPr="00866F8A">
        <w:rPr>
          <w:color w:val="000000" w:themeColor="text1"/>
        </w:rPr>
        <w:t>276</w:t>
      </w:r>
      <w:r w:rsidR="00555BD2" w:rsidRPr="00866F8A">
        <w:rPr>
          <w:color w:val="000000" w:themeColor="text1"/>
        </w:rPr>
        <w:t> </w:t>
      </w:r>
      <w:proofErr w:type="spellStart"/>
      <w:r w:rsidRPr="00866F8A">
        <w:rPr>
          <w:color w:val="000000" w:themeColor="text1"/>
        </w:rPr>
        <w:t>ms</w:t>
      </w:r>
      <w:proofErr w:type="spellEnd"/>
      <w:r w:rsidRPr="00866F8A">
        <w:rPr>
          <w:color w:val="000000" w:themeColor="text1"/>
        </w:rPr>
        <w:t xml:space="preserve"> of</w:t>
      </w:r>
      <w:r w:rsidR="00555BD2" w:rsidRPr="00866F8A">
        <w:rPr>
          <w:color w:val="000000" w:themeColor="text1"/>
        </w:rPr>
        <w:t xml:space="preserve"> the</w:t>
      </w:r>
      <w:r w:rsidRPr="00866F8A">
        <w:rPr>
          <w:color w:val="000000" w:themeColor="text1"/>
        </w:rPr>
        <w:t xml:space="preserve"> standard epochs (</w:t>
      </w:r>
      <w:r w:rsidR="004E1BA5" w:rsidRPr="00866F8A">
        <w:rPr>
          <w:color w:val="000000" w:themeColor="text1"/>
        </w:rPr>
        <w:t>Supplementary</w:t>
      </w:r>
      <w:r w:rsidRPr="00866F8A">
        <w:rPr>
          <w:color w:val="000000" w:themeColor="text1"/>
        </w:rPr>
        <w:t xml:space="preserve"> Fig. </w:t>
      </w:r>
      <w:r w:rsidR="00E64932" w:rsidRPr="0066655C">
        <w:rPr>
          <w:color w:val="000000" w:themeColor="text1"/>
        </w:rPr>
        <w:t>5</w:t>
      </w:r>
      <w:r w:rsidRPr="00866F8A">
        <w:rPr>
          <w:color w:val="000000" w:themeColor="text1"/>
        </w:rPr>
        <w:t xml:space="preserve">A purple line) or 300–500 </w:t>
      </w:r>
      <w:proofErr w:type="spellStart"/>
      <w:r w:rsidRPr="00866F8A">
        <w:rPr>
          <w:color w:val="000000" w:themeColor="text1"/>
        </w:rPr>
        <w:t>ms</w:t>
      </w:r>
      <w:proofErr w:type="spellEnd"/>
      <w:r w:rsidRPr="00866F8A">
        <w:rPr>
          <w:color w:val="000000" w:themeColor="text1"/>
        </w:rPr>
        <w:t xml:space="preserve"> (red line). The former time range </w:t>
      </w:r>
      <w:r w:rsidR="00555BD2" w:rsidRPr="00866F8A">
        <w:rPr>
          <w:color w:val="000000" w:themeColor="text1"/>
        </w:rPr>
        <w:t>wa</w:t>
      </w:r>
      <w:r w:rsidRPr="00866F8A">
        <w:rPr>
          <w:color w:val="000000" w:themeColor="text1"/>
        </w:rPr>
        <w:t xml:space="preserve">s the same as the MMR time, whereas the latter </w:t>
      </w:r>
      <w:r w:rsidR="00555BD2" w:rsidRPr="00866F8A">
        <w:rPr>
          <w:color w:val="000000" w:themeColor="text1"/>
        </w:rPr>
        <w:t xml:space="preserve">was </w:t>
      </w:r>
      <w:r w:rsidR="00CC6C63" w:rsidRPr="00866F8A">
        <w:rPr>
          <w:color w:val="000000" w:themeColor="text1"/>
        </w:rPr>
        <w:t xml:space="preserve">a </w:t>
      </w:r>
      <w:r w:rsidRPr="00866F8A">
        <w:rPr>
          <w:color w:val="000000" w:themeColor="text1"/>
        </w:rPr>
        <w:t>time range</w:t>
      </w:r>
      <w:r w:rsidR="00652712" w:rsidRPr="00866F8A">
        <w:rPr>
          <w:color w:val="000000" w:themeColor="text1"/>
        </w:rPr>
        <w:t xml:space="preserve"> in which we</w:t>
      </w:r>
      <w:r w:rsidRPr="00866F8A">
        <w:rPr>
          <w:color w:val="000000" w:themeColor="text1"/>
        </w:rPr>
        <w:t xml:space="preserve"> expected no significant activit</w:t>
      </w:r>
      <w:r w:rsidR="00652712" w:rsidRPr="00866F8A">
        <w:rPr>
          <w:color w:val="000000" w:themeColor="text1"/>
        </w:rPr>
        <w:t>y to occur</w:t>
      </w:r>
      <w:r w:rsidRPr="00866F8A">
        <w:rPr>
          <w:color w:val="000000" w:themeColor="text1"/>
        </w:rPr>
        <w:t xml:space="preserve">. We hypothesized that </w:t>
      </w:r>
      <w:r w:rsidR="00652712" w:rsidRPr="00866F8A">
        <w:rPr>
          <w:color w:val="000000" w:themeColor="text1"/>
        </w:rPr>
        <w:t xml:space="preserve">the </w:t>
      </w:r>
      <w:r w:rsidRPr="00866F8A">
        <w:rPr>
          <w:color w:val="000000" w:themeColor="text1"/>
        </w:rPr>
        <w:t>appl</w:t>
      </w:r>
      <w:r w:rsidR="00CC6C63" w:rsidRPr="00866F8A">
        <w:rPr>
          <w:color w:val="000000" w:themeColor="text1"/>
        </w:rPr>
        <w:t>ication of</w:t>
      </w:r>
      <w:r w:rsidRPr="00866F8A">
        <w:rPr>
          <w:color w:val="000000" w:themeColor="text1"/>
        </w:rPr>
        <w:t xml:space="preserve"> </w:t>
      </w:r>
      <w:r w:rsidRPr="00866F8A">
        <w:rPr>
          <w:iCs/>
          <w:color w:val="000000" w:themeColor="text1"/>
        </w:rPr>
        <w:t>weighted-</w:t>
      </w:r>
      <w:r w:rsidRPr="00866F8A">
        <w:rPr>
          <w:i/>
          <w:color w:val="000000" w:themeColor="text1"/>
        </w:rPr>
        <w:t>BSS</w:t>
      </w:r>
      <w:r w:rsidRPr="00866F8A">
        <w:rPr>
          <w:i/>
          <w:color w:val="000000" w:themeColor="text1"/>
          <w:vertAlign w:val="subscript"/>
        </w:rPr>
        <w:t>T/k</w:t>
      </w:r>
      <w:r w:rsidRPr="00866F8A">
        <w:rPr>
          <w:iCs/>
          <w:color w:val="000000" w:themeColor="text1"/>
        </w:rPr>
        <w:t xml:space="preserve"> </w:t>
      </w:r>
      <w:r w:rsidR="00555BD2" w:rsidRPr="00866F8A">
        <w:rPr>
          <w:iCs/>
          <w:color w:val="000000" w:themeColor="text1"/>
        </w:rPr>
        <w:t xml:space="preserve">to </w:t>
      </w:r>
      <w:r w:rsidRPr="00866F8A">
        <w:rPr>
          <w:iCs/>
          <w:color w:val="000000" w:themeColor="text1"/>
        </w:rPr>
        <w:t>these standard epochs</w:t>
      </w:r>
      <w:r w:rsidR="00CC6C63" w:rsidRPr="00866F8A">
        <w:rPr>
          <w:color w:val="000000" w:themeColor="text1"/>
        </w:rPr>
        <w:t xml:space="preserve"> would result in</w:t>
      </w:r>
      <w:r w:rsidRPr="00866F8A">
        <w:rPr>
          <w:color w:val="000000" w:themeColor="text1"/>
        </w:rPr>
        <w:t xml:space="preserve"> no MMR-related</w:t>
      </w:r>
      <w:r w:rsidR="00652712" w:rsidRPr="00866F8A">
        <w:rPr>
          <w:color w:val="000000" w:themeColor="text1"/>
        </w:rPr>
        <w:t xml:space="preserve"> </w:t>
      </w:r>
      <w:r w:rsidRPr="00866F8A">
        <w:rPr>
          <w:color w:val="000000" w:themeColor="text1"/>
        </w:rPr>
        <w:t xml:space="preserve">components </w:t>
      </w:r>
      <w:r w:rsidR="00CC6C63" w:rsidRPr="00866F8A">
        <w:rPr>
          <w:color w:val="000000" w:themeColor="text1"/>
        </w:rPr>
        <w:t>being</w:t>
      </w:r>
      <w:r w:rsidRPr="00866F8A">
        <w:rPr>
          <w:color w:val="000000" w:themeColor="text1"/>
        </w:rPr>
        <w:t xml:space="preserve"> extracted </w:t>
      </w:r>
      <w:r w:rsidR="00555BD2" w:rsidRPr="00866F8A">
        <w:rPr>
          <w:color w:val="000000" w:themeColor="text1"/>
        </w:rPr>
        <w:t xml:space="preserve">from </w:t>
      </w:r>
      <w:r w:rsidRPr="00866F8A">
        <w:rPr>
          <w:color w:val="000000" w:themeColor="text1"/>
        </w:rPr>
        <w:t xml:space="preserve">the former time range </w:t>
      </w:r>
      <w:r w:rsidR="00CC6C63" w:rsidRPr="00866F8A">
        <w:rPr>
          <w:color w:val="000000" w:themeColor="text1"/>
        </w:rPr>
        <w:t xml:space="preserve">and </w:t>
      </w:r>
      <w:r w:rsidRPr="00866F8A">
        <w:rPr>
          <w:color w:val="000000" w:themeColor="text1"/>
        </w:rPr>
        <w:t xml:space="preserve">no significant components </w:t>
      </w:r>
      <w:r w:rsidR="00CC6C63" w:rsidRPr="00866F8A">
        <w:rPr>
          <w:color w:val="000000" w:themeColor="text1"/>
        </w:rPr>
        <w:t>being</w:t>
      </w:r>
      <w:r w:rsidRPr="00866F8A">
        <w:rPr>
          <w:color w:val="000000" w:themeColor="text1"/>
        </w:rPr>
        <w:t xml:space="preserve"> shown in the latter. Using weighted standard epochs, </w:t>
      </w:r>
      <w:r w:rsidR="00652712" w:rsidRPr="00866F8A">
        <w:rPr>
          <w:color w:val="000000" w:themeColor="text1"/>
        </w:rPr>
        <w:t xml:space="preserve">several </w:t>
      </w:r>
      <w:r w:rsidRPr="00866F8A">
        <w:rPr>
          <w:color w:val="000000" w:themeColor="text1"/>
        </w:rPr>
        <w:t>steps</w:t>
      </w:r>
      <w:r w:rsidR="00555BD2" w:rsidRPr="00866F8A">
        <w:rPr>
          <w:color w:val="000000" w:themeColor="text1"/>
        </w:rPr>
        <w:t xml:space="preserve"> </w:t>
      </w:r>
      <w:r w:rsidRPr="00866F8A">
        <w:rPr>
          <w:color w:val="000000" w:themeColor="text1"/>
        </w:rPr>
        <w:t xml:space="preserve">were followed to make </w:t>
      </w:r>
      <w:r w:rsidR="00555BD2" w:rsidRPr="00866F8A">
        <w:rPr>
          <w:color w:val="000000" w:themeColor="text1"/>
        </w:rPr>
        <w:t xml:space="preserve">the </w:t>
      </w:r>
      <w:r w:rsidRPr="00866F8A">
        <w:rPr>
          <w:color w:val="000000" w:themeColor="text1"/>
        </w:rPr>
        <w:t xml:space="preserve">ERF. For the former time range,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Pr="00866F8A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Pr="00866F8A">
        <w:rPr>
          <w:color w:val="000000" w:themeColor="text1"/>
        </w:rPr>
        <w:t xml:space="preserve"> were obtained using the same spatio-temporal definition as </w:t>
      </w:r>
      <w:r w:rsidR="00652712" w:rsidRPr="00866F8A">
        <w:rPr>
          <w:color w:val="000000" w:themeColor="text1"/>
        </w:rPr>
        <w:t xml:space="preserve">that </w:t>
      </w:r>
      <w:r w:rsidR="00555BD2" w:rsidRPr="00866F8A">
        <w:rPr>
          <w:color w:val="000000" w:themeColor="text1"/>
        </w:rPr>
        <w:t xml:space="preserve">used for the </w:t>
      </w:r>
      <w:r w:rsidRPr="00866F8A">
        <w:rPr>
          <w:color w:val="000000" w:themeColor="text1"/>
        </w:rPr>
        <w:t>MMR</w:t>
      </w:r>
      <w:r w:rsidR="002C4294" w:rsidRPr="00866F8A">
        <w:rPr>
          <w:color w:val="000000" w:themeColor="text1"/>
        </w:rPr>
        <w:t xml:space="preserve"> </w:t>
      </w:r>
      <w:r w:rsidR="00652712" w:rsidRPr="00866F8A">
        <w:rPr>
          <w:color w:val="000000" w:themeColor="text1"/>
        </w:rPr>
        <w:t>(</w:t>
      </w:r>
      <w:r w:rsidRPr="00866F8A">
        <w:rPr>
          <w:color w:val="000000" w:themeColor="text1"/>
        </w:rPr>
        <w:t xml:space="preserve">i.e., </w:t>
      </w:r>
      <w:r w:rsidR="00140F0A" w:rsidRPr="00866F8A">
        <w:rPr>
          <w:color w:val="000000" w:themeColor="text1"/>
        </w:rPr>
        <w:t xml:space="preserve">resemblance to </w:t>
      </w:r>
      <w:r w:rsidR="00555BD2" w:rsidRPr="00866F8A">
        <w:rPr>
          <w:color w:val="000000" w:themeColor="text1"/>
        </w:rPr>
        <w:t xml:space="preserve">the </w:t>
      </w:r>
      <w:r w:rsidRPr="00866F8A">
        <w:rPr>
          <w:color w:val="000000" w:themeColor="text1"/>
        </w:rPr>
        <w:t>reference standard</w:t>
      </w:r>
      <w:r w:rsidR="00652712" w:rsidRPr="00866F8A">
        <w:rPr>
          <w:color w:val="000000" w:themeColor="text1"/>
        </w:rPr>
        <w:t>)</w:t>
      </w:r>
      <w:r w:rsidRPr="00866F8A">
        <w:rPr>
          <w:color w:val="000000" w:themeColor="text1"/>
        </w:rPr>
        <w:t xml:space="preserve">. For the latter time range (300–500 </w:t>
      </w:r>
      <w:proofErr w:type="spellStart"/>
      <w:r w:rsidRPr="00866F8A">
        <w:rPr>
          <w:color w:val="000000" w:themeColor="text1"/>
        </w:rPr>
        <w:t>ms</w:t>
      </w:r>
      <w:proofErr w:type="spellEnd"/>
      <w:r w:rsidRPr="00866F8A">
        <w:rPr>
          <w:color w:val="000000" w:themeColor="text1"/>
        </w:rPr>
        <w:t xml:space="preserve">), </w:t>
      </w:r>
      <w:r w:rsidR="00652712" w:rsidRPr="00866F8A">
        <w:rPr>
          <w:color w:val="000000" w:themeColor="text1"/>
        </w:rPr>
        <w:t xml:space="preserve">a </w:t>
      </w:r>
      <w:r w:rsidRPr="00866F8A">
        <w:rPr>
          <w:color w:val="000000" w:themeColor="text1"/>
        </w:rPr>
        <w:t xml:space="preserve">corresponding definition could not be </w:t>
      </w:r>
      <w:r w:rsidR="00652712" w:rsidRPr="00866F8A">
        <w:rPr>
          <w:color w:val="000000" w:themeColor="text1"/>
        </w:rPr>
        <w:t>determined; thus,</w:t>
      </w:r>
      <w:r w:rsidRPr="00866F8A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Pr="00866F8A">
        <w:rPr>
          <w:color w:val="000000" w:themeColor="text1"/>
        </w:rPr>
        <w:t xml:space="preserve"> was </w:t>
      </w:r>
      <w:r w:rsidR="00E73B88" w:rsidRPr="00866F8A">
        <w:rPr>
          <w:color w:val="000000" w:themeColor="text1"/>
        </w:rPr>
        <w:t xml:space="preserve">simply </w:t>
      </w:r>
      <w:r w:rsidRPr="00866F8A">
        <w:rPr>
          <w:color w:val="000000" w:themeColor="text1"/>
        </w:rPr>
        <w:t xml:space="preserve">obtained </w:t>
      </w:r>
      <w:r w:rsidR="00652712" w:rsidRPr="00866F8A">
        <w:rPr>
          <w:color w:val="000000" w:themeColor="text1"/>
        </w:rPr>
        <w:t xml:space="preserve">within </w:t>
      </w:r>
      <w:r w:rsidRPr="00866F8A">
        <w:rPr>
          <w:color w:val="000000" w:themeColor="text1"/>
        </w:rPr>
        <w:t>this time range.</w:t>
      </w:r>
    </w:p>
    <w:p w14:paraId="2DAAAC9C" w14:textId="6B84973D" w:rsidR="00145CA7" w:rsidRPr="00866F8A" w:rsidRDefault="00555BD2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  <w:r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ERF obtained from </w:t>
      </w:r>
      <w:r w:rsidRPr="00866F8A">
        <w:rPr>
          <w:color w:val="000000" w:themeColor="text1"/>
        </w:rPr>
        <w:t xml:space="preserve">the </w:t>
      </w:r>
      <w:r w:rsidR="00145CA7" w:rsidRPr="00866F8A">
        <w:rPr>
          <w:iCs/>
          <w:color w:val="000000" w:themeColor="text1"/>
        </w:rPr>
        <w:t>weighted-</w:t>
      </w:r>
      <w:r w:rsidR="00145CA7" w:rsidRPr="00866F8A">
        <w:rPr>
          <w:i/>
          <w:color w:val="000000" w:themeColor="text1"/>
        </w:rPr>
        <w:t>BSS</w:t>
      </w:r>
      <w:r w:rsidR="00145CA7" w:rsidRPr="00866F8A">
        <w:rPr>
          <w:i/>
          <w:color w:val="000000" w:themeColor="text1"/>
          <w:vertAlign w:val="subscript"/>
        </w:rPr>
        <w:t>T/k</w:t>
      </w:r>
      <w:r w:rsidR="00145CA7" w:rsidRPr="00866F8A">
        <w:rPr>
          <w:iCs/>
          <w:color w:val="000000" w:themeColor="text1"/>
        </w:rPr>
        <w:t xml:space="preserve"> on </w:t>
      </w:r>
      <w:r w:rsidRPr="00866F8A">
        <w:rPr>
          <w:iCs/>
          <w:color w:val="000000" w:themeColor="text1"/>
        </w:rPr>
        <w:t xml:space="preserve">the </w:t>
      </w:r>
      <w:r w:rsidR="00145CA7" w:rsidRPr="00866F8A">
        <w:rPr>
          <w:iCs/>
          <w:color w:val="000000" w:themeColor="text1"/>
        </w:rPr>
        <w:t xml:space="preserve">MMR time is shown in </w:t>
      </w:r>
      <w:r w:rsidR="00CC6C63" w:rsidRPr="00866F8A">
        <w:rPr>
          <w:iCs/>
          <w:color w:val="000000" w:themeColor="text1"/>
        </w:rPr>
        <w:t xml:space="preserve">the upper panel in </w:t>
      </w:r>
      <w:r w:rsidR="004E1BA5" w:rsidRPr="00866F8A">
        <w:rPr>
          <w:iCs/>
          <w:color w:val="000000" w:themeColor="text1"/>
        </w:rPr>
        <w:t>Supplementary</w:t>
      </w:r>
      <w:r w:rsidR="00145CA7" w:rsidRPr="00866F8A">
        <w:rPr>
          <w:iCs/>
          <w:color w:val="000000" w:themeColor="text1"/>
        </w:rPr>
        <w:t xml:space="preserve"> Fig. </w:t>
      </w:r>
      <w:r w:rsidR="00E64932" w:rsidRPr="0066655C">
        <w:rPr>
          <w:iCs/>
          <w:color w:val="000000" w:themeColor="text1"/>
        </w:rPr>
        <w:t>5</w:t>
      </w:r>
      <w:r w:rsidR="00145CA7" w:rsidRPr="00866F8A">
        <w:rPr>
          <w:iCs/>
          <w:color w:val="000000" w:themeColor="text1"/>
        </w:rPr>
        <w:t>B. No prominent component was shown in the scatter plot of</w:t>
      </w:r>
      <w:r w:rsidR="00145CA7" w:rsidRPr="00866F8A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45CA7" w:rsidRPr="00866F8A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45CA7" w:rsidRPr="00866F8A">
        <w:rPr>
          <w:color w:val="000000" w:themeColor="text1"/>
        </w:rPr>
        <w:t xml:space="preserve"> (</w:t>
      </w:r>
      <w:r w:rsidR="004E1BA5" w:rsidRPr="00866F8A">
        <w:rPr>
          <w:color w:val="000000" w:themeColor="text1"/>
        </w:rPr>
        <w:t>Supplementary</w:t>
      </w:r>
      <w:r w:rsidR="00145CA7" w:rsidRPr="00866F8A">
        <w:rPr>
          <w:color w:val="000000" w:themeColor="text1"/>
        </w:rPr>
        <w:t xml:space="preserve"> Fig. </w:t>
      </w:r>
      <w:r w:rsidR="00E64932" w:rsidRPr="0066655C">
        <w:rPr>
          <w:color w:val="000000" w:themeColor="text1"/>
        </w:rPr>
        <w:t>5</w:t>
      </w:r>
      <w:r w:rsidR="00145CA7" w:rsidRPr="00866F8A">
        <w:rPr>
          <w:color w:val="000000" w:themeColor="text1"/>
        </w:rPr>
        <w:t>B</w:t>
      </w:r>
      <w:r w:rsidRPr="00866F8A">
        <w:rPr>
          <w:color w:val="000000" w:themeColor="text1"/>
        </w:rPr>
        <w:t>,</w:t>
      </w:r>
      <w:r w:rsidR="00145CA7" w:rsidRPr="00866F8A">
        <w:rPr>
          <w:color w:val="000000" w:themeColor="text1"/>
        </w:rPr>
        <w:t xml:space="preserve"> lower panel). This result </w:t>
      </w:r>
      <w:r w:rsidRPr="00866F8A">
        <w:rPr>
          <w:color w:val="000000" w:themeColor="text1"/>
        </w:rPr>
        <w:t>indicate</w:t>
      </w:r>
      <w:r w:rsidR="00652712" w:rsidRPr="00866F8A">
        <w:rPr>
          <w:color w:val="000000" w:themeColor="text1"/>
        </w:rPr>
        <w:t>d</w:t>
      </w:r>
      <w:r w:rsidRPr="00866F8A">
        <w:rPr>
          <w:color w:val="000000" w:themeColor="text1"/>
        </w:rPr>
        <w:t xml:space="preserve"> </w:t>
      </w:r>
      <w:r w:rsidR="00145CA7" w:rsidRPr="00866F8A">
        <w:rPr>
          <w:color w:val="000000" w:themeColor="text1"/>
        </w:rPr>
        <w:t>that no MMR-related</w:t>
      </w:r>
      <w:r w:rsidRPr="00866F8A">
        <w:rPr>
          <w:color w:val="000000" w:themeColor="text1"/>
        </w:rPr>
        <w:t xml:space="preserve"> </w:t>
      </w:r>
      <w:r w:rsidR="00145CA7" w:rsidRPr="00866F8A">
        <w:rPr>
          <w:color w:val="000000" w:themeColor="text1"/>
        </w:rPr>
        <w:t xml:space="preserve">components were extracted in this time range using </w:t>
      </w:r>
      <w:r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>weighted standard epochs. In addition, no remarkable components that represent</w:t>
      </w:r>
      <w:r w:rsidR="00652712" w:rsidRPr="00866F8A">
        <w:rPr>
          <w:color w:val="000000" w:themeColor="text1"/>
        </w:rPr>
        <w:t>ed the</w:t>
      </w:r>
      <w:r w:rsidR="00145CA7" w:rsidRPr="00866F8A">
        <w:rPr>
          <w:color w:val="000000" w:themeColor="text1"/>
        </w:rPr>
        <w:t xml:space="preserve"> M100 were extracted in </w:t>
      </w:r>
      <w:r w:rsidR="00906F8C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non-MMR time. </w:t>
      </w:r>
      <w:r w:rsidR="00906F8C" w:rsidRPr="00866F8A">
        <w:rPr>
          <w:color w:val="000000" w:themeColor="text1"/>
        </w:rPr>
        <w:t xml:space="preserve">An </w:t>
      </w:r>
      <w:r w:rsidR="00145CA7" w:rsidRPr="00866F8A">
        <w:rPr>
          <w:color w:val="000000" w:themeColor="text1"/>
        </w:rPr>
        <w:t xml:space="preserve">ERF with </w:t>
      </w:r>
      <w:r w:rsidR="00652712" w:rsidRPr="00866F8A">
        <w:rPr>
          <w:color w:val="000000" w:themeColor="text1"/>
        </w:rPr>
        <w:t xml:space="preserve">a </w:t>
      </w:r>
      <w:r w:rsidR="00145CA7" w:rsidRPr="00866F8A">
        <w:rPr>
          <w:color w:val="000000" w:themeColor="text1"/>
        </w:rPr>
        <w:t xml:space="preserve">weight </w:t>
      </w:r>
      <w:r w:rsidR="00652712" w:rsidRPr="00866F8A">
        <w:rPr>
          <w:color w:val="000000" w:themeColor="text1"/>
        </w:rPr>
        <w:t xml:space="preserve">in </w:t>
      </w:r>
      <w:r w:rsidR="00906F8C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300–500 </w:t>
      </w:r>
      <w:proofErr w:type="spellStart"/>
      <w:r w:rsidR="00145CA7" w:rsidRPr="00866F8A">
        <w:rPr>
          <w:color w:val="000000" w:themeColor="text1"/>
        </w:rPr>
        <w:t>ms</w:t>
      </w:r>
      <w:proofErr w:type="spellEnd"/>
      <w:r w:rsidR="00145CA7" w:rsidRPr="00866F8A">
        <w:rPr>
          <w:color w:val="000000" w:themeColor="text1"/>
        </w:rPr>
        <w:t xml:space="preserve"> time </w:t>
      </w:r>
      <w:r w:rsidR="00652712" w:rsidRPr="00866F8A">
        <w:rPr>
          <w:color w:val="000000" w:themeColor="text1"/>
        </w:rPr>
        <w:t xml:space="preserve">range </w:t>
      </w:r>
      <w:r w:rsidR="00906F8C" w:rsidRPr="00866F8A">
        <w:rPr>
          <w:color w:val="000000" w:themeColor="text1"/>
        </w:rPr>
        <w:t xml:space="preserve">is </w:t>
      </w:r>
      <w:r w:rsidR="00145CA7" w:rsidRPr="00866F8A">
        <w:rPr>
          <w:color w:val="000000" w:themeColor="text1"/>
        </w:rPr>
        <w:t xml:space="preserve">shown in </w:t>
      </w:r>
      <w:r w:rsidR="004E1BA5" w:rsidRPr="00866F8A">
        <w:rPr>
          <w:color w:val="000000" w:themeColor="text1"/>
        </w:rPr>
        <w:t>Supplementary</w:t>
      </w:r>
      <w:r w:rsidR="00145CA7" w:rsidRPr="00866F8A">
        <w:rPr>
          <w:color w:val="000000" w:themeColor="text1"/>
        </w:rPr>
        <w:t xml:space="preserve"> Fig. </w:t>
      </w:r>
      <w:r w:rsidR="00E64932" w:rsidRPr="0066655C">
        <w:rPr>
          <w:color w:val="000000" w:themeColor="text1"/>
        </w:rPr>
        <w:t>5</w:t>
      </w:r>
      <w:r w:rsidR="00145CA7" w:rsidRPr="00866F8A">
        <w:rPr>
          <w:color w:val="000000" w:themeColor="text1"/>
        </w:rPr>
        <w:t>C. There were no outstanding components. This result indicate</w:t>
      </w:r>
      <w:r w:rsidR="00652712" w:rsidRPr="00866F8A">
        <w:rPr>
          <w:color w:val="000000" w:themeColor="text1"/>
        </w:rPr>
        <w:t>d</w:t>
      </w:r>
      <w:r w:rsidR="00145CA7" w:rsidRPr="00866F8A">
        <w:rPr>
          <w:color w:val="000000" w:themeColor="text1"/>
        </w:rPr>
        <w:t xml:space="preserve"> that no significant components were extracted within </w:t>
      </w:r>
      <w:r w:rsidR="00906F8C" w:rsidRPr="00866F8A">
        <w:rPr>
          <w:color w:val="000000" w:themeColor="text1"/>
        </w:rPr>
        <w:t xml:space="preserve">or </w:t>
      </w:r>
      <w:r w:rsidR="00145CA7" w:rsidRPr="00866F8A">
        <w:rPr>
          <w:color w:val="000000" w:themeColor="text1"/>
        </w:rPr>
        <w:t xml:space="preserve">outside this time range. </w:t>
      </w:r>
    </w:p>
    <w:p w14:paraId="5C838F3E" w14:textId="77777777" w:rsidR="00FC7535" w:rsidRPr="00866F8A" w:rsidRDefault="00FC7535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</w:p>
    <w:p w14:paraId="0DFD5F11" w14:textId="74DCA953" w:rsidR="00776721" w:rsidRPr="0066655C" w:rsidRDefault="004D24B8" w:rsidP="004D24B8">
      <w:pPr>
        <w:autoSpaceDE w:val="0"/>
        <w:autoSpaceDN w:val="0"/>
        <w:adjustRightInd w:val="0"/>
        <w:spacing w:after="240" w:line="480" w:lineRule="auto"/>
        <w:rPr>
          <w:b/>
          <w:bCs/>
          <w:color w:val="000000" w:themeColor="text1"/>
        </w:rPr>
      </w:pPr>
      <w:r w:rsidRPr="0066655C">
        <w:rPr>
          <w:b/>
          <w:bCs/>
          <w:color w:val="000000" w:themeColor="text1"/>
        </w:rPr>
        <w:t xml:space="preserve">(2-2) </w:t>
      </w:r>
      <w:r w:rsidR="00A558C7" w:rsidRPr="0066655C">
        <w:rPr>
          <w:b/>
          <w:bCs/>
          <w:color w:val="000000" w:themeColor="text1"/>
        </w:rPr>
        <w:t>Weighted-</w:t>
      </w:r>
      <w:r w:rsidR="00A558C7" w:rsidRPr="0066655C">
        <w:rPr>
          <w:b/>
          <w:bCs/>
          <w:i/>
          <w:color w:val="000000" w:themeColor="text1"/>
        </w:rPr>
        <w:t>BSS</w:t>
      </w:r>
      <w:r w:rsidR="00A558C7" w:rsidRPr="0066655C">
        <w:rPr>
          <w:b/>
          <w:bCs/>
          <w:i/>
          <w:color w:val="000000" w:themeColor="text1"/>
          <w:vertAlign w:val="subscript"/>
        </w:rPr>
        <w:t>T/k</w:t>
      </w:r>
      <w:r w:rsidR="00A558C7" w:rsidRPr="0066655C">
        <w:rPr>
          <w:b/>
          <w:bCs/>
          <w:iCs/>
          <w:color w:val="000000" w:themeColor="text1"/>
        </w:rPr>
        <w:t xml:space="preserve"> in </w:t>
      </w:r>
      <w:r w:rsidR="00A558C7" w:rsidRPr="0066655C">
        <w:rPr>
          <w:b/>
          <w:bCs/>
          <w:color w:val="000000" w:themeColor="text1"/>
        </w:rPr>
        <w:t>a</w:t>
      </w:r>
      <w:r w:rsidRPr="0066655C">
        <w:rPr>
          <w:b/>
          <w:bCs/>
          <w:color w:val="000000" w:themeColor="text1"/>
        </w:rPr>
        <w:t xml:space="preserve"> new cohort from two subjects with low SNR</w:t>
      </w:r>
    </w:p>
    <w:p w14:paraId="7FACB534" w14:textId="24DAE9E1" w:rsidR="00A71C2D" w:rsidRPr="0066655C" w:rsidRDefault="00A71C2D" w:rsidP="0018509B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  <w:r w:rsidRPr="0066655C">
        <w:rPr>
          <w:color w:val="000000" w:themeColor="text1"/>
        </w:rPr>
        <w:t xml:space="preserve">Two subjects were included in this analysis who had been excluded (subsection 2.4.5) because of low SNR in the sensor-space analysis. </w:t>
      </w:r>
      <w:r w:rsidR="00FC7535" w:rsidRPr="0066655C">
        <w:rPr>
          <w:color w:val="000000" w:themeColor="text1"/>
        </w:rPr>
        <w:t xml:space="preserve">We applied the same MMR time range (96–276 </w:t>
      </w:r>
      <w:proofErr w:type="spellStart"/>
      <w:r w:rsidR="00FC7535" w:rsidRPr="0066655C">
        <w:rPr>
          <w:color w:val="000000" w:themeColor="text1"/>
        </w:rPr>
        <w:t>ms</w:t>
      </w:r>
      <w:proofErr w:type="spellEnd"/>
      <w:r w:rsidR="00FC7535" w:rsidRPr="0066655C">
        <w:rPr>
          <w:color w:val="000000" w:themeColor="text1"/>
        </w:rPr>
        <w:t>) as</w:t>
      </w:r>
      <w:r w:rsidR="004E3D9A" w:rsidRPr="0066655C">
        <w:rPr>
          <w:color w:val="000000" w:themeColor="text1"/>
        </w:rPr>
        <w:t xml:space="preserve"> that of</w:t>
      </w:r>
      <w:r w:rsidR="00FC7535" w:rsidRPr="0066655C">
        <w:rPr>
          <w:color w:val="000000" w:themeColor="text1"/>
        </w:rPr>
        <w:t xml:space="preserve"> the weight assignment after deviant concatenation. Note that this time range </w:t>
      </w:r>
      <w:r w:rsidR="004E3D9A" w:rsidRPr="0066655C">
        <w:rPr>
          <w:color w:val="000000" w:themeColor="text1"/>
        </w:rPr>
        <w:t xml:space="preserve">was </w:t>
      </w:r>
      <w:r w:rsidR="00FC7535" w:rsidRPr="0066655C">
        <w:rPr>
          <w:color w:val="000000" w:themeColor="text1"/>
        </w:rPr>
        <w:t xml:space="preserve">independently determined in this cohort. </w:t>
      </w:r>
      <w:r w:rsidR="00A558C7" w:rsidRPr="0066655C">
        <w:rPr>
          <w:color w:val="000000" w:themeColor="text1"/>
        </w:rPr>
        <w:t xml:space="preserve">The aim of this analysis </w:t>
      </w:r>
      <w:r w:rsidR="004E3D9A" w:rsidRPr="0066655C">
        <w:rPr>
          <w:color w:val="000000" w:themeColor="text1"/>
        </w:rPr>
        <w:t xml:space="preserve">was </w:t>
      </w:r>
      <w:r w:rsidR="00A558C7" w:rsidRPr="0066655C">
        <w:rPr>
          <w:color w:val="000000" w:themeColor="text1"/>
        </w:rPr>
        <w:t xml:space="preserve">to confirm </w:t>
      </w:r>
      <w:r w:rsidR="00A558C7" w:rsidRPr="0066655C">
        <w:rPr>
          <w:color w:val="000000" w:themeColor="text1"/>
        </w:rPr>
        <w:lastRenderedPageBreak/>
        <w:t xml:space="preserve">that </w:t>
      </w:r>
      <w:proofErr w:type="spellStart"/>
      <w:r w:rsidR="00A558C7" w:rsidRPr="0066655C">
        <w:rPr>
          <w:color w:val="000000" w:themeColor="text1"/>
        </w:rPr>
        <w:t>i</w:t>
      </w:r>
      <w:proofErr w:type="spellEnd"/>
      <w:r w:rsidR="00A558C7" w:rsidRPr="0066655C">
        <w:rPr>
          <w:color w:val="000000" w:themeColor="text1"/>
        </w:rPr>
        <w:t>) independent setting of weight assignment time performs</w:t>
      </w:r>
      <w:r w:rsidR="00FC7535" w:rsidRPr="0066655C">
        <w:rPr>
          <w:color w:val="000000" w:themeColor="text1"/>
        </w:rPr>
        <w:t xml:space="preserve"> well</w:t>
      </w:r>
      <w:r w:rsidR="00A558C7" w:rsidRPr="0066655C">
        <w:rPr>
          <w:color w:val="000000" w:themeColor="text1"/>
        </w:rPr>
        <w:t xml:space="preserve"> </w:t>
      </w:r>
      <w:r w:rsidR="004E3D9A" w:rsidRPr="0066655C">
        <w:rPr>
          <w:color w:val="000000" w:themeColor="text1"/>
        </w:rPr>
        <w:t xml:space="preserve">for </w:t>
      </w:r>
      <w:r w:rsidR="00A558C7" w:rsidRPr="0066655C">
        <w:rPr>
          <w:color w:val="000000" w:themeColor="text1"/>
        </w:rPr>
        <w:t>extract</w:t>
      </w:r>
      <w:r w:rsidR="004E3D9A" w:rsidRPr="0066655C">
        <w:rPr>
          <w:color w:val="000000" w:themeColor="text1"/>
        </w:rPr>
        <w:t>ing</w:t>
      </w:r>
      <w:r w:rsidR="00A558C7" w:rsidRPr="0066655C">
        <w:rPr>
          <w:color w:val="000000" w:themeColor="text1"/>
        </w:rPr>
        <w:t xml:space="preserve"> MMR-related component</w:t>
      </w:r>
      <w:r w:rsidR="00FC7535" w:rsidRPr="0066655C">
        <w:rPr>
          <w:color w:val="000000" w:themeColor="text1"/>
        </w:rPr>
        <w:t>s</w:t>
      </w:r>
      <w:r w:rsidR="00A558C7" w:rsidRPr="0066655C">
        <w:rPr>
          <w:color w:val="000000" w:themeColor="text1"/>
        </w:rPr>
        <w:t xml:space="preserve"> and ii) better SNR is expected in this cohort.</w:t>
      </w:r>
    </w:p>
    <w:p w14:paraId="64074EA8" w14:textId="7E6E6398" w:rsidR="00F32BC5" w:rsidRPr="0066655C" w:rsidRDefault="004E3D9A" w:rsidP="001B256E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  <w:r w:rsidRPr="0066655C">
        <w:rPr>
          <w:color w:val="000000" w:themeColor="text1"/>
        </w:rPr>
        <w:t>Alt</w:t>
      </w:r>
      <w:r w:rsidR="00F32BC5" w:rsidRPr="0066655C">
        <w:rPr>
          <w:color w:val="000000" w:themeColor="text1"/>
        </w:rPr>
        <w:t xml:space="preserve">hough </w:t>
      </w:r>
      <w:r w:rsidRPr="0066655C">
        <w:rPr>
          <w:color w:val="000000" w:themeColor="text1"/>
        </w:rPr>
        <w:t xml:space="preserve">the </w:t>
      </w:r>
      <w:r w:rsidR="00F32BC5" w:rsidRPr="0066655C">
        <w:rPr>
          <w:color w:val="000000" w:themeColor="text1"/>
        </w:rPr>
        <w:t xml:space="preserve">MMR difference sensor waveforms did not show </w:t>
      </w:r>
      <w:r w:rsidRPr="0066655C">
        <w:rPr>
          <w:color w:val="000000" w:themeColor="text1"/>
        </w:rPr>
        <w:t xml:space="preserve">a </w:t>
      </w:r>
      <w:r w:rsidR="00F32BC5" w:rsidRPr="0066655C">
        <w:rPr>
          <w:color w:val="000000" w:themeColor="text1"/>
        </w:rPr>
        <w:t xml:space="preserve">prominent MMR in </w:t>
      </w:r>
      <w:r w:rsidRPr="0066655C">
        <w:rPr>
          <w:color w:val="000000" w:themeColor="text1"/>
        </w:rPr>
        <w:t xml:space="preserve">either </w:t>
      </w:r>
      <w:r w:rsidR="00F32BC5" w:rsidRPr="0066655C">
        <w:rPr>
          <w:color w:val="000000" w:themeColor="text1"/>
        </w:rPr>
        <w:t>subject (Supplementary Fig</w:t>
      </w:r>
      <w:r w:rsidRPr="0066655C">
        <w:rPr>
          <w:color w:val="000000" w:themeColor="text1"/>
        </w:rPr>
        <w:t xml:space="preserve">. </w:t>
      </w:r>
      <w:r w:rsidR="00F32BC5" w:rsidRPr="0066655C">
        <w:rPr>
          <w:color w:val="000000" w:themeColor="text1"/>
        </w:rPr>
        <w:t xml:space="preserve">6A and </w:t>
      </w:r>
      <w:r w:rsidR="00915788" w:rsidRPr="0066655C">
        <w:rPr>
          <w:color w:val="000000" w:themeColor="text1"/>
        </w:rPr>
        <w:t>C</w:t>
      </w:r>
      <w:r w:rsidR="00F32BC5" w:rsidRPr="0066655C">
        <w:rPr>
          <w:color w:val="000000" w:themeColor="text1"/>
        </w:rPr>
        <w:t>)</w:t>
      </w:r>
      <w:r w:rsidR="006C3B27" w:rsidRPr="0066655C">
        <w:rPr>
          <w:color w:val="000000" w:themeColor="text1"/>
        </w:rPr>
        <w:t xml:space="preserve"> </w:t>
      </w:r>
      <w:r w:rsidRPr="0066655C">
        <w:rPr>
          <w:color w:val="000000" w:themeColor="text1"/>
        </w:rPr>
        <w:t xml:space="preserve">because of </w:t>
      </w:r>
      <w:r w:rsidR="006C3B27" w:rsidRPr="0066655C">
        <w:rPr>
          <w:color w:val="000000" w:themeColor="text1"/>
        </w:rPr>
        <w:t>low SNR</w:t>
      </w:r>
      <w:r w:rsidR="00F32BC5" w:rsidRPr="0066655C">
        <w:rPr>
          <w:color w:val="000000" w:themeColor="text1"/>
        </w:rPr>
        <w:t>, they still show</w:t>
      </w:r>
      <w:r w:rsidR="00915788" w:rsidRPr="0066655C">
        <w:rPr>
          <w:color w:val="000000" w:themeColor="text1"/>
        </w:rPr>
        <w:t>ed</w:t>
      </w:r>
      <w:r w:rsidR="00F32BC5" w:rsidRPr="0066655C">
        <w:rPr>
          <w:color w:val="000000" w:themeColor="text1"/>
        </w:rPr>
        <w:t xml:space="preserve"> </w:t>
      </w:r>
      <w:r w:rsidRPr="0066655C">
        <w:rPr>
          <w:color w:val="000000" w:themeColor="text1"/>
        </w:rPr>
        <w:t xml:space="preserve">MMR </w:t>
      </w:r>
      <w:r w:rsidR="00BD355C" w:rsidRPr="0066655C">
        <w:rPr>
          <w:color w:val="000000" w:themeColor="text1"/>
        </w:rPr>
        <w:t xml:space="preserve">with </w:t>
      </w:r>
      <w:r w:rsidR="00FC7535" w:rsidRPr="0066655C">
        <w:rPr>
          <w:color w:val="000000" w:themeColor="text1"/>
        </w:rPr>
        <w:t>small amplitude</w:t>
      </w:r>
      <w:r w:rsidRPr="0066655C">
        <w:rPr>
          <w:color w:val="000000" w:themeColor="text1"/>
        </w:rPr>
        <w:t>s</w:t>
      </w:r>
      <w:r w:rsidR="00FC7535" w:rsidRPr="0066655C">
        <w:rPr>
          <w:color w:val="000000" w:themeColor="text1"/>
        </w:rPr>
        <w:t xml:space="preserve"> in </w:t>
      </w:r>
      <w:r w:rsidRPr="0066655C">
        <w:rPr>
          <w:color w:val="000000" w:themeColor="text1"/>
        </w:rPr>
        <w:t xml:space="preserve">the </w:t>
      </w:r>
      <w:r w:rsidR="00FC7535" w:rsidRPr="0066655C">
        <w:rPr>
          <w:color w:val="000000" w:themeColor="text1"/>
        </w:rPr>
        <w:t xml:space="preserve">bitemporal sensors.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8C348D" w:rsidRPr="0066655C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8C348D" w:rsidRPr="0066655C">
        <w:rPr>
          <w:color w:val="000000" w:themeColor="text1"/>
        </w:rPr>
        <w:t xml:space="preserve"> were evaluated for each component assuming that </w:t>
      </w:r>
      <w:r w:rsidR="006C3B27" w:rsidRPr="0066655C">
        <w:rPr>
          <w:color w:val="000000" w:themeColor="text1"/>
        </w:rPr>
        <w:t xml:space="preserve">the </w:t>
      </w:r>
      <w:r w:rsidR="008C348D" w:rsidRPr="0066655C">
        <w:rPr>
          <w:color w:val="000000" w:themeColor="text1"/>
        </w:rPr>
        <w:t xml:space="preserve">reference standard </w:t>
      </w:r>
      <w:r w:rsidRPr="0066655C">
        <w:rPr>
          <w:color w:val="000000" w:themeColor="text1"/>
        </w:rPr>
        <w:t xml:space="preserve">was </w:t>
      </w:r>
      <w:r w:rsidR="008C348D" w:rsidRPr="0066655C">
        <w:rPr>
          <w:color w:val="000000" w:themeColor="text1"/>
        </w:rPr>
        <w:t>derive</w:t>
      </w:r>
      <w:r w:rsidRPr="0066655C">
        <w:rPr>
          <w:color w:val="000000" w:themeColor="text1"/>
        </w:rPr>
        <w:t>d</w:t>
      </w:r>
      <w:r w:rsidR="008C348D" w:rsidRPr="0066655C">
        <w:rPr>
          <w:color w:val="000000" w:themeColor="text1"/>
        </w:rPr>
        <w:t xml:space="preserve"> from the same MMR sensors (Supplementary Fig.</w:t>
      </w:r>
      <w:r w:rsidRPr="0066655C">
        <w:rPr>
          <w:color w:val="000000" w:themeColor="text1"/>
        </w:rPr>
        <w:t xml:space="preserve"> </w:t>
      </w:r>
      <w:r w:rsidR="008C348D" w:rsidRPr="0066655C">
        <w:rPr>
          <w:color w:val="000000" w:themeColor="text1"/>
        </w:rPr>
        <w:t xml:space="preserve">6A and </w:t>
      </w:r>
      <w:r w:rsidR="00915788" w:rsidRPr="0066655C">
        <w:rPr>
          <w:color w:val="000000" w:themeColor="text1"/>
        </w:rPr>
        <w:t>C</w:t>
      </w:r>
      <w:r w:rsidR="008C348D" w:rsidRPr="0066655C">
        <w:rPr>
          <w:color w:val="000000" w:themeColor="text1"/>
        </w:rPr>
        <w:t>, white circles) and MMR time range (purple lines).</w:t>
      </w:r>
      <w:r w:rsidR="005C3C8B" w:rsidRPr="0066655C">
        <w:rPr>
          <w:color w:val="000000" w:themeColor="text1"/>
        </w:rPr>
        <w:t xml:space="preserve"> Two components </w:t>
      </w:r>
      <w:r w:rsidR="001B256E" w:rsidRPr="0066655C">
        <w:rPr>
          <w:color w:val="000000" w:themeColor="text1"/>
        </w:rPr>
        <w:t>showed</w:t>
      </w:r>
      <w:r w:rsidR="005C3C8B" w:rsidRPr="0066655C">
        <w:rPr>
          <w:color w:val="000000" w:themeColor="text1"/>
        </w:rPr>
        <w:t xml:space="preserve"> </w:t>
      </w:r>
      <w:r w:rsidR="001B256E" w:rsidRPr="0066655C">
        <w:rPr>
          <w:color w:val="000000" w:themeColor="text1"/>
        </w:rPr>
        <w:t xml:space="preserve">discriminable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B256E" w:rsidRPr="0066655C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915788" w:rsidRPr="0066655C">
        <w:rPr>
          <w:color w:val="000000" w:themeColor="text1"/>
        </w:rPr>
        <w:t xml:space="preserve"> (Supplementary Fig.</w:t>
      </w:r>
      <w:r w:rsidRPr="0066655C">
        <w:rPr>
          <w:color w:val="000000" w:themeColor="text1"/>
        </w:rPr>
        <w:t xml:space="preserve"> </w:t>
      </w:r>
      <w:r w:rsidR="00915788" w:rsidRPr="0066655C">
        <w:rPr>
          <w:color w:val="000000" w:themeColor="text1"/>
        </w:rPr>
        <w:t>6B and D)</w:t>
      </w:r>
      <w:r w:rsidR="00F77776" w:rsidRPr="0066655C">
        <w:rPr>
          <w:color w:val="000000" w:themeColor="text1"/>
        </w:rPr>
        <w:t xml:space="preserve"> </w:t>
      </w:r>
      <w:r w:rsidRPr="0066655C">
        <w:rPr>
          <w:color w:val="000000" w:themeColor="text1"/>
        </w:rPr>
        <w:t xml:space="preserve">and </w:t>
      </w:r>
      <w:r w:rsidR="00F77776" w:rsidRPr="0066655C">
        <w:rPr>
          <w:color w:val="000000" w:themeColor="text1"/>
        </w:rPr>
        <w:t>bitemporal topography</w:t>
      </w:r>
      <w:r w:rsidR="001B256E" w:rsidRPr="0066655C">
        <w:rPr>
          <w:color w:val="000000" w:themeColor="text1"/>
        </w:rPr>
        <w:t xml:space="preserve">. These components should be MMR-related components that resemble the reference standard from bitemporal sensors within </w:t>
      </w:r>
      <w:r w:rsidRPr="0066655C">
        <w:rPr>
          <w:color w:val="000000" w:themeColor="text1"/>
        </w:rPr>
        <w:t xml:space="preserve">approximately </w:t>
      </w:r>
      <w:r w:rsidR="001B256E" w:rsidRPr="0066655C">
        <w:rPr>
          <w:color w:val="000000" w:themeColor="text1"/>
        </w:rPr>
        <w:t xml:space="preserve">100–250 </w:t>
      </w:r>
      <w:proofErr w:type="spellStart"/>
      <w:r w:rsidR="001B256E" w:rsidRPr="0066655C">
        <w:rPr>
          <w:color w:val="000000" w:themeColor="text1"/>
        </w:rPr>
        <w:t>ms</w:t>
      </w:r>
      <w:proofErr w:type="spellEnd"/>
      <w:r w:rsidR="001B256E" w:rsidRPr="0066655C">
        <w:rPr>
          <w:color w:val="000000" w:themeColor="text1"/>
        </w:rPr>
        <w:t>, with a similar topographical map and a similar temporal correlation.</w:t>
      </w:r>
      <w:r w:rsidR="00B43231" w:rsidRPr="0066655C">
        <w:rPr>
          <w:color w:val="000000" w:themeColor="text1"/>
        </w:rPr>
        <w:t xml:space="preserve"> These results indicated that </w:t>
      </w:r>
      <w:r w:rsidR="00CB3DF0" w:rsidRPr="0066655C">
        <w:rPr>
          <w:color w:val="000000" w:themeColor="text1"/>
        </w:rPr>
        <w:t xml:space="preserve">the generous setting of the weight time range </w:t>
      </w:r>
      <w:r w:rsidRPr="0066655C">
        <w:rPr>
          <w:color w:val="000000" w:themeColor="text1"/>
        </w:rPr>
        <w:t xml:space="preserve">is </w:t>
      </w:r>
      <w:r w:rsidR="00CB3DF0" w:rsidRPr="0066655C">
        <w:rPr>
          <w:color w:val="000000" w:themeColor="text1"/>
        </w:rPr>
        <w:t xml:space="preserve">available </w:t>
      </w:r>
      <w:proofErr w:type="gramStart"/>
      <w:r w:rsidR="00CB3DF0" w:rsidRPr="0066655C">
        <w:rPr>
          <w:color w:val="000000" w:themeColor="text1"/>
        </w:rPr>
        <w:t>as long as</w:t>
      </w:r>
      <w:proofErr w:type="gramEnd"/>
      <w:r w:rsidR="00CB3DF0" w:rsidRPr="0066655C">
        <w:rPr>
          <w:color w:val="000000" w:themeColor="text1"/>
        </w:rPr>
        <w:t xml:space="preserve"> the crucial time range (around 100–250 </w:t>
      </w:r>
      <w:proofErr w:type="spellStart"/>
      <w:r w:rsidR="00CB3DF0" w:rsidRPr="0066655C">
        <w:rPr>
          <w:color w:val="000000" w:themeColor="text1"/>
        </w:rPr>
        <w:t>ms</w:t>
      </w:r>
      <w:proofErr w:type="spellEnd"/>
      <w:r w:rsidR="00CB3DF0" w:rsidRPr="0066655C">
        <w:rPr>
          <w:color w:val="000000" w:themeColor="text1"/>
        </w:rPr>
        <w:t xml:space="preserve">) is covered. </w:t>
      </w:r>
      <w:r w:rsidR="00F77776" w:rsidRPr="0066655C">
        <w:rPr>
          <w:color w:val="000000" w:themeColor="text1"/>
        </w:rPr>
        <w:t xml:space="preserve">The finding that only two components </w:t>
      </w:r>
      <w:r w:rsidRPr="0066655C">
        <w:rPr>
          <w:color w:val="000000" w:themeColor="text1"/>
        </w:rPr>
        <w:t xml:space="preserve">were </w:t>
      </w:r>
      <w:r w:rsidR="009E61C2" w:rsidRPr="0066655C">
        <w:rPr>
          <w:color w:val="000000" w:themeColor="text1"/>
        </w:rPr>
        <w:t>discriminable</w:t>
      </w:r>
      <w:r w:rsidR="00F77776" w:rsidRPr="0066655C">
        <w:rPr>
          <w:color w:val="000000" w:themeColor="text1"/>
        </w:rPr>
        <w:t xml:space="preserve"> to maximally resemble the reference standard (i.e., MMR) </w:t>
      </w:r>
      <w:r w:rsidRPr="0066655C">
        <w:rPr>
          <w:color w:val="000000" w:themeColor="text1"/>
        </w:rPr>
        <w:t xml:space="preserve">suggests </w:t>
      </w:r>
      <w:r w:rsidR="00F77776" w:rsidRPr="0066655C">
        <w:rPr>
          <w:color w:val="000000" w:themeColor="text1"/>
        </w:rPr>
        <w:t xml:space="preserve">that MMR-related components </w:t>
      </w:r>
      <w:r w:rsidRPr="0066655C">
        <w:rPr>
          <w:color w:val="000000" w:themeColor="text1"/>
        </w:rPr>
        <w:t xml:space="preserve">were </w:t>
      </w:r>
      <w:r w:rsidR="005A7711" w:rsidRPr="0066655C">
        <w:rPr>
          <w:color w:val="000000" w:themeColor="text1"/>
        </w:rPr>
        <w:t>mainly</w:t>
      </w:r>
      <w:r w:rsidR="00F77776" w:rsidRPr="0066655C">
        <w:rPr>
          <w:color w:val="000000" w:themeColor="text1"/>
        </w:rPr>
        <w:t xml:space="preserve"> represented by the two components.</w:t>
      </w:r>
      <w:r w:rsidR="00473407" w:rsidRPr="0066655C">
        <w:rPr>
          <w:color w:val="000000" w:themeColor="text1"/>
        </w:rPr>
        <w:t xml:space="preserve"> In terms of SNR, </w:t>
      </w:r>
      <w:r w:rsidR="00575E31" w:rsidRPr="0066655C">
        <w:rPr>
          <w:color w:val="000000" w:themeColor="text1"/>
        </w:rPr>
        <w:t xml:space="preserve">unlike other subjects from </w:t>
      </w:r>
      <w:r w:rsidR="007444FA" w:rsidRPr="0066655C">
        <w:rPr>
          <w:color w:val="000000" w:themeColor="text1"/>
        </w:rPr>
        <w:t xml:space="preserve">the main text (Fig. 6A), it </w:t>
      </w:r>
      <w:r w:rsidRPr="0066655C">
        <w:rPr>
          <w:color w:val="000000" w:themeColor="text1"/>
        </w:rPr>
        <w:t xml:space="preserve">remained </w:t>
      </w:r>
      <w:r w:rsidR="007444FA" w:rsidRPr="0066655C">
        <w:rPr>
          <w:color w:val="000000" w:themeColor="text1"/>
        </w:rPr>
        <w:t xml:space="preserve">challenging to </w:t>
      </w:r>
      <w:r w:rsidRPr="0066655C">
        <w:rPr>
          <w:color w:val="000000" w:themeColor="text1"/>
        </w:rPr>
        <w:t xml:space="preserve">observe </w:t>
      </w:r>
      <w:r w:rsidR="007444FA" w:rsidRPr="0066655C">
        <w:rPr>
          <w:color w:val="000000" w:themeColor="text1"/>
        </w:rPr>
        <w:t>higher amplitude</w:t>
      </w:r>
      <w:r w:rsidRPr="0066655C">
        <w:rPr>
          <w:color w:val="000000" w:themeColor="text1"/>
        </w:rPr>
        <w:t>s</w:t>
      </w:r>
      <w:r w:rsidR="007444FA" w:rsidRPr="0066655C">
        <w:rPr>
          <w:color w:val="000000" w:themeColor="text1"/>
        </w:rPr>
        <w:t xml:space="preserve"> in </w:t>
      </w:r>
      <w:r w:rsidRPr="0066655C">
        <w:rPr>
          <w:color w:val="000000" w:themeColor="text1"/>
        </w:rPr>
        <w:t xml:space="preserve">the </w:t>
      </w:r>
      <w:r w:rsidR="007444FA" w:rsidRPr="0066655C">
        <w:rPr>
          <w:color w:val="000000" w:themeColor="text1"/>
        </w:rPr>
        <w:t>decomposed components in this cohort</w:t>
      </w:r>
      <w:r w:rsidRPr="0066655C">
        <w:rPr>
          <w:color w:val="000000" w:themeColor="text1"/>
        </w:rPr>
        <w:t>,</w:t>
      </w:r>
      <w:r w:rsidR="007444FA" w:rsidRPr="0066655C">
        <w:rPr>
          <w:color w:val="000000" w:themeColor="text1"/>
        </w:rPr>
        <w:t xml:space="preserve"> </w:t>
      </w:r>
      <w:r w:rsidRPr="0066655C">
        <w:rPr>
          <w:color w:val="000000" w:themeColor="text1"/>
        </w:rPr>
        <w:t>al</w:t>
      </w:r>
      <w:r w:rsidR="007444FA" w:rsidRPr="0066655C">
        <w:rPr>
          <w:color w:val="000000" w:themeColor="text1"/>
        </w:rPr>
        <w:t xml:space="preserve">though they </w:t>
      </w:r>
      <w:r w:rsidRPr="0066655C">
        <w:rPr>
          <w:color w:val="000000" w:themeColor="text1"/>
        </w:rPr>
        <w:t xml:space="preserve">did </w:t>
      </w:r>
      <w:r w:rsidR="007444FA" w:rsidRPr="0066655C">
        <w:rPr>
          <w:color w:val="000000" w:themeColor="text1"/>
        </w:rPr>
        <w:t>show</w:t>
      </w:r>
      <w:r w:rsidRPr="0066655C">
        <w:rPr>
          <w:color w:val="000000" w:themeColor="text1"/>
        </w:rPr>
        <w:t xml:space="preserve"> a</w:t>
      </w:r>
      <w:r w:rsidR="007444FA" w:rsidRPr="0066655C">
        <w:rPr>
          <w:color w:val="000000" w:themeColor="text1"/>
        </w:rPr>
        <w:t xml:space="preserve"> high temporal correlation with </w:t>
      </w:r>
      <w:r w:rsidR="006C3B27" w:rsidRPr="0066655C">
        <w:rPr>
          <w:color w:val="000000" w:themeColor="text1"/>
        </w:rPr>
        <w:t xml:space="preserve">the </w:t>
      </w:r>
      <w:r w:rsidR="007444FA" w:rsidRPr="0066655C">
        <w:rPr>
          <w:color w:val="000000" w:themeColor="text1"/>
        </w:rPr>
        <w:t xml:space="preserve">reference standard.  </w:t>
      </w:r>
    </w:p>
    <w:p w14:paraId="48E531DC" w14:textId="77777777" w:rsidR="004D24B8" w:rsidRPr="00866F8A" w:rsidRDefault="004D24B8" w:rsidP="00F02D31">
      <w:pPr>
        <w:autoSpaceDE w:val="0"/>
        <w:autoSpaceDN w:val="0"/>
        <w:adjustRightInd w:val="0"/>
        <w:spacing w:after="240" w:line="480" w:lineRule="auto"/>
        <w:ind w:firstLine="357"/>
        <w:rPr>
          <w:color w:val="000000" w:themeColor="text1"/>
        </w:rPr>
      </w:pPr>
    </w:p>
    <w:p w14:paraId="46BBC789" w14:textId="265DC169" w:rsidR="00A74087" w:rsidRPr="0066655C" w:rsidRDefault="00A74087" w:rsidP="00A74087">
      <w:pPr>
        <w:spacing w:after="140" w:line="480" w:lineRule="auto"/>
        <w:ind w:left="482" w:hanging="482"/>
        <w:outlineLvl w:val="0"/>
        <w:rPr>
          <w:color w:val="000000" w:themeColor="text1"/>
        </w:rPr>
      </w:pPr>
      <w:r w:rsidRPr="0066655C">
        <w:rPr>
          <w:b/>
          <w:bCs/>
          <w:color w:val="000000" w:themeColor="text1"/>
        </w:rPr>
        <w:lastRenderedPageBreak/>
        <w:t>Supplementary Fig. 1.</w:t>
      </w:r>
      <w:r w:rsidRPr="0066655C">
        <w:rPr>
          <w:color w:val="000000" w:themeColor="text1"/>
        </w:rPr>
        <w:t xml:space="preserve"> The </w:t>
      </w:r>
      <w:r w:rsidR="004E3D9A" w:rsidRPr="0066655C">
        <w:rPr>
          <w:color w:val="000000" w:themeColor="text1"/>
        </w:rPr>
        <w:t xml:space="preserve">PSD </w:t>
      </w:r>
      <w:r w:rsidRPr="0066655C">
        <w:rPr>
          <w:color w:val="000000" w:themeColor="text1"/>
        </w:rPr>
        <w:t>plot of noise-contain</w:t>
      </w:r>
      <w:r w:rsidR="004E3D9A" w:rsidRPr="0066655C">
        <w:rPr>
          <w:color w:val="000000" w:themeColor="text1"/>
        </w:rPr>
        <w:t>ing</w:t>
      </w:r>
      <w:r w:rsidRPr="0066655C">
        <w:rPr>
          <w:color w:val="000000" w:themeColor="text1"/>
        </w:rPr>
        <w:t xml:space="preserve"> repetitive MMR data. The arrow indicates the line peak corresponding to the fundamental frequency</w:t>
      </w:r>
      <w:r w:rsidR="004E3D9A" w:rsidRPr="0066655C">
        <w:rPr>
          <w:color w:val="000000" w:themeColor="text1"/>
        </w:rPr>
        <w:t>.</w:t>
      </w:r>
      <w:r w:rsidRPr="0066655C">
        <w:rPr>
          <w:color w:val="000000" w:themeColor="text1"/>
        </w:rPr>
        <w:t xml:space="preserve"> </w:t>
      </w:r>
      <w:r w:rsidR="004E3D9A" w:rsidRPr="0066655C">
        <w:rPr>
          <w:color w:val="000000" w:themeColor="text1"/>
        </w:rPr>
        <w:t>T</w:t>
      </w:r>
      <w:r w:rsidRPr="0066655C">
        <w:rPr>
          <w:color w:val="000000" w:themeColor="text1"/>
        </w:rPr>
        <w:t>he curl</w:t>
      </w:r>
      <w:r w:rsidR="00776721" w:rsidRPr="0066655C">
        <w:rPr>
          <w:color w:val="000000" w:themeColor="text1"/>
        </w:rPr>
        <w:t>y bracket represents the eight harmonics.</w:t>
      </w:r>
      <w:r w:rsidRPr="0066655C">
        <w:rPr>
          <w:color w:val="000000" w:themeColor="text1"/>
        </w:rPr>
        <w:t xml:space="preserve"> </w:t>
      </w:r>
    </w:p>
    <w:p w14:paraId="07ACA189" w14:textId="5F89E269" w:rsidR="00145CA7" w:rsidRPr="00866F8A" w:rsidRDefault="00145CA7" w:rsidP="00F02D31">
      <w:pPr>
        <w:spacing w:after="140" w:line="480" w:lineRule="auto"/>
        <w:outlineLvl w:val="0"/>
        <w:rPr>
          <w:iCs/>
          <w:color w:val="000000" w:themeColor="text1"/>
        </w:rPr>
      </w:pPr>
    </w:p>
    <w:p w14:paraId="1A981D1F" w14:textId="565158CF" w:rsidR="00776721" w:rsidRPr="0066655C" w:rsidRDefault="00776721" w:rsidP="00776721">
      <w:pPr>
        <w:spacing w:after="140" w:line="480" w:lineRule="auto"/>
        <w:ind w:left="482" w:hanging="482"/>
        <w:outlineLvl w:val="0"/>
        <w:rPr>
          <w:color w:val="000000" w:themeColor="text1"/>
        </w:rPr>
      </w:pPr>
      <w:r w:rsidRPr="0066655C">
        <w:rPr>
          <w:b/>
          <w:bCs/>
          <w:color w:val="000000" w:themeColor="text1"/>
        </w:rPr>
        <w:t>Supplementary Fig. 2.</w:t>
      </w:r>
      <w:r w:rsidRPr="0066655C">
        <w:rPr>
          <w:color w:val="000000" w:themeColor="text1"/>
        </w:rPr>
        <w:t xml:space="preserve"> The results of the </w:t>
      </w:r>
      <w:proofErr w:type="spellStart"/>
      <w:r w:rsidRPr="0066655C">
        <w:rPr>
          <w:color w:val="000000" w:themeColor="text1"/>
        </w:rPr>
        <w:t>spatio</w:t>
      </w:r>
      <w:proofErr w:type="spellEnd"/>
      <w:r w:rsidRPr="0066655C">
        <w:rPr>
          <w:color w:val="000000" w:themeColor="text1"/>
        </w:rPr>
        <w:t xml:space="preserve">-temporal cluster permutation analysis when </w:t>
      </w:r>
      <w:r w:rsidR="004E3D9A" w:rsidRPr="0066655C">
        <w:rPr>
          <w:color w:val="000000" w:themeColor="text1"/>
        </w:rPr>
        <w:t xml:space="preserve">a </w:t>
      </w:r>
      <w:r w:rsidRPr="0066655C">
        <w:rPr>
          <w:color w:val="000000" w:themeColor="text1"/>
        </w:rPr>
        <w:t xml:space="preserve">different setting of </w:t>
      </w:r>
      <w:r w:rsidR="004E3D9A" w:rsidRPr="0066655C">
        <w:rPr>
          <w:color w:val="000000" w:themeColor="text1"/>
        </w:rPr>
        <w:t xml:space="preserve">the </w:t>
      </w:r>
      <w:r w:rsidRPr="0066655C">
        <w:rPr>
          <w:color w:val="000000" w:themeColor="text1"/>
        </w:rPr>
        <w:t>cluster-defining threshold (</w:t>
      </w:r>
      <w:r w:rsidRPr="0066655C">
        <w:rPr>
          <w:i/>
          <w:iCs/>
          <w:color w:val="000000" w:themeColor="text1"/>
        </w:rPr>
        <w:t>p</w:t>
      </w:r>
      <w:r w:rsidRPr="0066655C">
        <w:rPr>
          <w:color w:val="000000" w:themeColor="text1"/>
        </w:rPr>
        <w:t xml:space="preserve"> = 0.005) was selected. Similar results were obtained </w:t>
      </w:r>
      <w:r w:rsidR="004E3D9A" w:rsidRPr="0066655C">
        <w:rPr>
          <w:color w:val="000000" w:themeColor="text1"/>
        </w:rPr>
        <w:t xml:space="preserve">using </w:t>
      </w:r>
      <w:r w:rsidRPr="0066655C">
        <w:rPr>
          <w:i/>
          <w:iCs/>
          <w:color w:val="000000" w:themeColor="text1"/>
        </w:rPr>
        <w:t>p</w:t>
      </w:r>
      <w:r w:rsidRPr="0066655C">
        <w:rPr>
          <w:color w:val="000000" w:themeColor="text1"/>
        </w:rPr>
        <w:t xml:space="preserve"> = 0.01.</w:t>
      </w:r>
    </w:p>
    <w:p w14:paraId="47BFB0BC" w14:textId="77777777" w:rsidR="00776721" w:rsidRPr="00866F8A" w:rsidRDefault="00776721" w:rsidP="00F02D31">
      <w:pPr>
        <w:spacing w:after="140" w:line="480" w:lineRule="auto"/>
        <w:outlineLvl w:val="0"/>
        <w:rPr>
          <w:iCs/>
          <w:color w:val="000000" w:themeColor="text1"/>
        </w:rPr>
      </w:pPr>
    </w:p>
    <w:p w14:paraId="5C8FBE11" w14:textId="77777777" w:rsidR="00776721" w:rsidRPr="00866F8A" w:rsidRDefault="00776721" w:rsidP="00F02D31">
      <w:pPr>
        <w:spacing w:after="140" w:line="480" w:lineRule="auto"/>
        <w:outlineLvl w:val="0"/>
        <w:rPr>
          <w:iCs/>
          <w:color w:val="000000" w:themeColor="text1"/>
        </w:rPr>
      </w:pPr>
    </w:p>
    <w:p w14:paraId="04BDB57A" w14:textId="58AAE776" w:rsidR="00145CA7" w:rsidRPr="00866F8A" w:rsidRDefault="004E1BA5" w:rsidP="00F02D31">
      <w:pPr>
        <w:spacing w:after="140" w:line="480" w:lineRule="auto"/>
        <w:ind w:left="482" w:hanging="482"/>
        <w:outlineLvl w:val="0"/>
        <w:rPr>
          <w:color w:val="000000" w:themeColor="text1"/>
        </w:rPr>
      </w:pPr>
      <w:r w:rsidRPr="00866F8A">
        <w:rPr>
          <w:b/>
          <w:bCs/>
          <w:color w:val="000000" w:themeColor="text1"/>
        </w:rPr>
        <w:t>Supplementary</w:t>
      </w:r>
      <w:r w:rsidR="00145CA7" w:rsidRPr="00866F8A">
        <w:rPr>
          <w:b/>
          <w:bCs/>
          <w:color w:val="000000" w:themeColor="text1"/>
        </w:rPr>
        <w:t xml:space="preserve"> Fig. </w:t>
      </w:r>
      <w:r w:rsidR="008974F3" w:rsidRPr="0066655C">
        <w:rPr>
          <w:b/>
          <w:bCs/>
          <w:color w:val="000000" w:themeColor="text1"/>
        </w:rPr>
        <w:t>3</w:t>
      </w:r>
      <w:r w:rsidR="00145CA7" w:rsidRPr="00866F8A">
        <w:rPr>
          <w:b/>
          <w:bCs/>
          <w:color w:val="000000" w:themeColor="text1"/>
        </w:rPr>
        <w:t>.</w:t>
      </w:r>
      <w:r w:rsidR="00145CA7" w:rsidRPr="00866F8A">
        <w:rPr>
          <w:color w:val="000000" w:themeColor="text1"/>
        </w:rPr>
        <w:t xml:space="preserve"> The center of </w:t>
      </w:r>
      <w:r w:rsidR="00652712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distribution of </w:t>
      </w:r>
      <w:r w:rsidR="00652712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salient components and the slope of the </w:t>
      </w:r>
      <w:r w:rsidR="00652712" w:rsidRPr="00866F8A">
        <w:rPr>
          <w:color w:val="000000" w:themeColor="text1"/>
        </w:rPr>
        <w:t xml:space="preserve">first </w:t>
      </w:r>
      <w:r w:rsidR="00145CA7" w:rsidRPr="00866F8A">
        <w:rPr>
          <w:color w:val="000000" w:themeColor="text1"/>
        </w:rPr>
        <w:t>PCA component superimposed on</w:t>
      </w:r>
      <w:r w:rsidR="00652712" w:rsidRPr="00866F8A">
        <w:rPr>
          <w:color w:val="000000" w:themeColor="text1"/>
        </w:rPr>
        <w:t>to</w:t>
      </w:r>
      <w:r w:rsidR="00145CA7" w:rsidRPr="00866F8A">
        <w:rPr>
          <w:color w:val="000000" w:themeColor="text1"/>
        </w:rPr>
        <w:t xml:space="preserve"> </w:t>
      </w:r>
      <w:r w:rsidR="00652712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>scatter plot</w:t>
      </w:r>
      <w:r w:rsidR="00C626B5" w:rsidRPr="00866F8A">
        <w:rPr>
          <w:color w:val="000000" w:themeColor="text1"/>
        </w:rPr>
        <w:t>s</w:t>
      </w:r>
      <w:r w:rsidR="00145CA7" w:rsidRPr="00866F8A">
        <w:rPr>
          <w:color w:val="000000" w:themeColor="text1"/>
        </w:rPr>
        <w:t xml:space="preserve"> of </w:t>
      </w:r>
      <w:r w:rsidR="00652712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salient components for individual subjects. The center is indicated by the filled circle. </w:t>
      </w:r>
      <w:r w:rsidR="00906F8C" w:rsidRPr="00866F8A">
        <w:rPr>
          <w:color w:val="000000" w:themeColor="text1"/>
        </w:rPr>
        <w:t>Similar r</w:t>
      </w:r>
      <w:r w:rsidR="00145CA7" w:rsidRPr="00866F8A">
        <w:rPr>
          <w:color w:val="000000" w:themeColor="text1"/>
        </w:rPr>
        <w:t>esults</w:t>
      </w:r>
      <w:r w:rsidR="00906F8C" w:rsidRPr="00866F8A">
        <w:rPr>
          <w:color w:val="000000" w:themeColor="text1"/>
        </w:rPr>
        <w:t xml:space="preserve"> to those</w:t>
      </w:r>
      <w:r w:rsidR="00145CA7" w:rsidRPr="00866F8A">
        <w:rPr>
          <w:color w:val="000000" w:themeColor="text1"/>
        </w:rPr>
        <w:t xml:space="preserve"> </w:t>
      </w:r>
      <w:r w:rsidR="00906F8C" w:rsidRPr="00866F8A">
        <w:rPr>
          <w:color w:val="000000" w:themeColor="text1"/>
        </w:rPr>
        <w:t xml:space="preserve">shown in </w:t>
      </w:r>
      <w:r w:rsidR="00145CA7" w:rsidRPr="00866F8A">
        <w:rPr>
          <w:color w:val="000000" w:themeColor="text1"/>
        </w:rPr>
        <w:t xml:space="preserve">Fig. </w:t>
      </w:r>
      <w:r w:rsidR="00715C83" w:rsidRPr="00866F8A">
        <w:rPr>
          <w:color w:val="000000" w:themeColor="text1"/>
        </w:rPr>
        <w:t>7</w:t>
      </w:r>
      <w:r w:rsidR="00145CA7" w:rsidRPr="00866F8A">
        <w:rPr>
          <w:color w:val="000000" w:themeColor="text1"/>
        </w:rPr>
        <w:t xml:space="preserve"> </w:t>
      </w:r>
      <w:r w:rsidR="00652712" w:rsidRPr="00866F8A">
        <w:rPr>
          <w:color w:val="000000" w:themeColor="text1"/>
        </w:rPr>
        <w:t xml:space="preserve">were </w:t>
      </w:r>
      <w:r w:rsidR="00145CA7" w:rsidRPr="00866F8A">
        <w:rPr>
          <w:color w:val="000000" w:themeColor="text1"/>
        </w:rPr>
        <w:t>revealed at the individual level.</w:t>
      </w:r>
    </w:p>
    <w:p w14:paraId="7CE7BF57" w14:textId="77777777" w:rsidR="00145CA7" w:rsidRPr="00866F8A" w:rsidRDefault="00145CA7" w:rsidP="00F02D31">
      <w:pPr>
        <w:spacing w:after="140" w:line="480" w:lineRule="auto"/>
        <w:ind w:left="482" w:hanging="482"/>
        <w:outlineLvl w:val="0"/>
        <w:rPr>
          <w:iCs/>
          <w:color w:val="000000" w:themeColor="text1"/>
        </w:rPr>
      </w:pPr>
    </w:p>
    <w:p w14:paraId="61A46B62" w14:textId="09C8DF0F" w:rsidR="00145CA7" w:rsidRPr="0066655C" w:rsidRDefault="004E1BA5" w:rsidP="00F02D31">
      <w:pPr>
        <w:spacing w:after="140" w:line="480" w:lineRule="auto"/>
        <w:ind w:left="482" w:hanging="482"/>
        <w:outlineLvl w:val="0"/>
        <w:rPr>
          <w:iCs/>
          <w:color w:val="000000" w:themeColor="text1"/>
        </w:rPr>
      </w:pPr>
      <w:r w:rsidRPr="00866F8A">
        <w:rPr>
          <w:b/>
          <w:bCs/>
          <w:iCs/>
          <w:color w:val="000000" w:themeColor="text1"/>
        </w:rPr>
        <w:t>Supplementary</w:t>
      </w:r>
      <w:r w:rsidR="00145CA7" w:rsidRPr="00866F8A">
        <w:rPr>
          <w:b/>
          <w:bCs/>
          <w:iCs/>
          <w:color w:val="000000" w:themeColor="text1"/>
        </w:rPr>
        <w:t xml:space="preserve"> Fig. </w:t>
      </w:r>
      <w:r w:rsidR="008974F3" w:rsidRPr="0066655C">
        <w:rPr>
          <w:b/>
          <w:bCs/>
          <w:iCs/>
          <w:color w:val="000000" w:themeColor="text1"/>
        </w:rPr>
        <w:t>4</w:t>
      </w:r>
      <w:r w:rsidR="00145CA7" w:rsidRPr="00866F8A">
        <w:rPr>
          <w:b/>
          <w:bCs/>
          <w:iCs/>
          <w:color w:val="000000" w:themeColor="text1"/>
        </w:rPr>
        <w:t xml:space="preserve">. </w:t>
      </w:r>
      <w:r w:rsidR="00145CA7" w:rsidRPr="00866F8A">
        <w:rPr>
          <w:iCs/>
          <w:color w:val="000000" w:themeColor="text1"/>
        </w:rPr>
        <w:t>Relative contribution (</w:t>
      </w:r>
      <w:r w:rsidR="00145CA7" w:rsidRPr="00866F8A">
        <w:rPr>
          <w:i/>
          <w:color w:val="000000" w:themeColor="text1"/>
        </w:rPr>
        <w:t>RC</w:t>
      </w:r>
      <w:r w:rsidR="00145CA7" w:rsidRPr="00866F8A">
        <w:rPr>
          <w:iCs/>
          <w:color w:val="000000" w:themeColor="text1"/>
        </w:rPr>
        <w:t xml:space="preserve">) results in individual subjects. </w:t>
      </w:r>
      <w:r w:rsidR="00906F8C" w:rsidRPr="00866F8A">
        <w:rPr>
          <w:iCs/>
          <w:color w:val="000000" w:themeColor="text1"/>
        </w:rPr>
        <w:t xml:space="preserve">On </w:t>
      </w:r>
      <w:r w:rsidR="00145CA7" w:rsidRPr="00866F8A">
        <w:rPr>
          <w:iCs/>
          <w:color w:val="000000" w:themeColor="text1"/>
        </w:rPr>
        <w:t xml:space="preserve">the x-axis, </w:t>
      </w:r>
      <w:r w:rsidR="00145CA7" w:rsidRPr="00866F8A">
        <w:rPr>
          <w:i/>
          <w:color w:val="000000" w:themeColor="text1"/>
        </w:rPr>
        <w:t>c</w:t>
      </w:r>
      <w:r w:rsidR="00145CA7" w:rsidRPr="00866F8A">
        <w:rPr>
          <w:iCs/>
          <w:color w:val="000000" w:themeColor="text1"/>
        </w:rPr>
        <w:t xml:space="preserve"> represents </w:t>
      </w:r>
      <w:r w:rsidR="00906F8C" w:rsidRPr="00866F8A">
        <w:rPr>
          <w:iCs/>
          <w:color w:val="000000" w:themeColor="text1"/>
        </w:rPr>
        <w:t xml:space="preserve">the </w:t>
      </w:r>
      <w:r w:rsidR="00145CA7" w:rsidRPr="00866F8A">
        <w:rPr>
          <w:iCs/>
          <w:color w:val="000000" w:themeColor="text1"/>
        </w:rPr>
        <w:t>index number of the salient component according to the</w:t>
      </w:r>
      <w:r w:rsidR="00652712" w:rsidRPr="00866F8A">
        <w:rPr>
          <w:iCs/>
          <w:color w:val="000000" w:themeColor="text1"/>
        </w:rPr>
        <w:t xml:space="preserve"> sorting</w:t>
      </w:r>
      <w:r w:rsidR="00145CA7" w:rsidRPr="00866F8A">
        <w:rPr>
          <w:iCs/>
          <w:color w:val="000000" w:themeColor="text1"/>
        </w:rPr>
        <w:t xml:space="preserve"> </w:t>
      </w:r>
      <w:r w:rsidR="00906F8C" w:rsidRPr="00866F8A">
        <w:rPr>
          <w:iCs/>
          <w:color w:val="000000" w:themeColor="text1"/>
        </w:rPr>
        <w:t xml:space="preserve">order </w:t>
      </w:r>
      <w:r w:rsidR="00652712" w:rsidRPr="00866F8A">
        <w:rPr>
          <w:iCs/>
          <w:color w:val="000000" w:themeColor="text1"/>
        </w:rPr>
        <w:t xml:space="preserve">of </w:t>
      </w:r>
      <w:r w:rsidR="00145CA7" w:rsidRPr="00866F8A">
        <w:rPr>
          <w:color w:val="000000" w:themeColor="text1"/>
        </w:rPr>
        <w:t xml:space="preserve">the </w:t>
      </w:r>
      <w:r w:rsidR="00652712" w:rsidRPr="00866F8A">
        <w:rPr>
          <w:color w:val="000000" w:themeColor="text1"/>
        </w:rPr>
        <w:t xml:space="preserve">first </w:t>
      </w:r>
      <w:r w:rsidR="00145CA7" w:rsidRPr="00866F8A">
        <w:rPr>
          <w:color w:val="000000" w:themeColor="text1"/>
        </w:rPr>
        <w:t>PCA component axis (</w:t>
      </w:r>
      <w:r w:rsidRPr="00866F8A">
        <w:rPr>
          <w:color w:val="000000" w:themeColor="text1"/>
        </w:rPr>
        <w:t>Supplementary</w:t>
      </w:r>
      <w:r w:rsidR="00145CA7" w:rsidRPr="00866F8A">
        <w:rPr>
          <w:color w:val="000000" w:themeColor="text1"/>
        </w:rPr>
        <w:t xml:space="preserve"> Fig.</w:t>
      </w:r>
      <w:r w:rsidR="0060242C" w:rsidRPr="00866F8A">
        <w:rPr>
          <w:color w:val="000000" w:themeColor="text1"/>
        </w:rPr>
        <w:t xml:space="preserve"> </w:t>
      </w:r>
      <w:r w:rsidR="00BF202F" w:rsidRPr="0066655C">
        <w:rPr>
          <w:color w:val="000000" w:themeColor="text1"/>
        </w:rPr>
        <w:t>3</w:t>
      </w:r>
      <w:r w:rsidR="00145CA7" w:rsidRPr="00866F8A">
        <w:rPr>
          <w:color w:val="000000" w:themeColor="text1"/>
        </w:rPr>
        <w:t>)</w:t>
      </w:r>
      <w:r w:rsidR="00145CA7" w:rsidRPr="00866F8A">
        <w:rPr>
          <w:iCs/>
          <w:color w:val="000000" w:themeColor="text1"/>
        </w:rPr>
        <w:t xml:space="preserve">. Upper panels: </w:t>
      </w:r>
      <w:r w:rsidR="00145CA7" w:rsidRPr="00866F8A">
        <w:rPr>
          <w:i/>
          <w:color w:val="000000" w:themeColor="text1"/>
        </w:rPr>
        <w:t xml:space="preserve">RC </w:t>
      </w:r>
      <w:r w:rsidR="00145CA7" w:rsidRPr="00866F8A">
        <w:rPr>
          <w:iCs/>
          <w:color w:val="000000" w:themeColor="text1"/>
        </w:rPr>
        <w:t>line, lower panels: approximate line according to Eq. (2</w:t>
      </w:r>
      <w:r w:rsidR="007B41B8" w:rsidRPr="00866F8A">
        <w:rPr>
          <w:iCs/>
          <w:color w:val="000000" w:themeColor="text1"/>
        </w:rPr>
        <w:t>3</w:t>
      </w:r>
      <w:r w:rsidR="00145CA7" w:rsidRPr="00866F8A">
        <w:rPr>
          <w:iCs/>
          <w:color w:val="000000" w:themeColor="text1"/>
        </w:rPr>
        <w:t xml:space="preserve">). Most subjects </w:t>
      </w:r>
      <w:r w:rsidR="00652712" w:rsidRPr="00866F8A">
        <w:rPr>
          <w:iCs/>
          <w:color w:val="000000" w:themeColor="text1"/>
        </w:rPr>
        <w:t xml:space="preserve">had </w:t>
      </w:r>
      <w:r w:rsidR="00145CA7" w:rsidRPr="00866F8A">
        <w:rPr>
          <w:iCs/>
          <w:color w:val="000000" w:themeColor="text1"/>
        </w:rPr>
        <w:t xml:space="preserve">a high </w:t>
      </w:r>
      <w:r w:rsidR="00145CA7" w:rsidRPr="00866F8A">
        <w:rPr>
          <w:iCs/>
          <w:color w:val="000000" w:themeColor="text1"/>
        </w:rPr>
        <w:lastRenderedPageBreak/>
        <w:t xml:space="preserve">contribution </w:t>
      </w:r>
      <w:r w:rsidR="00652712" w:rsidRPr="00866F8A">
        <w:rPr>
          <w:iCs/>
          <w:color w:val="000000" w:themeColor="text1"/>
        </w:rPr>
        <w:t xml:space="preserve">to </w:t>
      </w:r>
      <w:r w:rsidR="00145CA7" w:rsidRPr="00866F8A">
        <w:rPr>
          <w:iCs/>
          <w:color w:val="000000" w:themeColor="text1"/>
        </w:rPr>
        <w:t>the first component in</w:t>
      </w:r>
      <w:r w:rsidR="006C2D38" w:rsidRPr="00866F8A">
        <w:rPr>
          <w:iCs/>
          <w:color w:val="000000" w:themeColor="text1"/>
        </w:rPr>
        <w:t xml:space="preserve"> the</w:t>
      </w:r>
      <w:r w:rsidR="00145CA7" w:rsidRPr="00866F8A">
        <w:rPr>
          <w:iCs/>
          <w:color w:val="000000" w:themeColor="text1"/>
        </w:rPr>
        <w:t xml:space="preserve"> weighted-</w:t>
      </w:r>
      <w:r w:rsidR="00145CA7" w:rsidRPr="00866F8A">
        <w:rPr>
          <w:i/>
          <w:color w:val="000000" w:themeColor="text1"/>
        </w:rPr>
        <w:t>BSS</w:t>
      </w:r>
      <w:r w:rsidR="00145CA7" w:rsidRPr="00866F8A">
        <w:rPr>
          <w:i/>
          <w:color w:val="000000" w:themeColor="text1"/>
          <w:vertAlign w:val="subscript"/>
        </w:rPr>
        <w:t>T/k</w:t>
      </w:r>
      <w:r w:rsidR="00145CA7" w:rsidRPr="00866F8A">
        <w:rPr>
          <w:iCs/>
          <w:color w:val="000000" w:themeColor="text1"/>
        </w:rPr>
        <w:t xml:space="preserve"> (red lines)</w:t>
      </w:r>
      <w:r w:rsidR="00652712" w:rsidRPr="00866F8A">
        <w:rPr>
          <w:iCs/>
          <w:color w:val="000000" w:themeColor="text1"/>
        </w:rPr>
        <w:t>,</w:t>
      </w:r>
      <w:r w:rsidR="00145CA7" w:rsidRPr="00866F8A">
        <w:rPr>
          <w:iCs/>
          <w:color w:val="000000" w:themeColor="text1"/>
        </w:rPr>
        <w:t xml:space="preserve"> and the downslope </w:t>
      </w:r>
      <w:r w:rsidR="00652712" w:rsidRPr="00866F8A">
        <w:rPr>
          <w:iCs/>
          <w:color w:val="000000" w:themeColor="text1"/>
        </w:rPr>
        <w:t xml:space="preserve">was </w:t>
      </w:r>
      <w:r w:rsidR="00145CA7" w:rsidRPr="00866F8A">
        <w:rPr>
          <w:iCs/>
          <w:color w:val="000000" w:themeColor="text1"/>
        </w:rPr>
        <w:t>steep</w:t>
      </w:r>
      <w:r w:rsidR="00652712" w:rsidRPr="00866F8A">
        <w:rPr>
          <w:iCs/>
          <w:color w:val="000000" w:themeColor="text1"/>
        </w:rPr>
        <w:t>,</w:t>
      </w:r>
      <w:r w:rsidR="00145CA7" w:rsidRPr="00866F8A">
        <w:rPr>
          <w:iCs/>
          <w:color w:val="000000" w:themeColor="text1"/>
        </w:rPr>
        <w:t xml:space="preserve"> </w:t>
      </w:r>
      <w:r w:rsidR="00906F8C" w:rsidRPr="00866F8A">
        <w:rPr>
          <w:iCs/>
          <w:color w:val="000000" w:themeColor="text1"/>
        </w:rPr>
        <w:t>arriving at</w:t>
      </w:r>
      <w:r w:rsidR="00145CA7" w:rsidRPr="00866F8A">
        <w:rPr>
          <w:iCs/>
          <w:color w:val="000000" w:themeColor="text1"/>
        </w:rPr>
        <w:t xml:space="preserve"> a 5% threshold (gray dotted lines). </w:t>
      </w:r>
      <w:r w:rsidR="00652712" w:rsidRPr="00866F8A">
        <w:rPr>
          <w:iCs/>
          <w:color w:val="000000" w:themeColor="text1"/>
        </w:rPr>
        <w:t>C</w:t>
      </w:r>
      <w:r w:rsidR="00145CA7" w:rsidRPr="00866F8A">
        <w:rPr>
          <w:iCs/>
          <w:color w:val="000000" w:themeColor="text1"/>
        </w:rPr>
        <w:t xml:space="preserve">ount results above the 5% threshold </w:t>
      </w:r>
      <w:r w:rsidR="00906F8C" w:rsidRPr="00866F8A">
        <w:rPr>
          <w:iCs/>
          <w:color w:val="000000" w:themeColor="text1"/>
        </w:rPr>
        <w:t>are</w:t>
      </w:r>
      <w:r w:rsidR="00145CA7" w:rsidRPr="00866F8A">
        <w:rPr>
          <w:iCs/>
          <w:color w:val="000000" w:themeColor="text1"/>
        </w:rPr>
        <w:t xml:space="preserve"> shown in Table 2</w:t>
      </w:r>
      <w:r w:rsidR="00145CA7" w:rsidRPr="0066655C">
        <w:rPr>
          <w:iCs/>
          <w:color w:val="000000" w:themeColor="text1"/>
        </w:rPr>
        <w:t xml:space="preserve">. </w:t>
      </w:r>
      <w:r w:rsidR="00BF202F" w:rsidRPr="0066655C">
        <w:rPr>
          <w:iCs/>
          <w:color w:val="000000" w:themeColor="text1"/>
        </w:rPr>
        <w:t>Red, green</w:t>
      </w:r>
      <w:r w:rsidR="004E3D9A" w:rsidRPr="0066655C">
        <w:rPr>
          <w:iCs/>
          <w:color w:val="000000" w:themeColor="text1"/>
        </w:rPr>
        <w:t>,</w:t>
      </w:r>
      <w:r w:rsidR="00BF202F" w:rsidRPr="0066655C">
        <w:rPr>
          <w:iCs/>
          <w:color w:val="000000" w:themeColor="text1"/>
        </w:rPr>
        <w:t xml:space="preserve"> and yellow </w:t>
      </w:r>
      <w:r w:rsidR="00BF202F" w:rsidRPr="0066655C">
        <w:rPr>
          <w:color w:val="000000" w:themeColor="text1"/>
        </w:rPr>
        <w:t>a</w:t>
      </w:r>
      <w:r w:rsidR="00E43B40" w:rsidRPr="0066655C">
        <w:rPr>
          <w:color w:val="000000" w:themeColor="text1"/>
        </w:rPr>
        <w:t xml:space="preserve">rrows indicate the </w:t>
      </w:r>
      <w:r w:rsidR="008974F3" w:rsidRPr="0066655C">
        <w:rPr>
          <w:color w:val="000000" w:themeColor="text1"/>
        </w:rPr>
        <w:t>corresponding</w:t>
      </w:r>
      <w:r w:rsidR="00E43B40" w:rsidRPr="0066655C">
        <w:rPr>
          <w:color w:val="000000" w:themeColor="text1"/>
        </w:rPr>
        <w:t xml:space="preserve"> components from Subject 2 in Fig. 4.</w:t>
      </w:r>
    </w:p>
    <w:p w14:paraId="7BB87553" w14:textId="77777777" w:rsidR="00145CA7" w:rsidRPr="00866F8A" w:rsidRDefault="00145CA7" w:rsidP="00F02D31">
      <w:pPr>
        <w:spacing w:after="140" w:line="480" w:lineRule="auto"/>
        <w:ind w:left="482" w:hanging="482"/>
        <w:outlineLvl w:val="0"/>
        <w:rPr>
          <w:iCs/>
          <w:color w:val="000000" w:themeColor="text1"/>
        </w:rPr>
      </w:pPr>
    </w:p>
    <w:p w14:paraId="57581FF0" w14:textId="467811B1" w:rsidR="00F02D31" w:rsidRPr="00866F8A" w:rsidRDefault="004E1BA5" w:rsidP="00762730">
      <w:pPr>
        <w:spacing w:after="140" w:line="480" w:lineRule="auto"/>
        <w:ind w:left="482" w:hanging="482"/>
        <w:outlineLvl w:val="0"/>
        <w:rPr>
          <w:color w:val="000000" w:themeColor="text1"/>
        </w:rPr>
      </w:pPr>
      <w:r w:rsidRPr="00866F8A">
        <w:rPr>
          <w:b/>
          <w:bCs/>
          <w:color w:val="000000" w:themeColor="text1"/>
        </w:rPr>
        <w:t>Supplementary</w:t>
      </w:r>
      <w:r w:rsidR="00145CA7" w:rsidRPr="00866F8A">
        <w:rPr>
          <w:b/>
          <w:bCs/>
          <w:color w:val="000000" w:themeColor="text1"/>
        </w:rPr>
        <w:t xml:space="preserve"> Fig. </w:t>
      </w:r>
      <w:r w:rsidR="008974F3" w:rsidRPr="0066655C">
        <w:rPr>
          <w:b/>
          <w:bCs/>
          <w:color w:val="000000" w:themeColor="text1"/>
        </w:rPr>
        <w:t>5</w:t>
      </w:r>
      <w:r w:rsidR="00145CA7" w:rsidRPr="00866F8A">
        <w:rPr>
          <w:b/>
          <w:bCs/>
          <w:color w:val="000000" w:themeColor="text1"/>
        </w:rPr>
        <w:t xml:space="preserve">. </w:t>
      </w:r>
      <w:r w:rsidR="00145CA7" w:rsidRPr="00866F8A">
        <w:rPr>
          <w:color w:val="000000" w:themeColor="text1"/>
        </w:rPr>
        <w:t>Additional analysis using standard epochs from Subject 7. (</w:t>
      </w:r>
      <w:r w:rsidR="00145CA7" w:rsidRPr="00866F8A">
        <w:rPr>
          <w:b/>
          <w:bCs/>
          <w:color w:val="000000" w:themeColor="text1"/>
        </w:rPr>
        <w:t>A</w:t>
      </w:r>
      <w:r w:rsidR="00145CA7" w:rsidRPr="00866F8A">
        <w:rPr>
          <w:color w:val="000000" w:themeColor="text1"/>
        </w:rPr>
        <w:t xml:space="preserve">) </w:t>
      </w:r>
      <w:r w:rsidR="00F72FFD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>ERF from sensor space analysis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bar>
          </m:e>
          <m:sub>
            <m:r>
              <w:rPr>
                <w:rFonts w:ascii="Cambria Math" w:hAnsi="Cambria Math"/>
                <w:color w:val="000000" w:themeColor="text1"/>
              </w:rPr>
              <m:t>std</m:t>
            </m:r>
          </m:sub>
        </m:sSub>
      </m:oMath>
      <w:r w:rsidR="00145CA7" w:rsidRPr="00866F8A">
        <w:rPr>
          <w:color w:val="000000" w:themeColor="text1"/>
        </w:rPr>
        <w:t>). Purple line, MMR time (96–276 ms); red line, 300–500 ms. (</w:t>
      </w:r>
      <w:r w:rsidR="00145CA7" w:rsidRPr="00866F8A">
        <w:rPr>
          <w:b/>
          <w:bCs/>
          <w:color w:val="000000" w:themeColor="text1"/>
        </w:rPr>
        <w:t>B</w:t>
      </w:r>
      <w:r w:rsidR="00145CA7" w:rsidRPr="00866F8A">
        <w:rPr>
          <w:color w:val="000000" w:themeColor="text1"/>
        </w:rPr>
        <w:t xml:space="preserve">) </w:t>
      </w:r>
      <w:r w:rsidR="00F72FFD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 xml:space="preserve">ERF from </w:t>
      </w:r>
      <w:r w:rsidR="00546EF9" w:rsidRPr="00866F8A">
        <w:rPr>
          <w:color w:val="000000" w:themeColor="text1"/>
        </w:rPr>
        <w:t xml:space="preserve">the </w:t>
      </w:r>
      <w:r w:rsidR="00145CA7" w:rsidRPr="00866F8A">
        <w:rPr>
          <w:color w:val="000000" w:themeColor="text1"/>
        </w:rPr>
        <w:t>weighted-</w:t>
      </w:r>
      <w:r w:rsidR="00145CA7" w:rsidRPr="00866F8A">
        <w:rPr>
          <w:i/>
          <w:color w:val="000000" w:themeColor="text1"/>
        </w:rPr>
        <w:t>BSS</w:t>
      </w:r>
      <w:r w:rsidR="00145CA7" w:rsidRPr="00866F8A">
        <w:rPr>
          <w:i/>
          <w:color w:val="000000" w:themeColor="text1"/>
          <w:vertAlign w:val="subscript"/>
        </w:rPr>
        <w:t>T/k</w:t>
      </w:r>
      <w:r w:rsidR="00145CA7" w:rsidRPr="00866F8A">
        <w:rPr>
          <w:iCs/>
          <w:color w:val="000000" w:themeColor="text1"/>
        </w:rPr>
        <w:t xml:space="preserve"> with a weight on the MMR time (upper) and </w:t>
      </w:r>
      <w:r w:rsidR="00F72FFD" w:rsidRPr="00866F8A">
        <w:rPr>
          <w:iCs/>
          <w:color w:val="000000" w:themeColor="text1"/>
        </w:rPr>
        <w:t xml:space="preserve">the </w:t>
      </w:r>
      <w:r w:rsidR="00145CA7" w:rsidRPr="00866F8A">
        <w:rPr>
          <w:iCs/>
          <w:color w:val="000000" w:themeColor="text1"/>
        </w:rPr>
        <w:t xml:space="preserve">scatter plot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45CA7" w:rsidRPr="00866F8A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45CA7" w:rsidRPr="00866F8A">
        <w:rPr>
          <w:color w:val="000000" w:themeColor="text1"/>
        </w:rPr>
        <w:t xml:space="preserve"> for each component (lower). No MMR-related</w:t>
      </w:r>
      <w:r w:rsidR="00652712" w:rsidRPr="00866F8A">
        <w:rPr>
          <w:color w:val="000000" w:themeColor="text1"/>
        </w:rPr>
        <w:t xml:space="preserve"> </w:t>
      </w:r>
      <w:r w:rsidR="00145CA7" w:rsidRPr="00866F8A">
        <w:rPr>
          <w:color w:val="000000" w:themeColor="text1"/>
        </w:rPr>
        <w:t xml:space="preserve">components </w:t>
      </w:r>
      <w:r w:rsidR="00652712" w:rsidRPr="00866F8A">
        <w:rPr>
          <w:color w:val="000000" w:themeColor="text1"/>
        </w:rPr>
        <w:t>were observed</w:t>
      </w:r>
      <w:r w:rsidR="00145CA7" w:rsidRPr="00866F8A">
        <w:rPr>
          <w:color w:val="000000" w:themeColor="text1"/>
        </w:rPr>
        <w:t>. (</w:t>
      </w:r>
      <w:r w:rsidR="00145CA7" w:rsidRPr="00866F8A">
        <w:rPr>
          <w:b/>
          <w:bCs/>
          <w:color w:val="000000" w:themeColor="text1"/>
        </w:rPr>
        <w:t>C</w:t>
      </w:r>
      <w:r w:rsidR="00145CA7" w:rsidRPr="00866F8A">
        <w:rPr>
          <w:color w:val="000000" w:themeColor="text1"/>
        </w:rPr>
        <w:t>) ERF from weighted-</w:t>
      </w:r>
      <w:r w:rsidR="00145CA7" w:rsidRPr="00866F8A">
        <w:rPr>
          <w:i/>
          <w:color w:val="000000" w:themeColor="text1"/>
        </w:rPr>
        <w:t>BSS</w:t>
      </w:r>
      <w:r w:rsidR="00145CA7" w:rsidRPr="00866F8A">
        <w:rPr>
          <w:i/>
          <w:color w:val="000000" w:themeColor="text1"/>
          <w:vertAlign w:val="subscript"/>
        </w:rPr>
        <w:t>T/k</w:t>
      </w:r>
      <w:r w:rsidR="00145CA7" w:rsidRPr="00866F8A">
        <w:rPr>
          <w:iCs/>
          <w:color w:val="000000" w:themeColor="text1"/>
        </w:rPr>
        <w:t xml:space="preserve"> with a weight </w:t>
      </w:r>
      <w:r w:rsidR="00652712" w:rsidRPr="00866F8A">
        <w:rPr>
          <w:iCs/>
          <w:color w:val="000000" w:themeColor="text1"/>
        </w:rPr>
        <w:t xml:space="preserve">at </w:t>
      </w:r>
      <w:r w:rsidR="00145CA7" w:rsidRPr="00866F8A">
        <w:rPr>
          <w:iCs/>
          <w:color w:val="000000" w:themeColor="text1"/>
        </w:rPr>
        <w:t xml:space="preserve">300–500 </w:t>
      </w:r>
      <w:proofErr w:type="spellStart"/>
      <w:r w:rsidR="00145CA7" w:rsidRPr="00866F8A">
        <w:rPr>
          <w:iCs/>
          <w:color w:val="000000" w:themeColor="text1"/>
        </w:rPr>
        <w:t>ms.</w:t>
      </w:r>
      <w:proofErr w:type="spellEnd"/>
      <w:r w:rsidR="00145CA7" w:rsidRPr="00866F8A">
        <w:rPr>
          <w:iCs/>
          <w:color w:val="000000" w:themeColor="text1"/>
        </w:rPr>
        <w:t xml:space="preserve"> No outstanding components </w:t>
      </w:r>
      <w:r w:rsidR="00652712" w:rsidRPr="00866F8A">
        <w:rPr>
          <w:iCs/>
          <w:color w:val="000000" w:themeColor="text1"/>
        </w:rPr>
        <w:t>were observed</w:t>
      </w:r>
      <w:r w:rsidR="00145CA7" w:rsidRPr="00866F8A">
        <w:rPr>
          <w:iCs/>
          <w:color w:val="000000" w:themeColor="text1"/>
        </w:rPr>
        <w:t xml:space="preserve">. </w:t>
      </w:r>
      <w:r w:rsidR="00145CA7" w:rsidRPr="00866F8A">
        <w:rPr>
          <w:color w:val="000000" w:themeColor="text1"/>
        </w:rPr>
        <w:t xml:space="preserve">The </w:t>
      </w:r>
      <w:r w:rsidR="005A58A8" w:rsidRPr="00866F8A">
        <w:rPr>
          <w:color w:val="000000" w:themeColor="text1"/>
        </w:rPr>
        <w:t>color</w:t>
      </w:r>
      <w:r w:rsidR="00145CA7" w:rsidRPr="00866F8A">
        <w:rPr>
          <w:color w:val="000000" w:themeColor="text1"/>
        </w:rPr>
        <w:t xml:space="preserve"> maps indicate the value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145CA7" w:rsidRPr="00866F8A">
        <w:rPr>
          <w:color w:val="000000" w:themeColor="text1"/>
        </w:rPr>
        <w:t xml:space="preserve">. Blue and red </w:t>
      </w:r>
      <w:r w:rsidR="005A58A8" w:rsidRPr="00866F8A">
        <w:rPr>
          <w:color w:val="000000" w:themeColor="text1"/>
        </w:rPr>
        <w:t xml:space="preserve">shading </w:t>
      </w:r>
      <w:r w:rsidR="00145CA7" w:rsidRPr="00866F8A">
        <w:rPr>
          <w:color w:val="000000" w:themeColor="text1"/>
        </w:rPr>
        <w:t>indicate the corresponding weight time</w:t>
      </w:r>
      <w:r w:rsidR="005A58A8" w:rsidRPr="00866F8A">
        <w:rPr>
          <w:color w:val="000000" w:themeColor="text1"/>
        </w:rPr>
        <w:t>s</w:t>
      </w:r>
      <w:r w:rsidR="00145CA7" w:rsidRPr="00866F8A">
        <w:rPr>
          <w:color w:val="000000" w:themeColor="text1"/>
        </w:rPr>
        <w:t>.</w:t>
      </w:r>
    </w:p>
    <w:p w14:paraId="22A878D5" w14:textId="2C38E39D" w:rsidR="00AB44EB" w:rsidRPr="0066655C" w:rsidRDefault="00AB44EB" w:rsidP="00762730">
      <w:pPr>
        <w:spacing w:after="140" w:line="480" w:lineRule="auto"/>
        <w:ind w:left="482" w:hanging="482"/>
        <w:outlineLvl w:val="0"/>
        <w:rPr>
          <w:color w:val="000000" w:themeColor="text1"/>
        </w:rPr>
      </w:pPr>
    </w:p>
    <w:p w14:paraId="1D80C48C" w14:textId="20532E00" w:rsidR="00AB44EB" w:rsidRPr="0066655C" w:rsidRDefault="00AB44EB" w:rsidP="00762730">
      <w:pPr>
        <w:spacing w:after="140" w:line="480" w:lineRule="auto"/>
        <w:ind w:left="482" w:hanging="482"/>
        <w:outlineLvl w:val="0"/>
        <w:rPr>
          <w:color w:val="000000" w:themeColor="text1"/>
        </w:rPr>
      </w:pPr>
      <w:r w:rsidRPr="0066655C">
        <w:rPr>
          <w:b/>
          <w:bCs/>
          <w:color w:val="000000" w:themeColor="text1"/>
        </w:rPr>
        <w:t>Supplementary Fig. 6.</w:t>
      </w:r>
      <w:r w:rsidRPr="0066655C">
        <w:rPr>
          <w:color w:val="000000" w:themeColor="text1"/>
        </w:rPr>
        <w:t xml:space="preserve"> </w:t>
      </w:r>
      <w:r w:rsidR="00105161" w:rsidRPr="0066655C">
        <w:rPr>
          <w:color w:val="000000" w:themeColor="text1"/>
        </w:rPr>
        <w:t xml:space="preserve">Additional analysis </w:t>
      </w:r>
      <w:r w:rsidR="00915788" w:rsidRPr="0066655C">
        <w:rPr>
          <w:color w:val="000000" w:themeColor="text1"/>
        </w:rPr>
        <w:t>in</w:t>
      </w:r>
      <w:r w:rsidR="00105161" w:rsidRPr="0066655C">
        <w:rPr>
          <w:color w:val="000000" w:themeColor="text1"/>
        </w:rPr>
        <w:t xml:space="preserve"> a </w:t>
      </w:r>
      <w:r w:rsidR="00F555BF" w:rsidRPr="0066655C">
        <w:rPr>
          <w:color w:val="000000" w:themeColor="text1"/>
        </w:rPr>
        <w:t>new cohort</w:t>
      </w:r>
      <w:r w:rsidR="00915788" w:rsidRPr="0066655C">
        <w:rPr>
          <w:color w:val="000000" w:themeColor="text1"/>
        </w:rPr>
        <w:t xml:space="preserve"> from two subjects</w:t>
      </w:r>
      <w:r w:rsidR="00F555BF" w:rsidRPr="0066655C">
        <w:rPr>
          <w:color w:val="000000" w:themeColor="text1"/>
        </w:rPr>
        <w:t>.</w:t>
      </w:r>
      <w:r w:rsidR="00915788" w:rsidRPr="0066655C">
        <w:rPr>
          <w:color w:val="000000" w:themeColor="text1"/>
        </w:rPr>
        <w:t xml:space="preserve"> (</w:t>
      </w:r>
      <w:r w:rsidR="00915788" w:rsidRPr="0066655C">
        <w:rPr>
          <w:b/>
          <w:bCs/>
          <w:color w:val="000000" w:themeColor="text1"/>
        </w:rPr>
        <w:t>A, C</w:t>
      </w:r>
      <w:r w:rsidR="00915788" w:rsidRPr="0066655C">
        <w:rPr>
          <w:color w:val="000000" w:themeColor="text1"/>
        </w:rPr>
        <w:t xml:space="preserve">) Sensor space analysis using subtraction </w:t>
      </w:r>
      <w:r w:rsidR="004E3D9A" w:rsidRPr="0066655C">
        <w:rPr>
          <w:color w:val="000000" w:themeColor="text1"/>
        </w:rPr>
        <w:t xml:space="preserve">for </w:t>
      </w:r>
      <w:r w:rsidR="00915788" w:rsidRPr="0066655C">
        <w:rPr>
          <w:color w:val="000000" w:themeColor="text1"/>
        </w:rPr>
        <w:t>each subject. Red and pink lines from MMR sensors (white circles) within the MMR time (purple line) refer to the reference standard. (</w:t>
      </w:r>
      <w:r w:rsidR="00915788" w:rsidRPr="0066655C">
        <w:rPr>
          <w:b/>
          <w:bCs/>
          <w:color w:val="000000" w:themeColor="text1"/>
        </w:rPr>
        <w:t xml:space="preserve">B, </w:t>
      </w:r>
      <w:r w:rsidR="00D96AD3" w:rsidRPr="0066655C">
        <w:rPr>
          <w:b/>
          <w:bCs/>
          <w:color w:val="000000" w:themeColor="text1"/>
        </w:rPr>
        <w:t>D</w:t>
      </w:r>
      <w:r w:rsidR="00915788" w:rsidRPr="0066655C">
        <w:rPr>
          <w:color w:val="000000" w:themeColor="text1"/>
        </w:rPr>
        <w:t xml:space="preserve">) The </w:t>
      </w:r>
      <w:r w:rsidR="00915788" w:rsidRPr="0066655C">
        <w:rPr>
          <w:iCs/>
          <w:color w:val="000000" w:themeColor="text1"/>
        </w:rPr>
        <w:t>weighted-</w:t>
      </w:r>
      <w:r w:rsidR="00915788" w:rsidRPr="0066655C">
        <w:rPr>
          <w:i/>
          <w:color w:val="000000" w:themeColor="text1"/>
        </w:rPr>
        <w:t>BSS</w:t>
      </w:r>
      <w:r w:rsidR="00915788" w:rsidRPr="0066655C">
        <w:rPr>
          <w:i/>
          <w:color w:val="000000" w:themeColor="text1"/>
          <w:vertAlign w:val="subscript"/>
        </w:rPr>
        <w:t>T/k</w:t>
      </w:r>
      <w:r w:rsidR="00915788" w:rsidRPr="0066655C">
        <w:rPr>
          <w:iCs/>
          <w:color w:val="000000" w:themeColor="text1"/>
        </w:rPr>
        <w:t xml:space="preserve"> results. </w:t>
      </w:r>
      <w:r w:rsidR="00915788" w:rsidRPr="0066655C">
        <w:rPr>
          <w:color w:val="000000" w:themeColor="text1"/>
        </w:rPr>
        <w:t>Upper panels</w:t>
      </w:r>
      <w:r w:rsidR="004E3D9A" w:rsidRPr="0066655C">
        <w:rPr>
          <w:color w:val="000000" w:themeColor="text1"/>
        </w:rPr>
        <w:t xml:space="preserve"> are the</w:t>
      </w:r>
      <w:r w:rsidR="00915788" w:rsidRPr="0066655C">
        <w:rPr>
          <w:color w:val="000000" w:themeColor="text1"/>
        </w:rPr>
        <w:t xml:space="preserve"> source waveforms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bar>
          </m:e>
          <m:sub>
            <m:r>
              <w:rPr>
                <w:rFonts w:ascii="Cambria Math" w:hAnsi="Cambria Math"/>
                <w:color w:val="000000" w:themeColor="text1"/>
              </w:rPr>
              <m:t>sub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or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bar>
          </m:e>
          <m:sup>
            <m:r>
              <w:rPr>
                <w:rFonts w:ascii="Cambria Math" w:hAnsi="Cambria Math"/>
                <w:color w:val="000000" w:themeColor="text1"/>
              </w:rPr>
              <m:t>φ</m:t>
            </m:r>
          </m:sup>
        </m:sSup>
      </m:oMath>
      <w:r w:rsidR="00915788" w:rsidRPr="0066655C">
        <w:rPr>
          <w:color w:val="000000" w:themeColor="text1"/>
        </w:rPr>
        <w:t>)</w:t>
      </w:r>
      <w:r w:rsidR="004E3D9A" w:rsidRPr="0066655C">
        <w:rPr>
          <w:color w:val="000000" w:themeColor="text1"/>
        </w:rPr>
        <w:t>, and the</w:t>
      </w:r>
      <w:r w:rsidR="00915788" w:rsidRPr="0066655C">
        <w:rPr>
          <w:color w:val="000000" w:themeColor="text1"/>
        </w:rPr>
        <w:t xml:space="preserve"> lower panels</w:t>
      </w:r>
      <w:r w:rsidR="004E3D9A" w:rsidRPr="0066655C">
        <w:rPr>
          <w:color w:val="000000" w:themeColor="text1"/>
        </w:rPr>
        <w:t xml:space="preserve"> are the </w:t>
      </w:r>
      <w:r w:rsidR="00915788" w:rsidRPr="0066655C">
        <w:rPr>
          <w:color w:val="000000" w:themeColor="text1"/>
        </w:rPr>
        <w:t xml:space="preserve">scatter plots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915788" w:rsidRPr="0066655C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915788" w:rsidRPr="0066655C">
        <w:rPr>
          <w:color w:val="000000" w:themeColor="text1"/>
        </w:rPr>
        <w:t xml:space="preserve"> for each component. The </w:t>
      </w:r>
      <w:r w:rsidR="00915788" w:rsidRPr="0066655C">
        <w:rPr>
          <w:color w:val="000000" w:themeColor="text1"/>
        </w:rPr>
        <w:lastRenderedPageBreak/>
        <w:t xml:space="preserve">color map in the scatter plot indicates the value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max</m:t>
            </m:r>
          </m:sub>
        </m:sSub>
      </m:oMath>
      <w:r w:rsidR="00915788" w:rsidRPr="0066655C">
        <w:rPr>
          <w:color w:val="000000" w:themeColor="text1"/>
        </w:rPr>
        <w:t xml:space="preserve"> (from 0 to 1). Two discriminable components are depicted </w:t>
      </w:r>
      <w:r w:rsidR="004E3D9A" w:rsidRPr="0066655C">
        <w:rPr>
          <w:color w:val="000000" w:themeColor="text1"/>
        </w:rPr>
        <w:t xml:space="preserve">in </w:t>
      </w:r>
      <w:r w:rsidR="00915788" w:rsidRPr="0066655C">
        <w:rPr>
          <w:color w:val="000000" w:themeColor="text1"/>
        </w:rPr>
        <w:t xml:space="preserve">red and green with </w:t>
      </w:r>
      <w:r w:rsidR="004E3D9A" w:rsidRPr="0066655C">
        <w:rPr>
          <w:color w:val="000000" w:themeColor="text1"/>
        </w:rPr>
        <w:t xml:space="preserve">their </w:t>
      </w:r>
      <w:r w:rsidR="00915788" w:rsidRPr="0066655C">
        <w:rPr>
          <w:color w:val="000000" w:themeColor="text1"/>
        </w:rPr>
        <w:t>corresponding topographical map</w:t>
      </w:r>
      <w:r w:rsidR="004E3D9A" w:rsidRPr="0066655C">
        <w:rPr>
          <w:color w:val="000000" w:themeColor="text1"/>
        </w:rPr>
        <w:t>s</w:t>
      </w:r>
      <w:r w:rsidR="00915788" w:rsidRPr="0066655C">
        <w:rPr>
          <w:color w:val="000000" w:themeColor="text1"/>
        </w:rPr>
        <w:t>. In the scatter plots, the arrows with the same color correspond to the components.</w:t>
      </w:r>
    </w:p>
    <w:sectPr w:rsidR="00AB44EB" w:rsidRPr="0066655C" w:rsidSect="00EB2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B7F9" w14:textId="77777777" w:rsidR="00C80CBE" w:rsidRDefault="00C80CBE">
      <w:r>
        <w:separator/>
      </w:r>
    </w:p>
  </w:endnote>
  <w:endnote w:type="continuationSeparator" w:id="0">
    <w:p w14:paraId="7A020D5D" w14:textId="77777777" w:rsidR="00C80CBE" w:rsidRDefault="00C8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490D" w14:textId="77777777" w:rsidR="00F32BC5" w:rsidRDefault="00F32BC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D66C5" w14:textId="77777777" w:rsidR="00F32BC5" w:rsidRDefault="00F32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A9AB" w14:textId="77777777" w:rsidR="00F32BC5" w:rsidRDefault="00F32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950" w14:textId="77777777" w:rsidR="00F32BC5" w:rsidRDefault="00F32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4C9" w14:textId="77777777" w:rsidR="00C80CBE" w:rsidRDefault="00C80CBE">
      <w:r>
        <w:separator/>
      </w:r>
    </w:p>
  </w:footnote>
  <w:footnote w:type="continuationSeparator" w:id="0">
    <w:p w14:paraId="16DCEE77" w14:textId="77777777" w:rsidR="00C80CBE" w:rsidRDefault="00C8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07" w14:textId="77777777" w:rsidR="00F32BC5" w:rsidRDefault="00F32B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A8F90" w14:textId="77777777" w:rsidR="00F32BC5" w:rsidRDefault="00F32B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51A1" w14:textId="77777777" w:rsidR="00F32BC5" w:rsidRDefault="00F32BC5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25</w:t>
    </w:r>
    <w:r>
      <w:rPr>
        <w:rStyle w:val="PageNumber"/>
        <w:rFonts w:ascii="Times New Roman" w:hAnsi="Times New Roman" w:cs="Times New Roman"/>
      </w:rPr>
      <w:fldChar w:fldCharType="end"/>
    </w:r>
  </w:p>
  <w:p w14:paraId="4DB17590" w14:textId="77777777" w:rsidR="00F32BC5" w:rsidRDefault="00F32BC5">
    <w:pPr>
      <w:pStyle w:val="Header"/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Matsubara et al.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A9F" w14:textId="77777777" w:rsidR="00F32BC5" w:rsidRDefault="00F32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D829F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2A5D"/>
    <w:multiLevelType w:val="hybridMultilevel"/>
    <w:tmpl w:val="39F6FD4C"/>
    <w:lvl w:ilvl="0" w:tplc="1FE60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18070D"/>
    <w:multiLevelType w:val="hybridMultilevel"/>
    <w:tmpl w:val="4728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C97"/>
    <w:multiLevelType w:val="hybridMultilevel"/>
    <w:tmpl w:val="320C7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BCE"/>
    <w:multiLevelType w:val="hybridMultilevel"/>
    <w:tmpl w:val="8F1E0584"/>
    <w:lvl w:ilvl="0" w:tplc="837E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D7776A4"/>
    <w:multiLevelType w:val="hybridMultilevel"/>
    <w:tmpl w:val="320C75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C23F3"/>
    <w:multiLevelType w:val="hybridMultilevel"/>
    <w:tmpl w:val="B3EE49B0"/>
    <w:lvl w:ilvl="0" w:tplc="0409001B">
      <w:start w:val="1"/>
      <w:numFmt w:val="lowerRoman"/>
      <w:lvlText w:val="%1."/>
      <w:lvlJc w:val="right"/>
      <w:pPr>
        <w:ind w:left="630" w:hanging="21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E19ED"/>
    <w:multiLevelType w:val="hybridMultilevel"/>
    <w:tmpl w:val="15B8BB2E"/>
    <w:lvl w:ilvl="0" w:tplc="E4504D98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A53F16"/>
    <w:multiLevelType w:val="hybridMultilevel"/>
    <w:tmpl w:val="A72E1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957F75"/>
    <w:multiLevelType w:val="hybridMultilevel"/>
    <w:tmpl w:val="DBB40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3142F0"/>
    <w:multiLevelType w:val="hybridMultilevel"/>
    <w:tmpl w:val="6CE2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7978"/>
    <w:multiLevelType w:val="hybridMultilevel"/>
    <w:tmpl w:val="FF248AFC"/>
    <w:lvl w:ilvl="0" w:tplc="DB6E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2F5DC5"/>
    <w:multiLevelType w:val="hybridMultilevel"/>
    <w:tmpl w:val="351CF3B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D6E96"/>
    <w:multiLevelType w:val="hybridMultilevel"/>
    <w:tmpl w:val="1790598A"/>
    <w:lvl w:ilvl="0" w:tplc="52E454D0">
      <w:start w:val="2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E304038"/>
    <w:multiLevelType w:val="hybridMultilevel"/>
    <w:tmpl w:val="F0E4FFB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sjQ2MjYxs7A0N7BU0lEKTi0uzszPAykwqgUAcEA4D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45CA7"/>
    <w:rsid w:val="00002DCA"/>
    <w:rsid w:val="00015000"/>
    <w:rsid w:val="000175B5"/>
    <w:rsid w:val="00020DA5"/>
    <w:rsid w:val="000225AF"/>
    <w:rsid w:val="000241B1"/>
    <w:rsid w:val="0002467E"/>
    <w:rsid w:val="000276F1"/>
    <w:rsid w:val="00027FC0"/>
    <w:rsid w:val="000427B4"/>
    <w:rsid w:val="000431D6"/>
    <w:rsid w:val="0005683C"/>
    <w:rsid w:val="00062074"/>
    <w:rsid w:val="00071465"/>
    <w:rsid w:val="00072DC1"/>
    <w:rsid w:val="00076C08"/>
    <w:rsid w:val="00084235"/>
    <w:rsid w:val="0009185B"/>
    <w:rsid w:val="00095DF2"/>
    <w:rsid w:val="000978F4"/>
    <w:rsid w:val="000A21A6"/>
    <w:rsid w:val="000A760A"/>
    <w:rsid w:val="000B44B0"/>
    <w:rsid w:val="000C4344"/>
    <w:rsid w:val="000D3658"/>
    <w:rsid w:val="000D7F20"/>
    <w:rsid w:val="000E2DCA"/>
    <w:rsid w:val="001003DB"/>
    <w:rsid w:val="00100653"/>
    <w:rsid w:val="00105161"/>
    <w:rsid w:val="001051BE"/>
    <w:rsid w:val="00107CD1"/>
    <w:rsid w:val="00110D82"/>
    <w:rsid w:val="0011129F"/>
    <w:rsid w:val="00115C4E"/>
    <w:rsid w:val="001207B8"/>
    <w:rsid w:val="00120BDA"/>
    <w:rsid w:val="00126C8E"/>
    <w:rsid w:val="00132448"/>
    <w:rsid w:val="00140F0A"/>
    <w:rsid w:val="00143BB3"/>
    <w:rsid w:val="00145CA7"/>
    <w:rsid w:val="00150268"/>
    <w:rsid w:val="00150AB8"/>
    <w:rsid w:val="00156161"/>
    <w:rsid w:val="00176A61"/>
    <w:rsid w:val="00184F4F"/>
    <w:rsid w:val="0018509B"/>
    <w:rsid w:val="00187129"/>
    <w:rsid w:val="00191FBD"/>
    <w:rsid w:val="00195612"/>
    <w:rsid w:val="00195996"/>
    <w:rsid w:val="00196D4D"/>
    <w:rsid w:val="0019716A"/>
    <w:rsid w:val="001A2FA7"/>
    <w:rsid w:val="001B14AC"/>
    <w:rsid w:val="001B256E"/>
    <w:rsid w:val="001C059C"/>
    <w:rsid w:val="001C35E5"/>
    <w:rsid w:val="001D0C40"/>
    <w:rsid w:val="00205273"/>
    <w:rsid w:val="00223B40"/>
    <w:rsid w:val="00226337"/>
    <w:rsid w:val="002472A0"/>
    <w:rsid w:val="00261828"/>
    <w:rsid w:val="00264D1C"/>
    <w:rsid w:val="002746E5"/>
    <w:rsid w:val="00297009"/>
    <w:rsid w:val="002A3F2F"/>
    <w:rsid w:val="002A5C63"/>
    <w:rsid w:val="002C0A84"/>
    <w:rsid w:val="002C4294"/>
    <w:rsid w:val="002C43CB"/>
    <w:rsid w:val="002C58F3"/>
    <w:rsid w:val="002D452E"/>
    <w:rsid w:val="002E21F3"/>
    <w:rsid w:val="002E617A"/>
    <w:rsid w:val="002F2A16"/>
    <w:rsid w:val="00305AB3"/>
    <w:rsid w:val="00306E66"/>
    <w:rsid w:val="0031444E"/>
    <w:rsid w:val="003146D1"/>
    <w:rsid w:val="00317F14"/>
    <w:rsid w:val="00332B5D"/>
    <w:rsid w:val="00333913"/>
    <w:rsid w:val="00340CD1"/>
    <w:rsid w:val="00345CC8"/>
    <w:rsid w:val="00350065"/>
    <w:rsid w:val="00350916"/>
    <w:rsid w:val="00354C69"/>
    <w:rsid w:val="00364F06"/>
    <w:rsid w:val="00386285"/>
    <w:rsid w:val="00387371"/>
    <w:rsid w:val="003B1779"/>
    <w:rsid w:val="003C0A78"/>
    <w:rsid w:val="003C271B"/>
    <w:rsid w:val="003E35DD"/>
    <w:rsid w:val="003E55E8"/>
    <w:rsid w:val="003E588A"/>
    <w:rsid w:val="003E6F0A"/>
    <w:rsid w:val="003F08DC"/>
    <w:rsid w:val="003F3B29"/>
    <w:rsid w:val="00400FC8"/>
    <w:rsid w:val="00404398"/>
    <w:rsid w:val="00407D9D"/>
    <w:rsid w:val="00444474"/>
    <w:rsid w:val="00451168"/>
    <w:rsid w:val="00451C27"/>
    <w:rsid w:val="00461B50"/>
    <w:rsid w:val="00473407"/>
    <w:rsid w:val="0049544D"/>
    <w:rsid w:val="00496746"/>
    <w:rsid w:val="004A1CC7"/>
    <w:rsid w:val="004A33D4"/>
    <w:rsid w:val="004A3B65"/>
    <w:rsid w:val="004B4A97"/>
    <w:rsid w:val="004B52F8"/>
    <w:rsid w:val="004B797F"/>
    <w:rsid w:val="004C49E1"/>
    <w:rsid w:val="004D24B8"/>
    <w:rsid w:val="004D6BF4"/>
    <w:rsid w:val="004E0180"/>
    <w:rsid w:val="004E1BA5"/>
    <w:rsid w:val="004E3837"/>
    <w:rsid w:val="004E3D9A"/>
    <w:rsid w:val="004F2164"/>
    <w:rsid w:val="005111C8"/>
    <w:rsid w:val="0051177E"/>
    <w:rsid w:val="00515721"/>
    <w:rsid w:val="00523B17"/>
    <w:rsid w:val="005336EE"/>
    <w:rsid w:val="00535214"/>
    <w:rsid w:val="005422BD"/>
    <w:rsid w:val="00544282"/>
    <w:rsid w:val="00546EF9"/>
    <w:rsid w:val="00554D40"/>
    <w:rsid w:val="00555BD2"/>
    <w:rsid w:val="00560343"/>
    <w:rsid w:val="005742C2"/>
    <w:rsid w:val="00575E31"/>
    <w:rsid w:val="0057742E"/>
    <w:rsid w:val="00583F7C"/>
    <w:rsid w:val="00586C7D"/>
    <w:rsid w:val="005923F2"/>
    <w:rsid w:val="005A1CE4"/>
    <w:rsid w:val="005A3351"/>
    <w:rsid w:val="005A58A8"/>
    <w:rsid w:val="005A5E0C"/>
    <w:rsid w:val="005A7711"/>
    <w:rsid w:val="005B1BDC"/>
    <w:rsid w:val="005B26D8"/>
    <w:rsid w:val="005B5016"/>
    <w:rsid w:val="005B73AF"/>
    <w:rsid w:val="005C073C"/>
    <w:rsid w:val="005C2A4A"/>
    <w:rsid w:val="005C33C7"/>
    <w:rsid w:val="005C3C8B"/>
    <w:rsid w:val="005C5685"/>
    <w:rsid w:val="005C6C50"/>
    <w:rsid w:val="005C72DF"/>
    <w:rsid w:val="005C744C"/>
    <w:rsid w:val="005D1C89"/>
    <w:rsid w:val="005F01EC"/>
    <w:rsid w:val="00601DA5"/>
    <w:rsid w:val="0060242C"/>
    <w:rsid w:val="006055EF"/>
    <w:rsid w:val="006257E3"/>
    <w:rsid w:val="00635A62"/>
    <w:rsid w:val="00642F7E"/>
    <w:rsid w:val="00652712"/>
    <w:rsid w:val="00655EF9"/>
    <w:rsid w:val="00661F3C"/>
    <w:rsid w:val="0066655C"/>
    <w:rsid w:val="00684E7B"/>
    <w:rsid w:val="00686679"/>
    <w:rsid w:val="0069012E"/>
    <w:rsid w:val="00691C92"/>
    <w:rsid w:val="006A0DEA"/>
    <w:rsid w:val="006B40D2"/>
    <w:rsid w:val="006C2D38"/>
    <w:rsid w:val="006C3B27"/>
    <w:rsid w:val="006D0410"/>
    <w:rsid w:val="006E05C0"/>
    <w:rsid w:val="006F4E59"/>
    <w:rsid w:val="00704D47"/>
    <w:rsid w:val="0071564D"/>
    <w:rsid w:val="00715C83"/>
    <w:rsid w:val="00716AB6"/>
    <w:rsid w:val="007307C6"/>
    <w:rsid w:val="0073102A"/>
    <w:rsid w:val="00733F6F"/>
    <w:rsid w:val="00737214"/>
    <w:rsid w:val="007444FA"/>
    <w:rsid w:val="007570DD"/>
    <w:rsid w:val="00762730"/>
    <w:rsid w:val="00763A88"/>
    <w:rsid w:val="00770650"/>
    <w:rsid w:val="007720EB"/>
    <w:rsid w:val="007723B3"/>
    <w:rsid w:val="007741EE"/>
    <w:rsid w:val="007760D8"/>
    <w:rsid w:val="00776721"/>
    <w:rsid w:val="00794476"/>
    <w:rsid w:val="007A4A2F"/>
    <w:rsid w:val="007B377C"/>
    <w:rsid w:val="007B41B8"/>
    <w:rsid w:val="007C3FB4"/>
    <w:rsid w:val="007C590C"/>
    <w:rsid w:val="007C78E6"/>
    <w:rsid w:val="007D2BBE"/>
    <w:rsid w:val="007D6DB9"/>
    <w:rsid w:val="007E55DB"/>
    <w:rsid w:val="007F1112"/>
    <w:rsid w:val="007F1F04"/>
    <w:rsid w:val="008029DE"/>
    <w:rsid w:val="008045D8"/>
    <w:rsid w:val="00813CE9"/>
    <w:rsid w:val="00822874"/>
    <w:rsid w:val="00826EAE"/>
    <w:rsid w:val="0083166A"/>
    <w:rsid w:val="00841603"/>
    <w:rsid w:val="008426F4"/>
    <w:rsid w:val="0085613E"/>
    <w:rsid w:val="00866F8A"/>
    <w:rsid w:val="008675E3"/>
    <w:rsid w:val="008858B4"/>
    <w:rsid w:val="00895A5F"/>
    <w:rsid w:val="008974F3"/>
    <w:rsid w:val="008B0DBD"/>
    <w:rsid w:val="008B66EA"/>
    <w:rsid w:val="008B697A"/>
    <w:rsid w:val="008C13D1"/>
    <w:rsid w:val="008C348D"/>
    <w:rsid w:val="008C6135"/>
    <w:rsid w:val="008D3DE8"/>
    <w:rsid w:val="008E39E3"/>
    <w:rsid w:val="008F118D"/>
    <w:rsid w:val="008F6DE3"/>
    <w:rsid w:val="0090141B"/>
    <w:rsid w:val="00903D62"/>
    <w:rsid w:val="00906F8C"/>
    <w:rsid w:val="00915788"/>
    <w:rsid w:val="00927B03"/>
    <w:rsid w:val="00933994"/>
    <w:rsid w:val="00942278"/>
    <w:rsid w:val="00945479"/>
    <w:rsid w:val="009555E0"/>
    <w:rsid w:val="00965E91"/>
    <w:rsid w:val="00966F35"/>
    <w:rsid w:val="00967B1E"/>
    <w:rsid w:val="0097126B"/>
    <w:rsid w:val="00994D75"/>
    <w:rsid w:val="0099731C"/>
    <w:rsid w:val="009A0E86"/>
    <w:rsid w:val="009A2BC2"/>
    <w:rsid w:val="009A6A44"/>
    <w:rsid w:val="009A76FB"/>
    <w:rsid w:val="009B1600"/>
    <w:rsid w:val="009B1D97"/>
    <w:rsid w:val="009B70AD"/>
    <w:rsid w:val="009E6092"/>
    <w:rsid w:val="009E61C2"/>
    <w:rsid w:val="009F098C"/>
    <w:rsid w:val="00A00DF6"/>
    <w:rsid w:val="00A012DE"/>
    <w:rsid w:val="00A05FF7"/>
    <w:rsid w:val="00A069F8"/>
    <w:rsid w:val="00A073B3"/>
    <w:rsid w:val="00A10AB5"/>
    <w:rsid w:val="00A111D5"/>
    <w:rsid w:val="00A22933"/>
    <w:rsid w:val="00A24438"/>
    <w:rsid w:val="00A3067B"/>
    <w:rsid w:val="00A41780"/>
    <w:rsid w:val="00A45C90"/>
    <w:rsid w:val="00A52C56"/>
    <w:rsid w:val="00A5381F"/>
    <w:rsid w:val="00A558C7"/>
    <w:rsid w:val="00A55B4E"/>
    <w:rsid w:val="00A71C2D"/>
    <w:rsid w:val="00A73A6C"/>
    <w:rsid w:val="00A74087"/>
    <w:rsid w:val="00A74C53"/>
    <w:rsid w:val="00A752A1"/>
    <w:rsid w:val="00A81871"/>
    <w:rsid w:val="00A8251E"/>
    <w:rsid w:val="00A93205"/>
    <w:rsid w:val="00A94AB3"/>
    <w:rsid w:val="00AA3C51"/>
    <w:rsid w:val="00AA4BFF"/>
    <w:rsid w:val="00AA710A"/>
    <w:rsid w:val="00AA7D6F"/>
    <w:rsid w:val="00AB44EB"/>
    <w:rsid w:val="00AC4173"/>
    <w:rsid w:val="00AC45F3"/>
    <w:rsid w:val="00AE6D50"/>
    <w:rsid w:val="00AF00BF"/>
    <w:rsid w:val="00B06031"/>
    <w:rsid w:val="00B06978"/>
    <w:rsid w:val="00B11118"/>
    <w:rsid w:val="00B12ED0"/>
    <w:rsid w:val="00B1459B"/>
    <w:rsid w:val="00B23D60"/>
    <w:rsid w:val="00B30C90"/>
    <w:rsid w:val="00B35FFD"/>
    <w:rsid w:val="00B3698F"/>
    <w:rsid w:val="00B37573"/>
    <w:rsid w:val="00B40F6B"/>
    <w:rsid w:val="00B43231"/>
    <w:rsid w:val="00B51B0C"/>
    <w:rsid w:val="00B56987"/>
    <w:rsid w:val="00B85A8F"/>
    <w:rsid w:val="00B91FD1"/>
    <w:rsid w:val="00BA0430"/>
    <w:rsid w:val="00BA4CA1"/>
    <w:rsid w:val="00BA7DE9"/>
    <w:rsid w:val="00BB792C"/>
    <w:rsid w:val="00BD355C"/>
    <w:rsid w:val="00BD3C34"/>
    <w:rsid w:val="00BD3D96"/>
    <w:rsid w:val="00BE5A66"/>
    <w:rsid w:val="00BF202F"/>
    <w:rsid w:val="00BF7A80"/>
    <w:rsid w:val="00C13A5F"/>
    <w:rsid w:val="00C30FDF"/>
    <w:rsid w:val="00C43A5F"/>
    <w:rsid w:val="00C54090"/>
    <w:rsid w:val="00C626B5"/>
    <w:rsid w:val="00C76CDC"/>
    <w:rsid w:val="00C772E3"/>
    <w:rsid w:val="00C80CBE"/>
    <w:rsid w:val="00C844FE"/>
    <w:rsid w:val="00C86E39"/>
    <w:rsid w:val="00CA0F15"/>
    <w:rsid w:val="00CA1992"/>
    <w:rsid w:val="00CA4A98"/>
    <w:rsid w:val="00CB2314"/>
    <w:rsid w:val="00CB3403"/>
    <w:rsid w:val="00CB3DF0"/>
    <w:rsid w:val="00CC51D0"/>
    <w:rsid w:val="00CC6C63"/>
    <w:rsid w:val="00CE49E7"/>
    <w:rsid w:val="00CE6D5E"/>
    <w:rsid w:val="00CF23F0"/>
    <w:rsid w:val="00D12BF4"/>
    <w:rsid w:val="00D17C8E"/>
    <w:rsid w:val="00D209A9"/>
    <w:rsid w:val="00D2476C"/>
    <w:rsid w:val="00D3155D"/>
    <w:rsid w:val="00D54B2F"/>
    <w:rsid w:val="00D61C32"/>
    <w:rsid w:val="00D62F3F"/>
    <w:rsid w:val="00D663A9"/>
    <w:rsid w:val="00D77ADC"/>
    <w:rsid w:val="00D83DC1"/>
    <w:rsid w:val="00D94A46"/>
    <w:rsid w:val="00D96AD3"/>
    <w:rsid w:val="00DA135F"/>
    <w:rsid w:val="00DA523B"/>
    <w:rsid w:val="00DA6B31"/>
    <w:rsid w:val="00DB0D21"/>
    <w:rsid w:val="00DB181C"/>
    <w:rsid w:val="00DB7F3A"/>
    <w:rsid w:val="00DC34D7"/>
    <w:rsid w:val="00DC3620"/>
    <w:rsid w:val="00DC4532"/>
    <w:rsid w:val="00DD1991"/>
    <w:rsid w:val="00DD30E8"/>
    <w:rsid w:val="00DE0526"/>
    <w:rsid w:val="00DE2A99"/>
    <w:rsid w:val="00DE40FF"/>
    <w:rsid w:val="00DE4BA9"/>
    <w:rsid w:val="00E030DD"/>
    <w:rsid w:val="00E07DC7"/>
    <w:rsid w:val="00E12E47"/>
    <w:rsid w:val="00E14FD7"/>
    <w:rsid w:val="00E43B40"/>
    <w:rsid w:val="00E44B85"/>
    <w:rsid w:val="00E53D61"/>
    <w:rsid w:val="00E61C4D"/>
    <w:rsid w:val="00E64932"/>
    <w:rsid w:val="00E72B89"/>
    <w:rsid w:val="00E73B88"/>
    <w:rsid w:val="00E767C5"/>
    <w:rsid w:val="00E81C83"/>
    <w:rsid w:val="00E91D4F"/>
    <w:rsid w:val="00E9232C"/>
    <w:rsid w:val="00EA6F36"/>
    <w:rsid w:val="00EB2A6B"/>
    <w:rsid w:val="00EB30AF"/>
    <w:rsid w:val="00EB4E1E"/>
    <w:rsid w:val="00EC07B4"/>
    <w:rsid w:val="00ED26C1"/>
    <w:rsid w:val="00ED2DBB"/>
    <w:rsid w:val="00ED3AF6"/>
    <w:rsid w:val="00ED3B78"/>
    <w:rsid w:val="00ED6301"/>
    <w:rsid w:val="00EE6AA0"/>
    <w:rsid w:val="00EF1811"/>
    <w:rsid w:val="00F02D31"/>
    <w:rsid w:val="00F12DD6"/>
    <w:rsid w:val="00F15BB6"/>
    <w:rsid w:val="00F25AC9"/>
    <w:rsid w:val="00F30D1A"/>
    <w:rsid w:val="00F32BC5"/>
    <w:rsid w:val="00F36994"/>
    <w:rsid w:val="00F42600"/>
    <w:rsid w:val="00F555BF"/>
    <w:rsid w:val="00F72FFD"/>
    <w:rsid w:val="00F731C4"/>
    <w:rsid w:val="00F77776"/>
    <w:rsid w:val="00F86C62"/>
    <w:rsid w:val="00F94909"/>
    <w:rsid w:val="00F94BE3"/>
    <w:rsid w:val="00FA0D5C"/>
    <w:rsid w:val="00FA3FAF"/>
    <w:rsid w:val="00FA4E3F"/>
    <w:rsid w:val="00FB3FCF"/>
    <w:rsid w:val="00FB7031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D1DB"/>
  <w15:chartTrackingRefBased/>
  <w15:docId w15:val="{0EB25A74-D189-E24E-A427-E70EA7C3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88"/>
    <w:rPr>
      <w:rFonts w:ascii="Times New Roman" w:hAnsi="Times New Roman" w:cs="Times New Roman"/>
      <w:kern w:val="0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CA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A7"/>
    <w:rPr>
      <w:rFonts w:asciiTheme="majorHAnsi" w:eastAsiaTheme="majorEastAsia" w:hAnsiTheme="majorHAnsi" w:cstheme="majorBidi"/>
      <w:kern w:val="0"/>
      <w:sz w:val="28"/>
      <w:szCs w:val="28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145CA7"/>
  </w:style>
  <w:style w:type="paragraph" w:styleId="ListParagraph">
    <w:name w:val="List Paragraph"/>
    <w:basedOn w:val="Normal"/>
    <w:uiPriority w:val="34"/>
    <w:qFormat/>
    <w:rsid w:val="00145CA7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145C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5CA7"/>
    <w:pPr>
      <w:widowControl w:val="0"/>
    </w:pPr>
    <w:rPr>
      <w:rFonts w:asciiTheme="minorHAnsi" w:hAnsiTheme="minorHAnsi" w:cstheme="minorBidi"/>
      <w:kern w:val="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CA7"/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CA7"/>
    <w:rPr>
      <w:b/>
      <w:bCs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A7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A7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145CA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5C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5C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145CA7"/>
    <w:rPr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45C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145CA7"/>
    <w:rPr>
      <w:sz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45CA7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145CA7"/>
    <w:pPr>
      <w:widowControl w:val="0"/>
      <w:jc w:val="both"/>
    </w:pPr>
    <w:rPr>
      <w:rFonts w:ascii="MS Mincho" w:eastAsia="MS Mincho" w:hAnsi="Courier" w:cstheme="minorBidi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rsid w:val="00145CA7"/>
    <w:rPr>
      <w:rFonts w:ascii="MS Mincho" w:eastAsia="MS Mincho" w:hAnsi="Courier"/>
      <w:sz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5CA7"/>
    <w:rPr>
      <w:rFonts w:ascii="MS Mincho" w:eastAsia="MS Minch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5CA7"/>
    <w:rPr>
      <w:rFonts w:ascii="MS Mincho" w:eastAsia="MS Mincho" w:hAnsi="Times New Roman" w:cs="Times New Roman"/>
      <w:kern w:val="0"/>
      <w:sz w:val="24"/>
      <w:lang w:eastAsia="ja-JP"/>
    </w:rPr>
  </w:style>
  <w:style w:type="paragraph" w:styleId="Revision">
    <w:name w:val="Revision"/>
    <w:hidden/>
    <w:uiPriority w:val="99"/>
    <w:semiHidden/>
    <w:rsid w:val="00145CA7"/>
    <w:rPr>
      <w:sz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145CA7"/>
  </w:style>
  <w:style w:type="character" w:styleId="Hyperlink">
    <w:name w:val="Hyperlink"/>
    <w:basedOn w:val="DefaultParagraphFont"/>
    <w:uiPriority w:val="99"/>
    <w:unhideWhenUsed/>
    <w:rsid w:val="00145C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5CA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5CA7"/>
  </w:style>
  <w:style w:type="character" w:customStyle="1" w:styleId="DateChar">
    <w:name w:val="Date Char"/>
    <w:basedOn w:val="DefaultParagraphFont"/>
    <w:link w:val="Date"/>
    <w:uiPriority w:val="99"/>
    <w:semiHidden/>
    <w:rsid w:val="00145CA7"/>
    <w:rPr>
      <w:rFonts w:ascii="Times New Roman" w:hAnsi="Times New Roman" w:cs="Times New Roman"/>
      <w:kern w:val="0"/>
      <w:sz w:val="24"/>
      <w:lang w:eastAsia="ja-JP"/>
    </w:rPr>
  </w:style>
  <w:style w:type="table" w:styleId="TableGrid">
    <w:name w:val="Table Grid"/>
    <w:basedOn w:val="TableNormal"/>
    <w:uiPriority w:val="39"/>
    <w:rsid w:val="00145CA7"/>
    <w:rPr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145CA7"/>
    <w:pPr>
      <w:jc w:val="center"/>
    </w:pPr>
  </w:style>
  <w:style w:type="paragraph" w:customStyle="1" w:styleId="EndNoteBibliography">
    <w:name w:val="EndNote Bibliography"/>
    <w:basedOn w:val="Normal"/>
    <w:rsid w:val="00145CA7"/>
  </w:style>
  <w:style w:type="paragraph" w:customStyle="1" w:styleId="NoteLevel11">
    <w:name w:val="Note Level 11"/>
    <w:basedOn w:val="Normal"/>
    <w:uiPriority w:val="99"/>
    <w:rsid w:val="00145CA7"/>
    <w:pPr>
      <w:keepNext/>
      <w:numPr>
        <w:numId w:val="6"/>
      </w:numPr>
      <w:contextualSpacing/>
      <w:outlineLvl w:val="0"/>
    </w:pPr>
    <w:rPr>
      <w:rFonts w:ascii="MS Gothic" w:eastAsia="MS Gothic"/>
    </w:rPr>
  </w:style>
  <w:style w:type="paragraph" w:customStyle="1" w:styleId="NoteLevel21">
    <w:name w:val="Note Level 21"/>
    <w:basedOn w:val="Normal"/>
    <w:uiPriority w:val="99"/>
    <w:rsid w:val="00145CA7"/>
    <w:pPr>
      <w:keepNext/>
      <w:numPr>
        <w:ilvl w:val="1"/>
        <w:numId w:val="6"/>
      </w:numPr>
      <w:contextualSpacing/>
      <w:outlineLvl w:val="1"/>
    </w:pPr>
    <w:rPr>
      <w:rFonts w:ascii="MS Gothic" w:eastAsia="MS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76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Matsubara, Teppei</dc:creator>
  <cp:keywords/>
  <dc:description/>
  <cp:lastModifiedBy>Susie Bradley</cp:lastModifiedBy>
  <cp:revision>7</cp:revision>
  <dcterms:created xsi:type="dcterms:W3CDTF">2022-02-03T16:04:00Z</dcterms:created>
  <dcterms:modified xsi:type="dcterms:W3CDTF">2022-02-09T16:14:00Z</dcterms:modified>
</cp:coreProperties>
</file>