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5B6D72B" w14:textId="77777777" w:rsidR="00E47422" w:rsidRPr="001549D3" w:rsidRDefault="007D6F62" w:rsidP="00E47422">
      <w:pPr>
        <w:pStyle w:val="SupplementaryMaterial"/>
        <w:rPr>
          <w:b w:val="0"/>
        </w:rPr>
      </w:pPr>
      <w:r>
        <w:rPr>
          <w:bCs/>
          <w:szCs w:val="24"/>
        </w:rPr>
        <w:t xml:space="preserve"> </w:t>
      </w:r>
      <w:bookmarkStart w:id="0" w:name="_GoBack"/>
      <w:r w:rsidR="00E47422" w:rsidRPr="001549D3">
        <w:t>Supplementary Material</w:t>
      </w:r>
      <w:bookmarkEnd w:id="0"/>
    </w:p>
    <w:p w14:paraId="52695141" w14:textId="77777777" w:rsidR="00E47422" w:rsidRPr="001549D3" w:rsidRDefault="00E47422" w:rsidP="00E47422">
      <w:pPr>
        <w:keepNext/>
      </w:pPr>
    </w:p>
    <w:p w14:paraId="2D5F1324" w14:textId="77777777" w:rsidR="00E47422" w:rsidRPr="001549D3" w:rsidRDefault="00E47422" w:rsidP="00E47422">
      <w:pPr>
        <w:keepNext/>
        <w:jc w:val="center"/>
      </w:pPr>
      <w:r w:rsidRPr="003B77BF">
        <w:rPr>
          <w:noProof/>
          <w:lang w:eastAsia="zh-TW"/>
        </w:rPr>
        <w:drawing>
          <wp:inline distT="0" distB="0" distL="0" distR="0" wp14:anchorId="2D576303" wp14:editId="0C7E382B">
            <wp:extent cx="6208395" cy="3709035"/>
            <wp:effectExtent l="0" t="0" r="190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E0E77" w14:textId="32FABD2F" w:rsidR="00E47422" w:rsidRDefault="00E47422" w:rsidP="00E47422">
      <w:pPr>
        <w:spacing w:line="276" w:lineRule="auto"/>
        <w:jc w:val="both"/>
        <w:rPr>
          <w:rFonts w:eastAsia="Arial"/>
          <w:b/>
          <w:bCs/>
          <w:color w:val="000000"/>
        </w:rPr>
      </w:pPr>
      <w:r w:rsidRPr="0001436A">
        <w:rPr>
          <w:b/>
        </w:rPr>
        <w:t xml:space="preserve">Supplementary Figure </w:t>
      </w:r>
      <w:r w:rsidRPr="0001436A">
        <w:rPr>
          <w:b/>
        </w:rPr>
        <w:fldChar w:fldCharType="begin"/>
      </w:r>
      <w:r w:rsidRPr="0001436A">
        <w:rPr>
          <w:b/>
        </w:rPr>
        <w:instrText xml:space="preserve"> SEQ Figure \* ARABIC </w:instrText>
      </w:r>
      <w:r w:rsidRPr="0001436A">
        <w:rPr>
          <w:b/>
        </w:rPr>
        <w:fldChar w:fldCharType="separate"/>
      </w:r>
      <w:r>
        <w:rPr>
          <w:b/>
          <w:noProof/>
        </w:rPr>
        <w:t>1</w:t>
      </w:r>
      <w:r w:rsidRPr="0001436A">
        <w:rPr>
          <w:b/>
        </w:rPr>
        <w:fldChar w:fldCharType="end"/>
      </w:r>
      <w:r w:rsidRPr="0001436A">
        <w:rPr>
          <w:b/>
        </w:rPr>
        <w:t>.</w:t>
      </w:r>
      <w:r w:rsidRPr="007D0082">
        <w:rPr>
          <w:b/>
          <w:bCs/>
        </w:rPr>
        <w:t xml:space="preserve"> </w:t>
      </w:r>
      <w:r w:rsidRPr="00FF4BF5">
        <w:rPr>
          <w:rFonts w:eastAsia="Arial"/>
          <w:b/>
          <w:iCs/>
          <w:color w:val="000000"/>
        </w:rPr>
        <w:t>ROS production and lipoperoxidation</w:t>
      </w:r>
      <w:r w:rsidRPr="00FF4BF5">
        <w:rPr>
          <w:rFonts w:eastAsia="Arial"/>
          <w:b/>
          <w:color w:val="000000"/>
        </w:rPr>
        <w:t xml:space="preserve"> in HUVECs.</w:t>
      </w:r>
      <w:r>
        <w:rPr>
          <w:rFonts w:eastAsia="Arial"/>
          <w:b/>
          <w:bCs/>
          <w:color w:val="000000"/>
        </w:rPr>
        <w:t xml:space="preserve"> </w:t>
      </w:r>
      <w:r w:rsidRPr="003D08AF">
        <w:rPr>
          <w:rFonts w:eastAsia="Arial"/>
          <w:color w:val="000000"/>
        </w:rPr>
        <w:t>(A and C)</w:t>
      </w:r>
      <w:r>
        <w:rPr>
          <w:rFonts w:eastAsia="Arial"/>
          <w:b/>
          <w:bCs/>
          <w:color w:val="000000"/>
        </w:rPr>
        <w:t xml:space="preserve"> </w:t>
      </w:r>
      <w:r w:rsidRPr="00BE4586">
        <w:rPr>
          <w:rFonts w:eastAsia="Arial"/>
          <w:color w:val="000000"/>
        </w:rPr>
        <w:t>Hydrogen peroxide</w:t>
      </w:r>
      <w:r>
        <w:rPr>
          <w:rFonts w:eastAsia="Arial"/>
          <w:color w:val="000000"/>
        </w:rPr>
        <w:t xml:space="preserve"> (</w:t>
      </w:r>
      <w:r w:rsidRPr="00BF775C">
        <w:rPr>
          <w:rFonts w:eastAsia="Arial"/>
          <w:color w:val="000000"/>
        </w:rPr>
        <w:t>H</w:t>
      </w:r>
      <w:r w:rsidRPr="008C3649">
        <w:rPr>
          <w:rFonts w:eastAsia="Arial"/>
          <w:color w:val="000000"/>
          <w:vertAlign w:val="subscript"/>
        </w:rPr>
        <w:t>2</w:t>
      </w:r>
      <w:r w:rsidRPr="00BF775C">
        <w:rPr>
          <w:rFonts w:eastAsia="Arial"/>
          <w:color w:val="000000"/>
        </w:rPr>
        <w:t>O</w:t>
      </w:r>
      <w:r w:rsidRPr="008C3649">
        <w:rPr>
          <w:rFonts w:eastAsia="Arial"/>
          <w:color w:val="000000"/>
          <w:vertAlign w:val="subscript"/>
        </w:rPr>
        <w:t>2</w:t>
      </w:r>
      <w:r w:rsidRPr="003D08AF">
        <w:rPr>
          <w:rFonts w:eastAsia="Arial"/>
          <w:color w:val="000000"/>
        </w:rPr>
        <w:t>)</w:t>
      </w:r>
      <w:r>
        <w:rPr>
          <w:rFonts w:eastAsia="Arial"/>
          <w:color w:val="000000"/>
        </w:rPr>
        <w:t xml:space="preserve"> </w:t>
      </w:r>
      <w:r w:rsidRPr="00BE4586">
        <w:rPr>
          <w:rFonts w:eastAsia="Arial"/>
          <w:color w:val="000000"/>
        </w:rPr>
        <w:t xml:space="preserve">increased the </w:t>
      </w:r>
      <w:r w:rsidRPr="00BE4586">
        <w:rPr>
          <w:rFonts w:eastAsia="Arial"/>
          <w:bCs/>
          <w:iCs/>
        </w:rPr>
        <w:t>median fluorescence intensity (</w:t>
      </w:r>
      <w:r w:rsidRPr="00BE4586">
        <w:rPr>
          <w:rFonts w:eastAsia="Arial"/>
        </w:rPr>
        <w:t>MFI</w:t>
      </w:r>
      <w:r w:rsidRPr="00BE4586">
        <w:rPr>
          <w:rFonts w:eastAsia="Arial"/>
          <w:bCs/>
          <w:iCs/>
        </w:rPr>
        <w:t>)</w:t>
      </w:r>
      <w:r w:rsidRPr="00BE4586">
        <w:rPr>
          <w:rFonts w:eastAsia="Arial"/>
          <w:color w:val="000000"/>
        </w:rPr>
        <w:t xml:space="preserve"> of </w:t>
      </w:r>
      <w:proofErr w:type="spellStart"/>
      <w:r w:rsidRPr="00BE4586">
        <w:rPr>
          <w:rFonts w:eastAsia="Arial"/>
          <w:color w:val="000000"/>
        </w:rPr>
        <w:t>MitoSOX</w:t>
      </w:r>
      <w:proofErr w:type="spellEnd"/>
      <w:r w:rsidRPr="00BE4586">
        <w:rPr>
          <w:rFonts w:eastAsia="Arial"/>
          <w:color w:val="000000"/>
        </w:rPr>
        <w:t xml:space="preserve"> </w:t>
      </w:r>
      <w:r>
        <w:rPr>
          <w:rFonts w:eastAsia="Arial"/>
          <w:color w:val="000000"/>
        </w:rPr>
        <w:t xml:space="preserve">and BODIPYC11 </w:t>
      </w:r>
      <w:r w:rsidRPr="00BE4586">
        <w:rPr>
          <w:rFonts w:eastAsia="Arial"/>
          <w:color w:val="000000"/>
        </w:rPr>
        <w:t xml:space="preserve">in </w:t>
      </w:r>
      <w:r w:rsidRPr="00BE4586">
        <w:rPr>
          <w:rFonts w:eastAsia="Arial"/>
          <w:bCs/>
          <w:iCs/>
          <w:color w:val="000000"/>
        </w:rPr>
        <w:t>HUVECs</w:t>
      </w:r>
      <w:r>
        <w:rPr>
          <w:rFonts w:eastAsia="Arial"/>
          <w:bCs/>
          <w:iCs/>
          <w:color w:val="000000"/>
        </w:rPr>
        <w:t xml:space="preserve">, whereas </w:t>
      </w:r>
      <w:r w:rsidRPr="00BE4586">
        <w:rPr>
          <w:rFonts w:eastAsia="Arial"/>
          <w:bCs/>
          <w:iCs/>
          <w:color w:val="000000"/>
        </w:rPr>
        <w:t>β2GPI alone did not affect ROS production</w:t>
      </w:r>
      <w:r w:rsidRPr="00BE4586">
        <w:rPr>
          <w:rFonts w:eastAsia="Arial"/>
          <w:color w:val="000000"/>
        </w:rPr>
        <w:t>.</w:t>
      </w:r>
      <w:r w:rsidRPr="003D08AF">
        <w:rPr>
          <w:rFonts w:eastAsia="Arial"/>
          <w:bCs/>
          <w:iCs/>
          <w:color w:val="000000"/>
        </w:rPr>
        <w:t xml:space="preserve"> </w:t>
      </w:r>
      <w:r>
        <w:rPr>
          <w:rFonts w:eastAsia="Arial"/>
          <w:bCs/>
          <w:iCs/>
          <w:color w:val="000000"/>
        </w:rPr>
        <w:t xml:space="preserve">(A-D) </w:t>
      </w:r>
      <w:r w:rsidRPr="00BE4586">
        <w:rPr>
          <w:rFonts w:eastAsia="Arial"/>
          <w:bCs/>
          <w:iCs/>
          <w:color w:val="000000"/>
        </w:rPr>
        <w:t>IgG from</w:t>
      </w:r>
      <w:r>
        <w:rPr>
          <w:rFonts w:eastAsia="Arial"/>
          <w:bCs/>
          <w:iCs/>
          <w:color w:val="000000"/>
        </w:rPr>
        <w:t xml:space="preserve"> groups of </w:t>
      </w:r>
      <w:r w:rsidRPr="00BE4586">
        <w:rPr>
          <w:rFonts w:eastAsia="Arial"/>
          <w:bCs/>
          <w:iCs/>
          <w:color w:val="000000"/>
        </w:rPr>
        <w:t>patient</w:t>
      </w:r>
      <w:r>
        <w:rPr>
          <w:rFonts w:eastAsia="Arial"/>
          <w:bCs/>
          <w:iCs/>
          <w:color w:val="000000"/>
        </w:rPr>
        <w:t>s</w:t>
      </w:r>
      <w:r w:rsidRPr="00BE4586">
        <w:rPr>
          <w:rFonts w:eastAsia="Arial"/>
          <w:bCs/>
          <w:iCs/>
          <w:color w:val="000000"/>
        </w:rPr>
        <w:t xml:space="preserve"> included in the study did not affect </w:t>
      </w:r>
      <w:r>
        <w:rPr>
          <w:rFonts w:eastAsia="Arial"/>
          <w:bCs/>
          <w:iCs/>
          <w:color w:val="000000"/>
        </w:rPr>
        <w:t xml:space="preserve">the intracellular </w:t>
      </w:r>
      <w:r w:rsidRPr="00BE4586">
        <w:rPr>
          <w:rFonts w:eastAsia="Arial"/>
          <w:bCs/>
          <w:iCs/>
          <w:color w:val="000000"/>
        </w:rPr>
        <w:t>ROS production detected by DCF signal or lipoperoxidation by BODIPY C11 staining</w:t>
      </w:r>
      <w:r w:rsidRPr="00BE4586">
        <w:rPr>
          <w:rFonts w:eastAsia="Arial"/>
          <w:b/>
          <w:bCs/>
          <w:color w:val="000000"/>
        </w:rPr>
        <w:t>.</w:t>
      </w:r>
      <w:r w:rsidRPr="003D08AF">
        <w:rPr>
          <w:rFonts w:eastAsia="Arial"/>
          <w:color w:val="000000"/>
        </w:rPr>
        <w:t xml:space="preserve"> </w:t>
      </w:r>
      <w:r>
        <w:rPr>
          <w:rFonts w:eastAsia="Arial"/>
          <w:color w:val="000000"/>
        </w:rPr>
        <w:t>R</w:t>
      </w:r>
      <w:r w:rsidRPr="00BE4586">
        <w:rPr>
          <w:rFonts w:eastAsia="Arial"/>
          <w:color w:val="000000"/>
        </w:rPr>
        <w:t xml:space="preserve">esults were obtained from </w:t>
      </w:r>
      <w:r>
        <w:rPr>
          <w:rFonts w:eastAsia="Arial"/>
          <w:color w:val="000000"/>
        </w:rPr>
        <w:t>three</w:t>
      </w:r>
      <w:r w:rsidRPr="00BE4586">
        <w:rPr>
          <w:rFonts w:eastAsia="Arial"/>
          <w:color w:val="000000"/>
        </w:rPr>
        <w:t xml:space="preserve"> independent experiments.</w:t>
      </w:r>
      <w:r>
        <w:rPr>
          <w:rFonts w:eastAsia="Arial"/>
          <w:color w:val="000000"/>
        </w:rPr>
        <w:t xml:space="preserve"> </w:t>
      </w:r>
      <w:r w:rsidRPr="00BE4586">
        <w:rPr>
          <w:rFonts w:eastAsia="Arial"/>
          <w:color w:val="000000"/>
        </w:rPr>
        <w:t xml:space="preserve">PM/VT indicates patients with </w:t>
      </w:r>
      <w:r w:rsidRPr="00BE4586">
        <w:rPr>
          <w:rFonts w:eastAsia="Arial"/>
          <w:bCs/>
          <w:iCs/>
          <w:color w:val="000000"/>
        </w:rPr>
        <w:t>pregnancy</w:t>
      </w:r>
      <w:r>
        <w:rPr>
          <w:rFonts w:eastAsia="Arial"/>
          <w:bCs/>
          <w:iCs/>
          <w:color w:val="000000"/>
        </w:rPr>
        <w:t xml:space="preserve"> </w:t>
      </w:r>
      <w:r w:rsidRPr="00BE4586">
        <w:rPr>
          <w:rFonts w:eastAsia="Arial"/>
          <w:bCs/>
          <w:iCs/>
          <w:color w:val="000000"/>
        </w:rPr>
        <w:t>morbidity</w:t>
      </w:r>
      <w:r w:rsidRPr="00BE4586">
        <w:rPr>
          <w:rFonts w:eastAsia="Arial"/>
          <w:color w:val="000000"/>
        </w:rPr>
        <w:t xml:space="preserve"> and vascular thrombosis</w:t>
      </w:r>
      <w:r>
        <w:rPr>
          <w:rFonts w:eastAsia="Arial"/>
          <w:color w:val="000000"/>
        </w:rPr>
        <w:t xml:space="preserve">. </w:t>
      </w:r>
      <w:r w:rsidRPr="00596739">
        <w:rPr>
          <w:rFonts w:eastAsia="Arial"/>
          <w:color w:val="000000"/>
        </w:rPr>
        <w:t>The IgG from women with positive or negative thrombos</w:t>
      </w:r>
      <w:r>
        <w:rPr>
          <w:rFonts w:eastAsia="Arial"/>
          <w:color w:val="000000"/>
        </w:rPr>
        <w:t>i</w:t>
      </w:r>
      <w:r w:rsidRPr="00596739">
        <w:rPr>
          <w:rFonts w:eastAsia="Arial"/>
          <w:color w:val="000000"/>
        </w:rPr>
        <w:t>s did not affect the generation of oxidative stress in HUVECs</w:t>
      </w:r>
      <w:r>
        <w:rPr>
          <w:rFonts w:eastAsia="Arial"/>
          <w:color w:val="000000"/>
        </w:rPr>
        <w:t xml:space="preserve"> </w:t>
      </w:r>
      <w:r w:rsidRPr="00596739">
        <w:rPr>
          <w:rFonts w:eastAsia="Arial"/>
          <w:color w:val="000000"/>
        </w:rPr>
        <w:t>(data not shown).</w:t>
      </w:r>
    </w:p>
    <w:p w14:paraId="202DC286" w14:textId="77777777" w:rsidR="00E47422" w:rsidRPr="00903883" w:rsidRDefault="00E47422" w:rsidP="00E47422">
      <w:pPr>
        <w:keepNext/>
        <w:rPr>
          <w:b/>
        </w:rPr>
      </w:pPr>
    </w:p>
    <w:p w14:paraId="168C599C" w14:textId="77777777" w:rsidR="00E47422" w:rsidRPr="00903883" w:rsidRDefault="00E47422" w:rsidP="00E47422">
      <w:pPr>
        <w:spacing w:before="240"/>
      </w:pPr>
    </w:p>
    <w:p w14:paraId="215681BA" w14:textId="77777777" w:rsidR="00E47422" w:rsidRPr="00903883" w:rsidRDefault="00E47422" w:rsidP="00E47422">
      <w:pPr>
        <w:spacing w:before="240"/>
      </w:pPr>
    </w:p>
    <w:p w14:paraId="0EBB7E10" w14:textId="77777777" w:rsidR="00E47422" w:rsidRPr="00903883" w:rsidRDefault="00E47422" w:rsidP="00E47422">
      <w:pPr>
        <w:spacing w:before="240"/>
      </w:pPr>
    </w:p>
    <w:p w14:paraId="49DFD5D9" w14:textId="77777777" w:rsidR="00E47422" w:rsidRPr="00903883" w:rsidRDefault="00E47422" w:rsidP="00E47422">
      <w:pPr>
        <w:spacing w:before="240"/>
      </w:pPr>
    </w:p>
    <w:p w14:paraId="2B1BBBDA" w14:textId="77777777" w:rsidR="00E47422" w:rsidRDefault="00E47422" w:rsidP="00E47422">
      <w:pPr>
        <w:spacing w:before="240"/>
      </w:pPr>
      <w:r w:rsidRPr="00362C40">
        <w:rPr>
          <w:noProof/>
          <w:lang w:eastAsia="zh-TW"/>
        </w:rPr>
        <w:lastRenderedPageBreak/>
        <w:drawing>
          <wp:inline distT="0" distB="0" distL="0" distR="0" wp14:anchorId="613D876F" wp14:editId="1081A7E9">
            <wp:extent cx="6208395" cy="6798945"/>
            <wp:effectExtent l="0" t="0" r="190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679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261C0" w14:textId="77777777" w:rsidR="00E47422" w:rsidRPr="00720381" w:rsidRDefault="00E47422" w:rsidP="00E47422">
      <w:pPr>
        <w:jc w:val="both"/>
        <w:rPr>
          <w:b/>
          <w:bCs/>
        </w:rPr>
      </w:pPr>
      <w:r w:rsidRPr="0001436A">
        <w:rPr>
          <w:b/>
        </w:rPr>
        <w:t xml:space="preserve">Supplementary Figure </w:t>
      </w:r>
      <w:r>
        <w:rPr>
          <w:b/>
        </w:rPr>
        <w:t xml:space="preserve">2. </w:t>
      </w:r>
      <w:r w:rsidRPr="00BE4586">
        <w:rPr>
          <w:rFonts w:eastAsia="Arial"/>
          <w:b/>
          <w:bCs/>
          <w:color w:val="000000"/>
        </w:rPr>
        <w:t>Evaluation of</w:t>
      </w:r>
      <w:r>
        <w:rPr>
          <w:rFonts w:eastAsia="Arial"/>
          <w:b/>
          <w:bCs/>
          <w:color w:val="000000"/>
        </w:rPr>
        <w:t xml:space="preserve"> cell-derived</w:t>
      </w:r>
      <w:r w:rsidRPr="00BE4586">
        <w:rPr>
          <w:rFonts w:eastAsia="Arial"/>
          <w:b/>
          <w:bCs/>
          <w:color w:val="000000"/>
        </w:rPr>
        <w:t xml:space="preserve"> endothelial </w:t>
      </w:r>
      <w:r>
        <w:rPr>
          <w:rFonts w:eastAsia="Arial"/>
          <w:b/>
          <w:bCs/>
          <w:color w:val="000000"/>
        </w:rPr>
        <w:t>microparticles (</w:t>
      </w:r>
      <w:r w:rsidRPr="00BE4586">
        <w:rPr>
          <w:rFonts w:eastAsia="Arial"/>
          <w:b/>
          <w:bCs/>
          <w:color w:val="000000"/>
        </w:rPr>
        <w:t>MPs</w:t>
      </w:r>
      <w:r>
        <w:rPr>
          <w:rFonts w:eastAsia="Arial"/>
          <w:b/>
          <w:bCs/>
          <w:color w:val="000000"/>
        </w:rPr>
        <w:t>)</w:t>
      </w:r>
      <w:r w:rsidRPr="00BE4586">
        <w:rPr>
          <w:rFonts w:eastAsia="Arial"/>
          <w:color w:val="000000"/>
        </w:rPr>
        <w:t>.</w:t>
      </w:r>
      <w:r>
        <w:rPr>
          <w:rFonts w:eastAsia="Arial"/>
          <w:color w:val="000000"/>
        </w:rPr>
        <w:t xml:space="preserve"> (A and D) </w:t>
      </w:r>
      <w:r w:rsidRPr="00720381">
        <w:rPr>
          <w:rFonts w:eastAsia="Arial"/>
          <w:color w:val="000000"/>
        </w:rPr>
        <w:t>Control indicates microparticles without antibodies, which were used to define the location of the negative and positive MPs for Annexin V and CD31.</w:t>
      </w:r>
      <w:r>
        <w:rPr>
          <w:rFonts w:eastAsia="Arial"/>
          <w:color w:val="000000"/>
        </w:rPr>
        <w:t xml:space="preserve"> L</w:t>
      </w:r>
      <w:r w:rsidRPr="00AA5921">
        <w:rPr>
          <w:rFonts w:eastAsia="Arial"/>
          <w:bCs/>
          <w:iCs/>
          <w:color w:val="000000"/>
        </w:rPr>
        <w:t xml:space="preserve">ipopolysaccharide </w:t>
      </w:r>
      <w:r>
        <w:rPr>
          <w:rFonts w:eastAsia="Arial"/>
          <w:bCs/>
          <w:iCs/>
          <w:color w:val="000000"/>
        </w:rPr>
        <w:t>(</w:t>
      </w:r>
      <w:r w:rsidRPr="00BE4586">
        <w:rPr>
          <w:rFonts w:eastAsia="Arial"/>
          <w:color w:val="000000"/>
        </w:rPr>
        <w:t>LPS</w:t>
      </w:r>
      <w:r>
        <w:rPr>
          <w:rFonts w:eastAsia="Arial"/>
          <w:color w:val="000000"/>
        </w:rPr>
        <w:t>)</w:t>
      </w:r>
      <w:r w:rsidRPr="00BE4586">
        <w:rPr>
          <w:rFonts w:eastAsia="Arial"/>
          <w:color w:val="000000"/>
        </w:rPr>
        <w:t xml:space="preserve"> increased CD31+/</w:t>
      </w:r>
      <w:r>
        <w:rPr>
          <w:rFonts w:eastAsia="Arial"/>
          <w:color w:val="000000"/>
        </w:rPr>
        <w:t>a</w:t>
      </w:r>
      <w:r w:rsidRPr="00BE4586">
        <w:rPr>
          <w:rFonts w:eastAsia="Arial"/>
          <w:color w:val="000000"/>
        </w:rPr>
        <w:t>nnexin</w:t>
      </w:r>
      <w:r>
        <w:rPr>
          <w:rFonts w:eastAsia="Arial"/>
          <w:color w:val="000000"/>
        </w:rPr>
        <w:t xml:space="preserve"> </w:t>
      </w:r>
      <w:r w:rsidRPr="00BE4586">
        <w:rPr>
          <w:rFonts w:eastAsia="Arial"/>
          <w:color w:val="000000"/>
        </w:rPr>
        <w:t>V</w:t>
      </w:r>
      <w:r>
        <w:rPr>
          <w:rFonts w:eastAsia="Arial"/>
          <w:color w:val="000000"/>
        </w:rPr>
        <w:t>-</w:t>
      </w:r>
      <w:r w:rsidRPr="00BE4586">
        <w:rPr>
          <w:rFonts w:eastAsia="Arial"/>
          <w:color w:val="000000"/>
        </w:rPr>
        <w:t>, CD31+/</w:t>
      </w:r>
      <w:r>
        <w:rPr>
          <w:rFonts w:eastAsia="Arial"/>
          <w:color w:val="000000"/>
        </w:rPr>
        <w:t>a</w:t>
      </w:r>
      <w:r w:rsidRPr="00BE4586">
        <w:rPr>
          <w:rFonts w:eastAsia="Arial"/>
          <w:color w:val="000000"/>
        </w:rPr>
        <w:t>nnexin</w:t>
      </w:r>
      <w:r>
        <w:rPr>
          <w:rFonts w:eastAsia="Arial"/>
          <w:color w:val="000000"/>
        </w:rPr>
        <w:t xml:space="preserve"> </w:t>
      </w:r>
      <w:r w:rsidRPr="00BE4586">
        <w:rPr>
          <w:rFonts w:eastAsia="Arial"/>
          <w:color w:val="000000"/>
        </w:rPr>
        <w:t>V+, CD31</w:t>
      </w:r>
      <w:r>
        <w:rPr>
          <w:rFonts w:eastAsia="Arial"/>
          <w:color w:val="000000"/>
        </w:rPr>
        <w:t>-</w:t>
      </w:r>
      <w:r w:rsidRPr="00BE4586">
        <w:rPr>
          <w:rFonts w:eastAsia="Arial"/>
          <w:color w:val="000000"/>
        </w:rPr>
        <w:t>/</w:t>
      </w:r>
      <w:r>
        <w:rPr>
          <w:rFonts w:eastAsia="Arial"/>
          <w:color w:val="000000"/>
        </w:rPr>
        <w:t>a</w:t>
      </w:r>
      <w:r w:rsidRPr="00BE4586">
        <w:rPr>
          <w:rFonts w:eastAsia="Arial"/>
          <w:color w:val="000000"/>
        </w:rPr>
        <w:t>nnexin</w:t>
      </w:r>
      <w:r>
        <w:rPr>
          <w:rFonts w:eastAsia="Arial"/>
          <w:color w:val="000000"/>
        </w:rPr>
        <w:t xml:space="preserve"> </w:t>
      </w:r>
      <w:r w:rsidRPr="00BE4586">
        <w:rPr>
          <w:rFonts w:eastAsia="Arial"/>
          <w:color w:val="000000"/>
        </w:rPr>
        <w:t>V+, and CD31</w:t>
      </w:r>
      <w:r>
        <w:rPr>
          <w:rFonts w:eastAsia="Arial"/>
          <w:color w:val="000000"/>
        </w:rPr>
        <w:t>-</w:t>
      </w:r>
      <w:r w:rsidRPr="00BE4586">
        <w:rPr>
          <w:rFonts w:eastAsia="Arial"/>
          <w:color w:val="000000"/>
        </w:rPr>
        <w:t>/</w:t>
      </w:r>
      <w:r>
        <w:rPr>
          <w:rFonts w:eastAsia="Arial"/>
          <w:color w:val="000000"/>
        </w:rPr>
        <w:t>a</w:t>
      </w:r>
      <w:r w:rsidRPr="00BE4586">
        <w:rPr>
          <w:rFonts w:eastAsia="Arial"/>
          <w:color w:val="000000"/>
        </w:rPr>
        <w:t>nnexin</w:t>
      </w:r>
      <w:r>
        <w:rPr>
          <w:rFonts w:eastAsia="Arial"/>
          <w:color w:val="000000"/>
        </w:rPr>
        <w:t xml:space="preserve"> </w:t>
      </w:r>
      <w:r w:rsidRPr="00BE4586">
        <w:rPr>
          <w:rFonts w:eastAsia="Arial"/>
          <w:color w:val="000000"/>
        </w:rPr>
        <w:t>V</w:t>
      </w:r>
      <w:r>
        <w:rPr>
          <w:rFonts w:eastAsia="Arial"/>
          <w:color w:val="000000"/>
        </w:rPr>
        <w:t>-</w:t>
      </w:r>
      <w:r w:rsidRPr="00BE4586">
        <w:rPr>
          <w:rFonts w:eastAsia="Arial"/>
          <w:color w:val="000000"/>
        </w:rPr>
        <w:t xml:space="preserve"> MPs </w:t>
      </w:r>
      <w:r w:rsidRPr="00903883">
        <w:rPr>
          <w:rFonts w:eastAsia="Arial"/>
          <w:color w:val="000000"/>
        </w:rPr>
        <w:t xml:space="preserve">of 0.5 </w:t>
      </w:r>
      <w:r w:rsidRPr="00903883">
        <w:rPr>
          <w:rFonts w:ascii="Symbol" w:hAnsi="Symbol"/>
        </w:rPr>
        <w:t></w:t>
      </w:r>
      <w:r w:rsidRPr="00903883">
        <w:rPr>
          <w:rFonts w:eastAsia="Arial"/>
          <w:color w:val="000000"/>
        </w:rPr>
        <w:t>m</w:t>
      </w:r>
      <w:r w:rsidRPr="00BE4586">
        <w:rPr>
          <w:rFonts w:eastAsia="Arial"/>
          <w:color w:val="000000"/>
        </w:rPr>
        <w:t xml:space="preserve"> (A</w:t>
      </w:r>
      <w:r>
        <w:rPr>
          <w:rFonts w:eastAsia="Arial"/>
          <w:color w:val="000000"/>
        </w:rPr>
        <w:t>–</w:t>
      </w:r>
      <w:r w:rsidRPr="00BE4586">
        <w:rPr>
          <w:rFonts w:eastAsia="Arial"/>
          <w:color w:val="000000"/>
        </w:rPr>
        <w:t>C and G</w:t>
      </w:r>
      <w:r>
        <w:rPr>
          <w:rFonts w:eastAsia="Arial"/>
          <w:color w:val="000000"/>
        </w:rPr>
        <w:t>–</w:t>
      </w:r>
      <w:r w:rsidRPr="00BE4586">
        <w:rPr>
          <w:rFonts w:eastAsia="Arial"/>
          <w:color w:val="000000"/>
        </w:rPr>
        <w:t xml:space="preserve">J) and </w:t>
      </w:r>
      <w:r w:rsidRPr="00BE4586">
        <w:rPr>
          <w:rFonts w:ascii="Arial" w:eastAsia="Arial" w:hAnsi="Arial" w:cs="Arial"/>
          <w:color w:val="000000"/>
        </w:rPr>
        <w:t>1</w:t>
      </w:r>
      <w:r w:rsidRPr="00BE4586">
        <w:rPr>
          <w:rFonts w:eastAsia="Arial"/>
          <w:color w:val="000000"/>
        </w:rPr>
        <w:t xml:space="preserve"> </w:t>
      </w:r>
      <w:r w:rsidRPr="00BE4586">
        <w:rPr>
          <w:rFonts w:ascii="Symbol" w:hAnsi="Symbol"/>
        </w:rPr>
        <w:t></w:t>
      </w:r>
      <w:r w:rsidRPr="00BE4586">
        <w:rPr>
          <w:rFonts w:eastAsia="Arial"/>
          <w:color w:val="000000"/>
        </w:rPr>
        <w:t>m (D</w:t>
      </w:r>
      <w:r>
        <w:rPr>
          <w:rFonts w:eastAsia="Arial"/>
          <w:color w:val="000000"/>
        </w:rPr>
        <w:t>–</w:t>
      </w:r>
      <w:r w:rsidRPr="00BE4586">
        <w:rPr>
          <w:rFonts w:eastAsia="Arial"/>
          <w:color w:val="000000"/>
        </w:rPr>
        <w:t>F and K</w:t>
      </w:r>
      <w:r>
        <w:rPr>
          <w:rFonts w:eastAsia="Arial"/>
          <w:color w:val="000000"/>
        </w:rPr>
        <w:t>–</w:t>
      </w:r>
      <w:r w:rsidRPr="00BE4586">
        <w:rPr>
          <w:rFonts w:eastAsia="Arial"/>
          <w:color w:val="000000"/>
        </w:rPr>
        <w:t xml:space="preserve">N) </w:t>
      </w:r>
      <w:r>
        <w:rPr>
          <w:rFonts w:eastAsia="Arial"/>
          <w:color w:val="000000"/>
        </w:rPr>
        <w:t>compared</w:t>
      </w:r>
      <w:r w:rsidRPr="00BE4586">
        <w:rPr>
          <w:rFonts w:eastAsia="Arial"/>
          <w:color w:val="000000"/>
        </w:rPr>
        <w:t xml:space="preserve"> </w:t>
      </w:r>
      <w:r>
        <w:rPr>
          <w:rFonts w:eastAsia="Arial"/>
          <w:color w:val="000000"/>
        </w:rPr>
        <w:t xml:space="preserve">with </w:t>
      </w:r>
      <w:r w:rsidRPr="00BE4586">
        <w:rPr>
          <w:rFonts w:eastAsia="Arial"/>
          <w:color w:val="000000"/>
        </w:rPr>
        <w:t>bas</w:t>
      </w:r>
      <w:r>
        <w:rPr>
          <w:rFonts w:eastAsia="Arial"/>
          <w:color w:val="000000"/>
        </w:rPr>
        <w:t>eline</w:t>
      </w:r>
      <w:r w:rsidRPr="00BE4586">
        <w:rPr>
          <w:rFonts w:eastAsia="Arial"/>
          <w:color w:val="000000"/>
        </w:rPr>
        <w:t xml:space="preserve"> production. </w:t>
      </w:r>
      <w:r>
        <w:rPr>
          <w:rFonts w:eastAsia="Arial"/>
          <w:color w:val="000000"/>
        </w:rPr>
        <w:t>R</w:t>
      </w:r>
      <w:r w:rsidRPr="00BE4586">
        <w:rPr>
          <w:rFonts w:eastAsia="Arial"/>
          <w:color w:val="000000"/>
        </w:rPr>
        <w:t>esults were obtained from three independent experiments</w:t>
      </w:r>
      <w:r>
        <w:rPr>
          <w:rFonts w:eastAsia="Arial"/>
          <w:color w:val="000000"/>
        </w:rPr>
        <w:t>.</w:t>
      </w:r>
    </w:p>
    <w:p w14:paraId="106CEE80" w14:textId="77777777" w:rsidR="00E47422" w:rsidRDefault="00E47422" w:rsidP="00E47422">
      <w:pPr>
        <w:spacing w:before="240"/>
      </w:pPr>
    </w:p>
    <w:p w14:paraId="3E065F9E" w14:textId="77777777" w:rsidR="00E47422" w:rsidRDefault="00E47422" w:rsidP="00E47422">
      <w:pPr>
        <w:spacing w:before="240"/>
      </w:pPr>
      <w:r w:rsidRPr="0021505A">
        <w:rPr>
          <w:noProof/>
        </w:rPr>
        <w:t xml:space="preserve"> </w:t>
      </w:r>
      <w:r w:rsidRPr="0021505A">
        <w:rPr>
          <w:noProof/>
          <w:lang w:eastAsia="zh-TW"/>
        </w:rPr>
        <w:drawing>
          <wp:inline distT="0" distB="0" distL="0" distR="0" wp14:anchorId="59134F6A" wp14:editId="54DA7112">
            <wp:extent cx="6208395" cy="3567430"/>
            <wp:effectExtent l="0" t="0" r="1905" b="127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F931D" w14:textId="158F164E" w:rsidR="00874441" w:rsidRPr="00E47422" w:rsidRDefault="00E47422" w:rsidP="00E47422">
      <w:pPr>
        <w:pStyle w:val="SupplementaryMaterial"/>
        <w:jc w:val="both"/>
        <w:rPr>
          <w:i w:val="0"/>
          <w:iCs/>
          <w:sz w:val="24"/>
          <w:szCs w:val="24"/>
        </w:rPr>
      </w:pPr>
      <w:r w:rsidRPr="00E47422">
        <w:rPr>
          <w:i w:val="0"/>
          <w:iCs/>
          <w:sz w:val="24"/>
          <w:szCs w:val="24"/>
        </w:rPr>
        <w:t xml:space="preserve">Supplementary Figure 3. Effect of IgG, aspirin (ASA), enoxaparin (ENX), and hydroxychloroquine (HCQ) on cell viability. </w:t>
      </w:r>
      <w:r w:rsidRPr="00E47422">
        <w:rPr>
          <w:b w:val="0"/>
          <w:i w:val="0"/>
          <w:iCs/>
          <w:sz w:val="24"/>
          <w:szCs w:val="24"/>
        </w:rPr>
        <w:t>(A–D) 4 and 8 mM of hydrogen peroxide (H</w:t>
      </w:r>
      <w:r w:rsidRPr="00E47422">
        <w:rPr>
          <w:b w:val="0"/>
          <w:i w:val="0"/>
          <w:iCs/>
          <w:sz w:val="24"/>
          <w:szCs w:val="24"/>
          <w:vertAlign w:val="subscript"/>
        </w:rPr>
        <w:t>2</w:t>
      </w:r>
      <w:r w:rsidRPr="00E47422">
        <w:rPr>
          <w:b w:val="0"/>
          <w:i w:val="0"/>
          <w:iCs/>
          <w:sz w:val="24"/>
          <w:szCs w:val="24"/>
        </w:rPr>
        <w:t>O</w:t>
      </w:r>
      <w:r w:rsidRPr="00E47422">
        <w:rPr>
          <w:b w:val="0"/>
          <w:i w:val="0"/>
          <w:iCs/>
          <w:sz w:val="24"/>
          <w:szCs w:val="24"/>
          <w:vertAlign w:val="subscript"/>
        </w:rPr>
        <w:t>2</w:t>
      </w:r>
      <w:r w:rsidRPr="00E47422">
        <w:rPr>
          <w:b w:val="0"/>
          <w:i w:val="0"/>
          <w:iCs/>
          <w:sz w:val="24"/>
          <w:szCs w:val="24"/>
        </w:rPr>
        <w:t>) increased the dead cells compared with baseline control, beta 2-glycoprotein-I (β2GPI), vascular endothelial cell growth factor (VEGF), and NG-nitro-L-arginine methyl ester (L-NAME) in HUVECs. (E–J) IgG, ASA, EXN, and HCQ did not induce dead cells compared with baseline control. Results were obtained from three independent experiments.</w:t>
      </w:r>
    </w:p>
    <w:sectPr w:rsidR="00874441" w:rsidRPr="00E47422" w:rsidSect="0093429D">
      <w:headerReference w:type="even" r:id="rId11"/>
      <w:footerReference w:type="even" r:id="rId12"/>
      <w:footerReference w:type="default" r:id="rId13"/>
      <w:headerReference w:type="first" r:id="rId14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BF407F8" w14:textId="77777777" w:rsidR="00D2336C" w:rsidRDefault="00D2336C" w:rsidP="00117666">
      <w:pPr>
        <w:spacing w:after="0"/>
      </w:pPr>
      <w:r>
        <w:separator/>
      </w:r>
    </w:p>
  </w:endnote>
  <w:endnote w:type="continuationSeparator" w:id="0">
    <w:p w14:paraId="23661587" w14:textId="77777777" w:rsidR="00D2336C" w:rsidRDefault="00D2336C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64DAD8" w14:textId="77777777" w:rsidR="00D2336C" w:rsidRDefault="00D2336C" w:rsidP="00117666">
      <w:pPr>
        <w:spacing w:after="0"/>
      </w:pPr>
      <w:r>
        <w:separator/>
      </w:r>
    </w:p>
  </w:footnote>
  <w:footnote w:type="continuationSeparator" w:id="0">
    <w:p w14:paraId="68E5BFA3" w14:textId="77777777" w:rsidR="00D2336C" w:rsidRDefault="00D2336C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Ttulo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Ttulo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Prrafodelist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6"/>
  <w:proofState w:spelling="clean" w:grammar="clean"/>
  <w:attachedTemplate r:id="rId1"/>
  <w:trackRevisions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0728E"/>
    <w:rsid w:val="0001436A"/>
    <w:rsid w:val="0001713B"/>
    <w:rsid w:val="00034304"/>
    <w:rsid w:val="00035434"/>
    <w:rsid w:val="000500B5"/>
    <w:rsid w:val="0005072C"/>
    <w:rsid w:val="00052A14"/>
    <w:rsid w:val="0005495A"/>
    <w:rsid w:val="00062C94"/>
    <w:rsid w:val="00077D53"/>
    <w:rsid w:val="000819F8"/>
    <w:rsid w:val="000D6AB9"/>
    <w:rsid w:val="000E3091"/>
    <w:rsid w:val="000F623D"/>
    <w:rsid w:val="00105FD9"/>
    <w:rsid w:val="001068A5"/>
    <w:rsid w:val="00117666"/>
    <w:rsid w:val="001549D3"/>
    <w:rsid w:val="00160065"/>
    <w:rsid w:val="00177D84"/>
    <w:rsid w:val="00187AFA"/>
    <w:rsid w:val="0021505A"/>
    <w:rsid w:val="00261353"/>
    <w:rsid w:val="00267D18"/>
    <w:rsid w:val="00274347"/>
    <w:rsid w:val="00281632"/>
    <w:rsid w:val="002868E2"/>
    <w:rsid w:val="002869C3"/>
    <w:rsid w:val="002936E4"/>
    <w:rsid w:val="002A4FBA"/>
    <w:rsid w:val="002B4A57"/>
    <w:rsid w:val="002C74CA"/>
    <w:rsid w:val="003123F4"/>
    <w:rsid w:val="0031473A"/>
    <w:rsid w:val="00326C4D"/>
    <w:rsid w:val="003544FB"/>
    <w:rsid w:val="00362C40"/>
    <w:rsid w:val="003B77BF"/>
    <w:rsid w:val="003D08AF"/>
    <w:rsid w:val="003D2F2D"/>
    <w:rsid w:val="003D7990"/>
    <w:rsid w:val="003F0352"/>
    <w:rsid w:val="003F2127"/>
    <w:rsid w:val="00401590"/>
    <w:rsid w:val="00410729"/>
    <w:rsid w:val="00410DA0"/>
    <w:rsid w:val="00423E21"/>
    <w:rsid w:val="00447801"/>
    <w:rsid w:val="00451D65"/>
    <w:rsid w:val="00452E9C"/>
    <w:rsid w:val="004735C8"/>
    <w:rsid w:val="004947A6"/>
    <w:rsid w:val="004961FF"/>
    <w:rsid w:val="004C5575"/>
    <w:rsid w:val="00517A89"/>
    <w:rsid w:val="005250F2"/>
    <w:rsid w:val="00593EEA"/>
    <w:rsid w:val="00596739"/>
    <w:rsid w:val="005A5EEE"/>
    <w:rsid w:val="006375C7"/>
    <w:rsid w:val="00654E8F"/>
    <w:rsid w:val="00660D05"/>
    <w:rsid w:val="006613D9"/>
    <w:rsid w:val="00676FF2"/>
    <w:rsid w:val="006820B1"/>
    <w:rsid w:val="006B7D14"/>
    <w:rsid w:val="006C4298"/>
    <w:rsid w:val="006E5B30"/>
    <w:rsid w:val="00701257"/>
    <w:rsid w:val="00701727"/>
    <w:rsid w:val="00701868"/>
    <w:rsid w:val="0070566C"/>
    <w:rsid w:val="00714C50"/>
    <w:rsid w:val="007165B1"/>
    <w:rsid w:val="00725A7D"/>
    <w:rsid w:val="007501BE"/>
    <w:rsid w:val="0076290E"/>
    <w:rsid w:val="00767B33"/>
    <w:rsid w:val="00790BB3"/>
    <w:rsid w:val="007B4632"/>
    <w:rsid w:val="007C206C"/>
    <w:rsid w:val="007D0082"/>
    <w:rsid w:val="007D4A85"/>
    <w:rsid w:val="007D6F62"/>
    <w:rsid w:val="00804C2A"/>
    <w:rsid w:val="00817DD6"/>
    <w:rsid w:val="0083759F"/>
    <w:rsid w:val="00874441"/>
    <w:rsid w:val="00885156"/>
    <w:rsid w:val="00891A4D"/>
    <w:rsid w:val="008D2058"/>
    <w:rsid w:val="00903883"/>
    <w:rsid w:val="009151AA"/>
    <w:rsid w:val="0093429D"/>
    <w:rsid w:val="00943573"/>
    <w:rsid w:val="00964134"/>
    <w:rsid w:val="00970F7D"/>
    <w:rsid w:val="00994A3D"/>
    <w:rsid w:val="009B143E"/>
    <w:rsid w:val="009B7F82"/>
    <w:rsid w:val="009C2B12"/>
    <w:rsid w:val="00A174D9"/>
    <w:rsid w:val="00AA4D24"/>
    <w:rsid w:val="00AB6715"/>
    <w:rsid w:val="00AD0C4A"/>
    <w:rsid w:val="00AD2944"/>
    <w:rsid w:val="00B05AD8"/>
    <w:rsid w:val="00B1671E"/>
    <w:rsid w:val="00B256CA"/>
    <w:rsid w:val="00B25EB8"/>
    <w:rsid w:val="00B3586F"/>
    <w:rsid w:val="00B37F4D"/>
    <w:rsid w:val="00B7120C"/>
    <w:rsid w:val="00C47F74"/>
    <w:rsid w:val="00C52A7B"/>
    <w:rsid w:val="00C56BAF"/>
    <w:rsid w:val="00C679AA"/>
    <w:rsid w:val="00C717B5"/>
    <w:rsid w:val="00C75972"/>
    <w:rsid w:val="00C76EE5"/>
    <w:rsid w:val="00C92DFE"/>
    <w:rsid w:val="00CB1AAE"/>
    <w:rsid w:val="00CD066B"/>
    <w:rsid w:val="00CD3E56"/>
    <w:rsid w:val="00CE4FEE"/>
    <w:rsid w:val="00D0313B"/>
    <w:rsid w:val="00D060CF"/>
    <w:rsid w:val="00D20C33"/>
    <w:rsid w:val="00D2336C"/>
    <w:rsid w:val="00D52464"/>
    <w:rsid w:val="00D76B71"/>
    <w:rsid w:val="00DB59C3"/>
    <w:rsid w:val="00DC259A"/>
    <w:rsid w:val="00DD7779"/>
    <w:rsid w:val="00DE23E8"/>
    <w:rsid w:val="00E2634A"/>
    <w:rsid w:val="00E47422"/>
    <w:rsid w:val="00E52377"/>
    <w:rsid w:val="00E537AD"/>
    <w:rsid w:val="00E64E17"/>
    <w:rsid w:val="00E84A41"/>
    <w:rsid w:val="00E866C9"/>
    <w:rsid w:val="00E86DCC"/>
    <w:rsid w:val="00E8780B"/>
    <w:rsid w:val="00EA3D3C"/>
    <w:rsid w:val="00EC090A"/>
    <w:rsid w:val="00ED20B5"/>
    <w:rsid w:val="00F312D1"/>
    <w:rsid w:val="00F33D99"/>
    <w:rsid w:val="00F46900"/>
    <w:rsid w:val="00F56EB8"/>
    <w:rsid w:val="00F61D89"/>
    <w:rsid w:val="00FC05EA"/>
    <w:rsid w:val="00FE7B31"/>
    <w:rsid w:val="00FF4BF5"/>
    <w:rsid w:val="00FF5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Ttulo1">
    <w:name w:val="heading 1"/>
    <w:basedOn w:val="Prrafodelista"/>
    <w:next w:val="Normal"/>
    <w:link w:val="Ttulo1C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Ttulo2">
    <w:name w:val="heading 2"/>
    <w:basedOn w:val="Ttulo1"/>
    <w:next w:val="Normal"/>
    <w:link w:val="Ttulo2C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Ttulo3">
    <w:name w:val="heading 3"/>
    <w:basedOn w:val="Normal"/>
    <w:next w:val="Normal"/>
    <w:link w:val="Ttulo3C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Ttulo4">
    <w:name w:val="heading 4"/>
    <w:basedOn w:val="Ttulo3"/>
    <w:next w:val="Normal"/>
    <w:link w:val="Ttulo4C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Ttulo5">
    <w:name w:val="heading 5"/>
    <w:basedOn w:val="Ttulo4"/>
    <w:next w:val="Normal"/>
    <w:link w:val="Ttulo5Car"/>
    <w:uiPriority w:val="2"/>
    <w:qFormat/>
    <w:rsid w:val="00AB6715"/>
    <w:pPr>
      <w:numPr>
        <w:ilvl w:val="4"/>
      </w:numPr>
      <w:outlineLvl w:val="4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Ttulo2Car">
    <w:name w:val="Título 2 Car"/>
    <w:basedOn w:val="Fuentedeprrafopredeter"/>
    <w:link w:val="Ttulo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tulo">
    <w:name w:val="Subtitle"/>
    <w:basedOn w:val="Normal"/>
    <w:next w:val="Normal"/>
    <w:link w:val="SubttuloC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tuloCar">
    <w:name w:val="Subtítulo Car"/>
    <w:basedOn w:val="Fuentedeprrafopredeter"/>
    <w:link w:val="Subttulo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tulo"/>
    <w:next w:val="Normal"/>
    <w:uiPriority w:val="1"/>
    <w:qFormat/>
    <w:rsid w:val="00AB6715"/>
  </w:style>
  <w:style w:type="paragraph" w:styleId="Textodeglobo">
    <w:name w:val="Balloon Text"/>
    <w:basedOn w:val="Normal"/>
    <w:link w:val="TextodegloboC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Ttulodellibro">
    <w:name w:val="Book Title"/>
    <w:basedOn w:val="Fuentedeprrafopredeter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Descripcin">
    <w:name w:val="caption"/>
    <w:basedOn w:val="Normal"/>
    <w:next w:val="Sinespaciado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Sinespaciado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Refdecomentario">
    <w:name w:val="annotation reference"/>
    <w:basedOn w:val="Fuentedeprrafopredeter"/>
    <w:uiPriority w:val="99"/>
    <w:semiHidden/>
    <w:unhideWhenUsed/>
    <w:rsid w:val="00AB671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B6715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B671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nfasis">
    <w:name w:val="Emphasis"/>
    <w:basedOn w:val="Fuentedeprrafopredeter"/>
    <w:uiPriority w:val="20"/>
    <w:qFormat/>
    <w:rsid w:val="00AB6715"/>
    <w:rPr>
      <w:rFonts w:ascii="Times New Roman" w:hAnsi="Times New Roman"/>
      <w:i/>
      <w:iCs/>
    </w:rPr>
  </w:style>
  <w:style w:type="character" w:styleId="Refdenotaalfinal">
    <w:name w:val="endnote reference"/>
    <w:basedOn w:val="Fuentedeprrafopredeter"/>
    <w:uiPriority w:val="99"/>
    <w:semiHidden/>
    <w:unhideWhenUsed/>
    <w:rsid w:val="00AB6715"/>
    <w:rPr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Hipervnculovisitado">
    <w:name w:val="FollowedHyperlink"/>
    <w:basedOn w:val="Fuentedeprrafopredeter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Piedepgina">
    <w:name w:val="footer"/>
    <w:basedOn w:val="Normal"/>
    <w:link w:val="PiedepginaC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B6715"/>
    <w:rPr>
      <w:rFonts w:ascii="Times New Roman" w:hAnsi="Times New Roman"/>
      <w:sz w:val="24"/>
    </w:rPr>
  </w:style>
  <w:style w:type="character" w:styleId="Refdenotaalpie">
    <w:name w:val="footnote reference"/>
    <w:basedOn w:val="Fuentedeprrafopredeter"/>
    <w:uiPriority w:val="99"/>
    <w:semiHidden/>
    <w:unhideWhenUsed/>
    <w:rsid w:val="00AB6715"/>
    <w:rPr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Encabezado">
    <w:name w:val="header"/>
    <w:basedOn w:val="Normal"/>
    <w:link w:val="EncabezadoC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EncabezadoCar">
    <w:name w:val="Encabezado Car"/>
    <w:basedOn w:val="Fuentedeprrafopredeter"/>
    <w:link w:val="Encabezado"/>
    <w:uiPriority w:val="99"/>
    <w:rsid w:val="00AB6715"/>
    <w:rPr>
      <w:rFonts w:ascii="Times New Roman" w:hAnsi="Times New Roman"/>
      <w:b/>
      <w:sz w:val="24"/>
    </w:rPr>
  </w:style>
  <w:style w:type="paragraph" w:styleId="Prrafodelista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ipervnculo">
    <w:name w:val="Hyperlink"/>
    <w:basedOn w:val="Fuentedeprrafopredeter"/>
    <w:uiPriority w:val="99"/>
    <w:unhideWhenUsed/>
    <w:rsid w:val="00AB6715"/>
    <w:rPr>
      <w:color w:val="0000FF"/>
      <w:u w:val="single"/>
    </w:rPr>
  </w:style>
  <w:style w:type="character" w:styleId="nfasisintenso">
    <w:name w:val="Intense Emphasis"/>
    <w:basedOn w:val="Fuentedeprrafopredeter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Referenciaintensa">
    <w:name w:val="Intense Reference"/>
    <w:basedOn w:val="Fuentedeprrafopredeter"/>
    <w:uiPriority w:val="32"/>
    <w:qFormat/>
    <w:rsid w:val="00AB6715"/>
    <w:rPr>
      <w:b/>
      <w:bCs/>
      <w:smallCaps/>
      <w:color w:val="auto"/>
      <w:spacing w:val="5"/>
    </w:rPr>
  </w:style>
  <w:style w:type="character" w:styleId="Nmerodelnea">
    <w:name w:val="line number"/>
    <w:basedOn w:val="Fuentedeprrafopredeter"/>
    <w:uiPriority w:val="99"/>
    <w:semiHidden/>
    <w:unhideWhenUsed/>
    <w:rsid w:val="00AB6715"/>
  </w:style>
  <w:style w:type="character" w:customStyle="1" w:styleId="Ttulo3Car">
    <w:name w:val="Título 3 Car"/>
    <w:basedOn w:val="Fuentedeprrafopredeter"/>
    <w:link w:val="Ttulo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Cita">
    <w:name w:val="Quote"/>
    <w:basedOn w:val="Normal"/>
    <w:next w:val="Normal"/>
    <w:link w:val="CitaC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Textoennegrita">
    <w:name w:val="Strong"/>
    <w:basedOn w:val="Fuentedeprrafopredeter"/>
    <w:uiPriority w:val="22"/>
    <w:qFormat/>
    <w:rsid w:val="00AB6715"/>
    <w:rPr>
      <w:rFonts w:ascii="Times New Roman" w:hAnsi="Times New Roman"/>
      <w:b/>
      <w:bCs/>
    </w:rPr>
  </w:style>
  <w:style w:type="character" w:styleId="nfasissutil">
    <w:name w:val="Subtle Emphasis"/>
    <w:basedOn w:val="Fuentedeprrafopredeter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aconcuadrcula">
    <w:name w:val="Table Grid"/>
    <w:basedOn w:val="Tabla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next w:val="Normal"/>
    <w:link w:val="TtuloC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tuloCar">
    <w:name w:val="Título Car"/>
    <w:basedOn w:val="Fuentedeprrafopredeter"/>
    <w:link w:val="Ttulo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tulo"/>
    <w:next w:val="Ttulo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894F618A-4A41-9E40-9605-9227E3856A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1</TotalTime>
  <Pages>3</Pages>
  <Words>268</Words>
  <Characters>1477</Characters>
  <Application>Microsoft Office Word</Application>
  <DocSecurity>0</DocSecurity>
  <Lines>12</Lines>
  <Paragraphs>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MANUELA VELASQUEZ BERRIO</cp:lastModifiedBy>
  <cp:revision>2</cp:revision>
  <cp:lastPrinted>2013-10-03T12:51:00Z</cp:lastPrinted>
  <dcterms:created xsi:type="dcterms:W3CDTF">2021-10-11T18:40:00Z</dcterms:created>
  <dcterms:modified xsi:type="dcterms:W3CDTF">2021-10-11T18:40:00Z</dcterms:modified>
</cp:coreProperties>
</file>