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D7CF0" w14:textId="1201F54F" w:rsidR="00FC0BE7" w:rsidRDefault="00FC0BE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CE5AA7">
        <w:rPr>
          <w:rFonts w:ascii="Times New Roman" w:hAnsi="Times New Roman" w:cs="Times New Roman"/>
          <w:b/>
          <w:bCs/>
          <w:sz w:val="24"/>
          <w:szCs w:val="24"/>
        </w:rPr>
        <w:t xml:space="preserve">Materials and </w:t>
      </w:r>
      <w:r w:rsidR="00825AA5">
        <w:rPr>
          <w:rFonts w:ascii="Times New Roman" w:hAnsi="Times New Roman" w:cs="Times New Roman"/>
          <w:b/>
          <w:bCs/>
          <w:sz w:val="24"/>
          <w:szCs w:val="24"/>
        </w:rPr>
        <w:t>Methods</w:t>
      </w:r>
    </w:p>
    <w:p w14:paraId="72FF9C91" w14:textId="77777777" w:rsidR="00825AA5" w:rsidRDefault="00825AA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BAC3413" w14:textId="77777777" w:rsidR="00825AA5" w:rsidRPr="00440E76" w:rsidRDefault="00825AA5" w:rsidP="00825AA5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val="en"/>
        </w:rPr>
      </w:pPr>
      <w:r w:rsidRPr="00440E76">
        <w:rPr>
          <w:rFonts w:ascii="Times New Roman" w:eastAsia="Times New Roman" w:hAnsi="Times New Roman" w:cs="Times New Roman"/>
          <w:b/>
          <w:sz w:val="24"/>
          <w:szCs w:val="28"/>
          <w:lang w:val="en"/>
        </w:rPr>
        <w:t xml:space="preserve">Overexpression of RTKs (ΔUTR) </w:t>
      </w:r>
    </w:p>
    <w:p w14:paraId="4856AAD2" w14:textId="77777777" w:rsidR="00825AA5" w:rsidRPr="00440E76" w:rsidRDefault="00825AA5" w:rsidP="00825AA5">
      <w:pPr>
        <w:spacing w:after="12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06B6F">
        <w:rPr>
          <w:rFonts w:ascii="Symbol" w:eastAsiaTheme="minorEastAsia" w:hAnsi="Symbol" w:cs="Times New Roman"/>
          <w:bCs/>
          <w:sz w:val="24"/>
          <w:szCs w:val="24"/>
          <w:lang w:val="en"/>
        </w:rPr>
        <w:t>D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en"/>
        </w:rPr>
        <w:t>UTR constructs were generated by overexpressing the o</w:t>
      </w:r>
      <w:r w:rsidRPr="00440E76">
        <w:rPr>
          <w:rFonts w:ascii="Times New Roman" w:eastAsiaTheme="minorEastAsia" w:hAnsi="Times New Roman" w:cs="Times New Roman"/>
          <w:bCs/>
          <w:sz w:val="24"/>
          <w:szCs w:val="24"/>
          <w:lang w:val="en"/>
        </w:rPr>
        <w:t xml:space="preserve">pen reading frames of HER2 (ΔUTR) or FGFR2 (ΔUTR) using lentivirus gene expression system (VectorBuilder, Il, USA) in MDA-MB-361 or 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en"/>
        </w:rPr>
        <w:t>SNU-16</w:t>
      </w:r>
      <w:r w:rsidRPr="00440E76">
        <w:rPr>
          <w:rFonts w:ascii="Times New Roman" w:eastAsiaTheme="minorEastAsia" w:hAnsi="Times New Roman" w:cs="Times New Roman"/>
          <w:bCs/>
          <w:sz w:val="24"/>
          <w:szCs w:val="24"/>
          <w:lang w:val="en"/>
        </w:rPr>
        <w:t xml:space="preserve"> cells, respectively. </w:t>
      </w:r>
      <w:r w:rsidRPr="00440E76">
        <w:rPr>
          <w:rFonts w:ascii="Times New Roman" w:eastAsiaTheme="minorEastAsia" w:hAnsi="Times New Roman" w:cs="Times New Roman"/>
          <w:sz w:val="24"/>
          <w:szCs w:val="24"/>
          <w:lang w:val="en"/>
        </w:rPr>
        <w:t xml:space="preserve">For integration selection, vector transduction was followed by puromycin selection (1.0 ug/ml for 7 days) in MDA-MB-361 cells, or cell sorting in </w:t>
      </w:r>
      <w:r>
        <w:rPr>
          <w:rFonts w:ascii="Times New Roman" w:eastAsiaTheme="minorEastAsia" w:hAnsi="Times New Roman" w:cs="Times New Roman"/>
          <w:sz w:val="24"/>
          <w:szCs w:val="24"/>
          <w:lang w:val="en"/>
        </w:rPr>
        <w:t>SNU-</w:t>
      </w:r>
      <w:r w:rsidRPr="00440E76">
        <w:rPr>
          <w:rFonts w:ascii="Times New Roman" w:eastAsiaTheme="minorEastAsia" w:hAnsi="Times New Roman" w:cs="Times New Roman"/>
          <w:sz w:val="24"/>
          <w:szCs w:val="24"/>
          <w:lang w:val="en"/>
        </w:rPr>
        <w:t xml:space="preserve">16. </w:t>
      </w:r>
      <w:r w:rsidRPr="00440E76">
        <w:rPr>
          <w:rFonts w:ascii="Times New Roman" w:eastAsiaTheme="minorEastAsia" w:hAnsi="Times New Roman" w:cs="Times New Roman"/>
          <w:bCs/>
          <w:sz w:val="24"/>
          <w:szCs w:val="24"/>
          <w:lang w:val="en"/>
        </w:rPr>
        <w:t xml:space="preserve">Parental cell lines (MDA-MB-361, 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en"/>
        </w:rPr>
        <w:t>SNU-</w:t>
      </w:r>
      <w:r w:rsidRPr="00440E76">
        <w:rPr>
          <w:rFonts w:ascii="Times New Roman" w:eastAsiaTheme="minorEastAsia" w:hAnsi="Times New Roman" w:cs="Times New Roman"/>
          <w:bCs/>
          <w:sz w:val="24"/>
          <w:szCs w:val="24"/>
          <w:lang w:val="en"/>
        </w:rPr>
        <w:t xml:space="preserve">16) or cells overexpressing RTK (ΔUTR) were treated with 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en"/>
        </w:rPr>
        <w:t>zotatifin</w:t>
      </w:r>
      <w:r w:rsidRPr="00440E76">
        <w:rPr>
          <w:rFonts w:ascii="Times New Roman" w:eastAsiaTheme="minorEastAsia" w:hAnsi="Times New Roman" w:cs="Times New Roman"/>
          <w:bCs/>
          <w:sz w:val="24"/>
          <w:szCs w:val="24"/>
          <w:lang w:val="en"/>
        </w:rPr>
        <w:t xml:space="preserve"> for 24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en"/>
        </w:rPr>
        <w:t xml:space="preserve"> </w:t>
      </w:r>
      <w:r w:rsidRPr="00440E76">
        <w:rPr>
          <w:rFonts w:ascii="Times New Roman" w:eastAsiaTheme="minorEastAsia" w:hAnsi="Times New Roman" w:cs="Times New Roman"/>
          <w:bCs/>
          <w:sz w:val="24"/>
          <w:szCs w:val="24"/>
          <w:lang w:val="en"/>
        </w:rPr>
        <w:t xml:space="preserve">h. </w:t>
      </w:r>
      <w:r w:rsidRPr="00440E76">
        <w:rPr>
          <w:rFonts w:ascii="Times New Roman" w:eastAsiaTheme="minorEastAsia" w:hAnsi="Times New Roman" w:cs="Times New Roman"/>
          <w:sz w:val="24"/>
          <w:szCs w:val="24"/>
        </w:rPr>
        <w:t>Cell lysates were analyzed on the W</w:t>
      </w:r>
      <w:r>
        <w:rPr>
          <w:rFonts w:ascii="Times New Roman" w:eastAsiaTheme="minorEastAsia" w:hAnsi="Times New Roman" w:cs="Times New Roman"/>
          <w:sz w:val="24"/>
          <w:szCs w:val="24"/>
        </w:rPr>
        <w:t>ES</w:t>
      </w:r>
      <w:r w:rsidRPr="00440E76">
        <w:rPr>
          <w:rFonts w:ascii="Times New Roman" w:eastAsiaTheme="minorEastAsia" w:hAnsi="Times New Roman" w:cs="Times New Roman"/>
          <w:sz w:val="24"/>
          <w:szCs w:val="24"/>
        </w:rPr>
        <w:t xml:space="preserve"> Simple Western system according to the manufacturer’s instructions.</w:t>
      </w:r>
    </w:p>
    <w:p w14:paraId="6DA02824" w14:textId="6115822D" w:rsidR="00CE5AA7" w:rsidRDefault="00CE5AA7" w:rsidP="00CE5AA7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val="en"/>
        </w:rPr>
      </w:pPr>
      <w:r w:rsidRPr="00440E76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val="en"/>
        </w:rPr>
        <w:t>5’-UTR luciferase reporter assay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val="en"/>
        </w:rPr>
        <w:t>s</w:t>
      </w:r>
    </w:p>
    <w:p w14:paraId="112FD4D0" w14:textId="1CD9CE4F" w:rsidR="00CE5AA7" w:rsidRPr="00CE5AA7" w:rsidRDefault="00CE5AA7" w:rsidP="00CE5AA7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val="en"/>
        </w:rPr>
      </w:pPr>
      <w:r w:rsidRPr="00CE5AA7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val="en"/>
        </w:rPr>
        <w:t>Table S1. 5’UTR sequences</w:t>
      </w:r>
    </w:p>
    <w:tbl>
      <w:tblPr>
        <w:tblStyle w:val="TableGrid"/>
        <w:tblW w:w="926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076"/>
        <w:gridCol w:w="8189"/>
      </w:tblGrid>
      <w:tr w:rsidR="00CE5AA7" w:rsidRPr="00440E76" w14:paraId="16087784" w14:textId="77777777" w:rsidTr="00062D9B">
        <w:trPr>
          <w:cantSplit/>
          <w:trHeight w:val="287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4B2A9" w14:textId="77777777" w:rsidR="00CE5AA7" w:rsidRPr="00440E76" w:rsidRDefault="00CE5AA7" w:rsidP="00062D9B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440E76">
              <w:rPr>
                <w:rFonts w:ascii="Times New Roman" w:eastAsia="Times New Roman" w:hAnsi="Times New Roman" w:cs="Times New Roman"/>
                <w:sz w:val="24"/>
                <w:szCs w:val="24"/>
              </w:rPr>
              <w:t>Gene</w:t>
            </w:r>
          </w:p>
        </w:tc>
        <w:tc>
          <w:tcPr>
            <w:tcW w:w="8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6F4C1" w14:textId="77777777" w:rsidR="00CE5AA7" w:rsidRPr="00440E76" w:rsidRDefault="00CE5AA7" w:rsidP="00062D9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E76">
              <w:rPr>
                <w:rFonts w:ascii="Times New Roman" w:eastAsia="Times New Roman" w:hAnsi="Times New Roman" w:cs="Times New Roman"/>
                <w:sz w:val="24"/>
                <w:szCs w:val="24"/>
              </w:rPr>
              <w:t>5’UTR Sequence</w:t>
            </w:r>
          </w:p>
        </w:tc>
      </w:tr>
      <w:tr w:rsidR="00CE5AA7" w:rsidRPr="00440E76" w14:paraId="702EA210" w14:textId="77777777" w:rsidTr="00062D9B">
        <w:trPr>
          <w:cantSplit/>
          <w:trHeight w:val="3113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DCFE7" w14:textId="77777777" w:rsidR="00CE5AA7" w:rsidRPr="00440E76" w:rsidRDefault="00CE5AA7" w:rsidP="00062D9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E76">
              <w:rPr>
                <w:rFonts w:ascii="Times New Roman" w:eastAsia="Times New Roman" w:hAnsi="Times New Roman" w:cs="Times New Roman"/>
                <w:sz w:val="24"/>
                <w:szCs w:val="24"/>
              </w:rPr>
              <w:t>FGFR1</w:t>
            </w:r>
          </w:p>
        </w:tc>
        <w:tc>
          <w:tcPr>
            <w:tcW w:w="8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DBFAA" w14:textId="77777777" w:rsidR="00CE5AA7" w:rsidRPr="00440E76" w:rsidRDefault="00CE5AA7" w:rsidP="00062D9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440E76">
              <w:rPr>
                <w:rFonts w:ascii="Times New Roman" w:eastAsia="Times New Roman" w:hAnsi="Times New Roman" w:cs="Times New Roman"/>
                <w:sz w:val="19"/>
                <w:szCs w:val="19"/>
              </w:rPr>
              <w:t>AGATGCAGGGGCGCAAACGCCAAAGGAGACCAGGCTGTAGGAAGAGAAGGGCAGAGCGCCGGACAGCTCGGCCCGCTCCCCGTCCTTTGGGGCCGCGGCTGGGGAACTACAAGGCCCAGCAGGCAGCTGCAGGGGGCGGAGGCGGAGGAGGGACCAGCGCGGGTGGGAGTGAGAGAGCGAGCCCTCGCGCCCCGCCGGCGCATAGCGCTCGGAGCGCTCTTGCGGCCACAGGCGCGGCGTCCTCGGCGGCGGGCGGCAGCTAGCGGGAGCCGGGACGCCGGTGCAGCCGCAGCGCGCGGAGGAACCCGGGTGTGCCGGGAGCTGGGCGGCCACGTCCGGACGGGACCGAGACCCCTCGTAGCGCATTGCGGCGACCTCGCCTTCCCCGGCCGCGAGCGCGCCGCTGCTTGAAAAGCCGCGGAACCCAAGGACTTTTCTCCGGTCCGAGCTCGGGGCGCCCCGCAGGGCGCACGGTACCCGTGCTGCAGTCGGGCACGCCGCGGCGCCGGGGCCTCCGCAGGGCGATGGAGCCCGGTCTGCAAGGAAAGTGAGGCGCCGCCGCTGCGTTCTGGAGGAGGGGGGCACAAGGTCTGGAGACCCCGGGTGGCGGACGGGAGCCCTCCCCCCGCCCCGCCTCCGGGGCACCAGCTCCGGCTCCATTGTTCCCGCCCGGGCTGGAGGCGCCGAGCACCGAGCGCCGCCGGGAGTCGAGCGCCGGCCGCGGAGCTCTTGCGACCCCGCCAGGACCCGAACAGAGCCCGGGGGCGGCGGGCCGGAGCCGGGGACGCGGGCACACGCCCGCTCGCACAAGCCACGGCGGACTCTCCCGAGGCGGAACCTCCACGCCGAGCGAGGGTCAGTTTGAAAAGGAGGATCGAGCTCACTGTGGAGTATCCATGGAGATGTGGAGCCTTGTCACCAACCTCTAACTGCAGAACTGGG</w:t>
            </w:r>
          </w:p>
        </w:tc>
      </w:tr>
      <w:tr w:rsidR="00CE5AA7" w:rsidRPr="00440E76" w14:paraId="2A2B7D08" w14:textId="77777777" w:rsidTr="00062D9B">
        <w:trPr>
          <w:cantSplit/>
          <w:trHeight w:val="1134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C40B0" w14:textId="77777777" w:rsidR="00CE5AA7" w:rsidRPr="00440E76" w:rsidRDefault="00CE5AA7" w:rsidP="00062D9B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440E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FGFR2</w:t>
            </w:r>
          </w:p>
        </w:tc>
        <w:tc>
          <w:tcPr>
            <w:tcW w:w="8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A89F7" w14:textId="77777777" w:rsidR="00CE5AA7" w:rsidRPr="00440E76" w:rsidRDefault="00CE5AA7" w:rsidP="00062D9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440E76">
              <w:rPr>
                <w:rFonts w:ascii="Times New Roman" w:eastAsia="Times New Roman" w:hAnsi="Times New Roman" w:cs="Times New Roman"/>
                <w:sz w:val="19"/>
                <w:szCs w:val="19"/>
              </w:rPr>
              <w:t>GGCGGCGGCTGGAGGAGAGCGCGGTGGAGAGCCGAGCGGGCGGGCGGCGGGTGCGGAGCGGGCGAGGGAGCGCGCGCGGCCGCCACAAAGCTCGGGCGCCGCGGGGCTGCATGCGGCGTACCTGGCCCGGCGCGGCGACTGCTCTCCGGGCTGGCGGGGGCCGGCCGCGAGCCCCGGGGGCCCCGAGGCCGCAGCTTGCCTGCGCGCTCTGAGCCTTCGCAACTCGCGAGCAAAGTTTGGTGGAGGCAACGCCAAGCCTGAGTCCTTTCTTCCTCTCGTTCCCCAAATCCGAGGGCAGCCCGCGGGCGTCATGCCCGCGCTCCTCCGCAGCCTGGGGTACGCGTGAAGCCCGGGAGGCTTGGCGCCGGCGAAGACCCAAGGACCACTCTTCTGCGTTTGGAGTTGCTCCCCGCAACCCCGGGCTCGTCGCTTTCTCCATCCCGACCCACGCGGGGCGCGGGGACAACACAGGTCGCGGAGGAGCGTTGCCATTCAAGTGACTGCAGCAGCAGCGGCAGCGCCTCGGTTCCTGAGCCCACCGCAGGCTGAAGGCATTGCGCGTAGTCCATGCCCGTAGAGGAAGTGTGCAGATGGGATTAACGTCCACATGGAGATATGGAAGAGGACCGGGGATTGGTACCGTAACC</w:t>
            </w:r>
          </w:p>
        </w:tc>
      </w:tr>
      <w:tr w:rsidR="00CE5AA7" w:rsidRPr="00440E76" w14:paraId="220682DE" w14:textId="77777777" w:rsidTr="00062D9B">
        <w:trPr>
          <w:cantSplit/>
          <w:trHeight w:val="1134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86D80" w14:textId="77777777" w:rsidR="00CE5AA7" w:rsidRPr="00440E76" w:rsidRDefault="00CE5AA7" w:rsidP="00062D9B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HER2</w:t>
            </w:r>
          </w:p>
        </w:tc>
        <w:tc>
          <w:tcPr>
            <w:tcW w:w="8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DC048" w14:textId="77777777" w:rsidR="00CE5AA7" w:rsidRPr="00440E76" w:rsidRDefault="00CE5AA7" w:rsidP="00062D9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440E76">
              <w:rPr>
                <w:rFonts w:ascii="Times New Roman" w:eastAsia="Times New Roman" w:hAnsi="Times New Roman" w:cs="Times New Roman"/>
                <w:sz w:val="19"/>
                <w:szCs w:val="19"/>
              </w:rPr>
              <w:t>GCGCTTGCTCCCAATCACAGGAGAAGGAGGAGGTGGAGGAGGAGGGCTGCTTGAGGAAGTATAAGAATGAAGTTGTGAAGCTGAGATTCCCCTCCATTGGGACCGGAGAAACCAGGGGAGCCCCCCGGGCAGCCGCGCGCCCCTTCCCACGGGGCCCTTTACTGCGCCGCGCGCCCGGCCCCCACCCCTCGCAGCACCCCGCGCCCCGCGCCCTCCCAGCCGGGTCCAGCCGGAGCCATGGGGCCGGAGCCGCAGTGAGCACC</w:t>
            </w:r>
          </w:p>
        </w:tc>
      </w:tr>
      <w:tr w:rsidR="00CE5AA7" w:rsidRPr="00440E76" w14:paraId="1AB0E52A" w14:textId="77777777" w:rsidTr="00062D9B">
        <w:trPr>
          <w:cantSplit/>
          <w:trHeight w:val="288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74A19" w14:textId="77777777" w:rsidR="00CE5AA7" w:rsidRPr="00440E76" w:rsidRDefault="00CE5AA7" w:rsidP="00062D9B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440E76">
              <w:rPr>
                <w:rFonts w:ascii="Times New Roman" w:eastAsia="Times New Roman" w:hAnsi="Times New Roman" w:cs="Times New Roman"/>
                <w:sz w:val="24"/>
                <w:szCs w:val="24"/>
              </w:rPr>
              <w:t>TUBA</w:t>
            </w:r>
          </w:p>
        </w:tc>
        <w:tc>
          <w:tcPr>
            <w:tcW w:w="8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29DE9" w14:textId="77777777" w:rsidR="00CE5AA7" w:rsidRPr="00440E76" w:rsidRDefault="00CE5AA7" w:rsidP="00062D9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440E76">
              <w:rPr>
                <w:rFonts w:ascii="Times New Roman" w:eastAsia="Times New Roman" w:hAnsi="Times New Roman" w:cs="Times New Roman"/>
                <w:sz w:val="19"/>
                <w:szCs w:val="19"/>
              </w:rPr>
              <w:t>AGTTCTCACTGAGACCTGTCACCCCGACTCAACGTGAGACGCACCGCCCGGACTCACC</w:t>
            </w:r>
          </w:p>
        </w:tc>
      </w:tr>
    </w:tbl>
    <w:p w14:paraId="29BA3089" w14:textId="77777777" w:rsidR="00CE5AA7" w:rsidRPr="00440E76" w:rsidRDefault="00CE5AA7" w:rsidP="00CE5AA7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val="en"/>
        </w:rPr>
      </w:pPr>
    </w:p>
    <w:p w14:paraId="06CA8217" w14:textId="77777777" w:rsidR="00825AA5" w:rsidRPr="00021A69" w:rsidRDefault="00825AA5" w:rsidP="00825AA5">
      <w:pPr>
        <w:spacing w:after="0" w:line="48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E71050">
        <w:rPr>
          <w:rFonts w:ascii="Times New Roman" w:eastAsia="Times New Roman" w:hAnsi="Times New Roman" w:cs="Times New Roman"/>
          <w:b/>
          <w:i/>
          <w:sz w:val="24"/>
          <w:szCs w:val="28"/>
          <w:lang w:val="en"/>
        </w:rPr>
        <w:t>In vivo</w:t>
      </w:r>
      <w:r w:rsidRPr="00E71050">
        <w:rPr>
          <w:rFonts w:ascii="Times New Roman" w:eastAsia="Times New Roman" w:hAnsi="Times New Roman" w:cs="Times New Roman"/>
          <w:b/>
          <w:sz w:val="24"/>
          <w:szCs w:val="28"/>
          <w:lang w:val="en"/>
        </w:rPr>
        <w:t xml:space="preserve"> </w:t>
      </w:r>
      <w:r w:rsidRPr="00021A69">
        <w:rPr>
          <w:rFonts w:ascii="Times New Roman" w:eastAsia="Times New Roman" w:hAnsi="Times New Roman" w:cs="Times New Roman"/>
          <w:b/>
          <w:sz w:val="24"/>
          <w:szCs w:val="28"/>
          <w:lang w:val="en"/>
        </w:rPr>
        <w:t>studies</w:t>
      </w:r>
    </w:p>
    <w:p w14:paraId="21ED6CF2" w14:textId="77777777" w:rsidR="00825AA5" w:rsidRPr="00E94ECF" w:rsidRDefault="00825AA5" w:rsidP="00825AA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NewRoman" w:hAnsi="Times New Roman" w:cs="Times New Roman"/>
          <w:bCs/>
          <w:color w:val="FF0000"/>
          <w:sz w:val="24"/>
          <w:szCs w:val="24"/>
        </w:rPr>
      </w:pPr>
      <w:r w:rsidRPr="00021A69">
        <w:rPr>
          <w:rFonts w:ascii="Times New Roman" w:eastAsia="TimesNewRoman" w:hAnsi="Times New Roman" w:cs="Times New Roman"/>
          <w:sz w:val="24"/>
          <w:szCs w:val="24"/>
        </w:rPr>
        <w:t>All animal studies were carried out in accordance with the guidelines established by the Institutional Animal Care and Use Committee at Explora BioLabs (San Diego, CA, ACUP# EB17-010-033)</w:t>
      </w:r>
      <w:r>
        <w:rPr>
          <w:rFonts w:ascii="Times New Roman" w:eastAsia="TimesNewRoman" w:hAnsi="Times New Roman" w:cs="Times New Roman"/>
          <w:sz w:val="24"/>
          <w:szCs w:val="24"/>
        </w:rPr>
        <w:t>,</w:t>
      </w:r>
      <w:r w:rsidRPr="00021A69">
        <w:rPr>
          <w:rFonts w:ascii="Times New Roman" w:eastAsia="TimesNewRoman" w:hAnsi="Times New Roman" w:cs="Times New Roman"/>
          <w:sz w:val="24"/>
          <w:szCs w:val="24"/>
        </w:rPr>
        <w:t xml:space="preserve"> Crown Biosciences (Beijing, China)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or Wuxi AppTec (Shanghai, China)</w:t>
      </w:r>
      <w:r w:rsidRPr="00021A69">
        <w:rPr>
          <w:rFonts w:ascii="Times New Roman" w:eastAsia="TimesNewRoman" w:hAnsi="Times New Roman" w:cs="Times New Roman"/>
          <w:sz w:val="24"/>
          <w:szCs w:val="24"/>
        </w:rPr>
        <w:t>. For subcutaneous xenograft studies, mice (</w:t>
      </w:r>
      <w:r>
        <w:rPr>
          <w:rFonts w:ascii="Times New Roman" w:eastAsia="TimesNewRoman" w:hAnsi="Times New Roman" w:cs="Times New Roman"/>
          <w:sz w:val="24"/>
          <w:szCs w:val="24"/>
        </w:rPr>
        <w:t>6</w:t>
      </w:r>
      <w:r w:rsidRPr="00021A69">
        <w:rPr>
          <w:rFonts w:ascii="Times New Roman" w:eastAsia="TimesNewRoman" w:hAnsi="Times New Roman" w:cs="Times New Roman"/>
          <w:sz w:val="24"/>
          <w:szCs w:val="24"/>
        </w:rPr>
        <w:t>-8-week-old females, 16-24 grams) were implanted with an equal volume (1:1) ratio of tumor cells and Matrigel (BD Biosciences, CA</w:t>
      </w:r>
      <w:r>
        <w:rPr>
          <w:rFonts w:ascii="Times New Roman" w:eastAsia="TimesNewRoman" w:hAnsi="Times New Roman" w:cs="Times New Roman"/>
          <w:sz w:val="24"/>
          <w:szCs w:val="24"/>
        </w:rPr>
        <w:t>, USA</w:t>
      </w:r>
      <w:r w:rsidRPr="00021A69">
        <w:rPr>
          <w:rFonts w:ascii="Times New Roman" w:eastAsia="TimesNewRoman" w:hAnsi="Times New Roman" w:cs="Times New Roman"/>
          <w:sz w:val="24"/>
          <w:szCs w:val="24"/>
        </w:rPr>
        <w:t>) for tumor development. When the mean tumor size reached ~1</w:t>
      </w:r>
      <w:r>
        <w:rPr>
          <w:rFonts w:ascii="Times New Roman" w:eastAsia="TimesNewRoman" w:hAnsi="Times New Roman" w:cs="Times New Roman"/>
          <w:sz w:val="24"/>
          <w:szCs w:val="24"/>
        </w:rPr>
        <w:t>0</w:t>
      </w:r>
      <w:r w:rsidRPr="00021A69">
        <w:rPr>
          <w:rFonts w:ascii="Times New Roman" w:eastAsia="TimesNewRoman" w:hAnsi="Times New Roman" w:cs="Times New Roman"/>
          <w:sz w:val="24"/>
          <w:szCs w:val="24"/>
        </w:rPr>
        <w:t>0-</w:t>
      </w:r>
      <w:r>
        <w:rPr>
          <w:rFonts w:ascii="Times New Roman" w:eastAsia="TimesNewRoman" w:hAnsi="Times New Roman" w:cs="Times New Roman"/>
          <w:sz w:val="24"/>
          <w:szCs w:val="24"/>
        </w:rPr>
        <w:t>20</w:t>
      </w:r>
      <w:r w:rsidRPr="00021A69">
        <w:rPr>
          <w:rFonts w:ascii="Times New Roman" w:eastAsia="TimesNewRoman" w:hAnsi="Times New Roman" w:cs="Times New Roman"/>
          <w:sz w:val="24"/>
          <w:szCs w:val="24"/>
        </w:rPr>
        <w:t>0 mm</w:t>
      </w:r>
      <w:r w:rsidRPr="00021A69">
        <w:rPr>
          <w:rFonts w:ascii="Times New Roman" w:eastAsia="TimesNewRoman" w:hAnsi="Times New Roman" w:cs="Times New Roman"/>
          <w:sz w:val="24"/>
          <w:szCs w:val="24"/>
          <w:vertAlign w:val="superscript"/>
        </w:rPr>
        <w:t>3</w:t>
      </w:r>
      <w:r w:rsidRPr="00021A69">
        <w:rPr>
          <w:rFonts w:ascii="Times New Roman" w:eastAsia="TimesNewRoman" w:hAnsi="Times New Roman" w:cs="Times New Roman"/>
          <w:sz w:val="24"/>
          <w:szCs w:val="24"/>
        </w:rPr>
        <w:t xml:space="preserve">, the mice were randomized and size-matched into vehicle and treatment groups. Tumor size was measured in length and width with a caliper twice a week. The tumor volume was calculated by the formula LxWxW/2 according to NCI standards. Body weights were collected prior to study start and twice a week during the study. </w:t>
      </w:r>
      <w:r>
        <w:rPr>
          <w:rFonts w:ascii="Times New Roman" w:eastAsia="TimesNewRoman" w:hAnsi="Times New Roman" w:cs="Times New Roman"/>
          <w:sz w:val="24"/>
          <w:szCs w:val="24"/>
        </w:rPr>
        <w:t>Zotatifin</w:t>
      </w:r>
      <w:r w:rsidRPr="00021A69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</w:t>
      </w:r>
      <w:r w:rsidRPr="00021A69">
        <w:rPr>
          <w:rFonts w:ascii="Times New Roman" w:eastAsia="TimesNewRoman" w:hAnsi="Times New Roman" w:cs="Times New Roman"/>
          <w:sz w:val="24"/>
          <w:szCs w:val="24"/>
        </w:rPr>
        <w:t>was formulated in 5% dextrose in water (D5W) and immediately dissolved into solution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and administered IV Q4D</w:t>
      </w:r>
      <w:r w:rsidRPr="00021A69">
        <w:rPr>
          <w:rFonts w:ascii="Times New Roman" w:eastAsia="TimesNewRoman" w:hAnsi="Times New Roman" w:cs="Times New Roman"/>
          <w:bCs/>
          <w:sz w:val="24"/>
          <w:szCs w:val="24"/>
        </w:rPr>
        <w:t xml:space="preserve">. </w:t>
      </w:r>
    </w:p>
    <w:p w14:paraId="2C79496C" w14:textId="46D962A5" w:rsidR="00825AA5" w:rsidRDefault="00825AA5" w:rsidP="00825AA5">
      <w:pPr>
        <w:autoSpaceDE w:val="0"/>
        <w:autoSpaceDN w:val="0"/>
        <w:adjustRightInd w:val="0"/>
        <w:spacing w:after="120" w:line="480" w:lineRule="auto"/>
        <w:ind w:firstLine="360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lastRenderedPageBreak/>
        <w:t>NCI-</w:t>
      </w:r>
      <w:r w:rsidRPr="00360328">
        <w:rPr>
          <w:rFonts w:ascii="Times New Roman" w:eastAsia="TimesNewRoman" w:hAnsi="Times New Roman" w:cs="Times New Roman"/>
          <w:sz w:val="24"/>
          <w:szCs w:val="24"/>
        </w:rPr>
        <w:t xml:space="preserve">H716 </w:t>
      </w:r>
      <w:r w:rsidRPr="00786F17">
        <w:rPr>
          <w:rFonts w:ascii="Times New Roman" w:eastAsia="TimesNewRoman" w:hAnsi="Times New Roman" w:cs="Times New Roman"/>
          <w:sz w:val="24"/>
          <w:szCs w:val="24"/>
        </w:rPr>
        <w:t>5x10</w:t>
      </w:r>
      <w:r w:rsidRPr="00360328">
        <w:rPr>
          <w:rFonts w:ascii="Times New Roman" w:eastAsia="TimesNewRoman" w:hAnsi="Times New Roman" w:cs="Times New Roman"/>
          <w:sz w:val="24"/>
          <w:szCs w:val="24"/>
          <w:vertAlign w:val="superscript"/>
        </w:rPr>
        <w:t>6</w:t>
      </w:r>
      <w:r w:rsidRPr="00360328">
        <w:rPr>
          <w:rFonts w:ascii="Times New Roman" w:eastAsia="TimesNewRoman" w:hAnsi="Times New Roman" w:cs="Times New Roman"/>
          <w:sz w:val="24"/>
          <w:szCs w:val="24"/>
        </w:rPr>
        <w:t xml:space="preserve"> cells</w:t>
      </w:r>
      <w:r w:rsidRPr="00021A69">
        <w:rPr>
          <w:rFonts w:ascii="Times New Roman" w:eastAsia="TimesNewRoman" w:hAnsi="Times New Roman" w:cs="Times New Roman"/>
          <w:sz w:val="24"/>
          <w:szCs w:val="24"/>
        </w:rPr>
        <w:t xml:space="preserve"> in NOD.SCID, mean tumor initiation size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221 </w:t>
      </w:r>
      <w:r w:rsidRPr="00021A69">
        <w:rPr>
          <w:rFonts w:ascii="Times New Roman" w:eastAsia="TimesNewRoman" w:hAnsi="Times New Roman" w:cs="Times New Roman"/>
          <w:sz w:val="24"/>
          <w:szCs w:val="24"/>
        </w:rPr>
        <w:t>mm</w:t>
      </w:r>
      <w:r w:rsidRPr="00021A69">
        <w:rPr>
          <w:rFonts w:ascii="Times New Roman" w:eastAsia="TimesNewRoman" w:hAnsi="Times New Roman" w:cs="Times New Roman"/>
          <w:sz w:val="24"/>
          <w:szCs w:val="24"/>
          <w:vertAlign w:val="superscript"/>
        </w:rPr>
        <w:t>3</w:t>
      </w:r>
      <w:r w:rsidRPr="00021A69">
        <w:rPr>
          <w:rFonts w:ascii="Times New Roman" w:eastAsia="TimesNew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NewRoman" w:hAnsi="Times New Roman" w:cs="Times New Roman"/>
          <w:sz w:val="24"/>
          <w:szCs w:val="24"/>
        </w:rPr>
        <w:t>MFM-</w:t>
      </w:r>
      <w:r w:rsidRPr="00EF0471">
        <w:rPr>
          <w:rFonts w:ascii="Times New Roman" w:eastAsia="TimesNewRoman" w:hAnsi="Times New Roman" w:cs="Times New Roman"/>
          <w:sz w:val="24"/>
          <w:szCs w:val="24"/>
        </w:rPr>
        <w:t xml:space="preserve">223 </w:t>
      </w:r>
      <w:r w:rsidRPr="00786F17">
        <w:rPr>
          <w:rFonts w:ascii="Times New Roman" w:eastAsia="TimesNewRoman" w:hAnsi="Times New Roman" w:cs="Times New Roman"/>
          <w:sz w:val="24"/>
          <w:szCs w:val="24"/>
        </w:rPr>
        <w:t>5x10</w:t>
      </w:r>
      <w:r w:rsidRPr="00EF0471">
        <w:rPr>
          <w:rFonts w:ascii="Times New Roman" w:eastAsia="TimesNewRoman" w:hAnsi="Times New Roman" w:cs="Times New Roman"/>
          <w:sz w:val="24"/>
          <w:szCs w:val="24"/>
          <w:vertAlign w:val="superscript"/>
        </w:rPr>
        <w:t>6</w:t>
      </w:r>
      <w:r w:rsidRPr="00021A69">
        <w:rPr>
          <w:rFonts w:ascii="Times New Roman" w:eastAsia="TimesNewRoman" w:hAnsi="Times New Roman" w:cs="Times New Roman"/>
          <w:sz w:val="24"/>
          <w:szCs w:val="24"/>
        </w:rPr>
        <w:t xml:space="preserve"> cells in SCID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Beige</w:t>
      </w:r>
      <w:r w:rsidRPr="00021A69">
        <w:rPr>
          <w:rFonts w:ascii="Times New Roman" w:eastAsia="TimesNewRoman" w:hAnsi="Times New Roman" w:cs="Times New Roman"/>
          <w:sz w:val="24"/>
          <w:szCs w:val="24"/>
        </w:rPr>
        <w:t xml:space="preserve">, mean tumor initiation size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120 </w:t>
      </w:r>
      <w:r w:rsidRPr="00021A69">
        <w:rPr>
          <w:rFonts w:ascii="Times New Roman" w:eastAsia="TimesNewRoman" w:hAnsi="Times New Roman" w:cs="Times New Roman"/>
          <w:sz w:val="24"/>
          <w:szCs w:val="24"/>
        </w:rPr>
        <w:t>mm</w:t>
      </w:r>
      <w:r w:rsidRPr="00021A69">
        <w:rPr>
          <w:rFonts w:ascii="Times New Roman" w:eastAsia="TimesNewRoman" w:hAnsi="Times New Roman" w:cs="Times New Roman"/>
          <w:sz w:val="24"/>
          <w:szCs w:val="24"/>
          <w:vertAlign w:val="superscript"/>
        </w:rPr>
        <w:t>3</w:t>
      </w:r>
      <w:r w:rsidRPr="00021A69">
        <w:rPr>
          <w:rFonts w:ascii="Times New Roman" w:eastAsia="TimesNew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NewRoman" w:hAnsi="Times New Roman" w:cs="Times New Roman"/>
          <w:sz w:val="24"/>
          <w:szCs w:val="24"/>
        </w:rPr>
        <w:t>NCI-H1581</w:t>
      </w:r>
      <w:r w:rsidRPr="00021A69">
        <w:rPr>
          <w:rFonts w:ascii="Times New Roman" w:eastAsia="TimesNewRoman" w:hAnsi="Times New Roman" w:cs="Times New Roman"/>
          <w:sz w:val="24"/>
          <w:szCs w:val="24"/>
        </w:rPr>
        <w:t xml:space="preserve"> 5x10</w:t>
      </w:r>
      <w:r w:rsidRPr="000E0D91">
        <w:rPr>
          <w:rFonts w:ascii="Times New Roman" w:eastAsia="TimesNewRoman" w:hAnsi="Times New Roman" w:cs="Times New Roman"/>
          <w:sz w:val="24"/>
          <w:szCs w:val="24"/>
          <w:vertAlign w:val="superscript"/>
        </w:rPr>
        <w:t>6</w:t>
      </w:r>
      <w:r w:rsidRPr="00021A69">
        <w:rPr>
          <w:rFonts w:ascii="Times New Roman" w:eastAsia="TimesNewRoman" w:hAnsi="Times New Roman" w:cs="Times New Roman"/>
          <w:sz w:val="24"/>
          <w:szCs w:val="24"/>
        </w:rPr>
        <w:t xml:space="preserve"> cells in NOD.SCID, mean tumor initiation size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105 </w:t>
      </w:r>
      <w:r w:rsidRPr="00021A69">
        <w:rPr>
          <w:rFonts w:ascii="Times New Roman" w:eastAsia="TimesNewRoman" w:hAnsi="Times New Roman" w:cs="Times New Roman"/>
          <w:sz w:val="24"/>
          <w:szCs w:val="24"/>
        </w:rPr>
        <w:t>mm</w:t>
      </w:r>
      <w:r w:rsidRPr="00021A69">
        <w:rPr>
          <w:rFonts w:ascii="Times New Roman" w:eastAsia="TimesNewRoman" w:hAnsi="Times New Roman" w:cs="Times New Roman"/>
          <w:sz w:val="24"/>
          <w:szCs w:val="24"/>
          <w:vertAlign w:val="superscript"/>
        </w:rPr>
        <w:t>3</w:t>
      </w:r>
      <w:r w:rsidRPr="00021A69">
        <w:rPr>
          <w:rFonts w:ascii="Times New Roman" w:eastAsia="TimesNew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NewRoman" w:hAnsi="Times New Roman" w:cs="Times New Roman"/>
          <w:sz w:val="24"/>
          <w:szCs w:val="24"/>
        </w:rPr>
        <w:t>NCI-N87</w:t>
      </w:r>
      <w:r w:rsidRPr="00112294">
        <w:rPr>
          <w:rFonts w:ascii="Times New Roman" w:eastAsia="TimesNewRoman" w:hAnsi="Times New Roman" w:cs="Times New Roman"/>
          <w:sz w:val="24"/>
          <w:szCs w:val="24"/>
        </w:rPr>
        <w:t xml:space="preserve"> 1x10</w:t>
      </w:r>
      <w:r w:rsidRPr="00112294">
        <w:rPr>
          <w:rFonts w:ascii="Times New Roman" w:eastAsia="TimesNewRoman" w:hAnsi="Times New Roman" w:cs="Times New Roman"/>
          <w:sz w:val="24"/>
          <w:szCs w:val="24"/>
          <w:vertAlign w:val="superscript"/>
        </w:rPr>
        <w:t>7</w:t>
      </w:r>
      <w:r w:rsidRPr="00112294">
        <w:rPr>
          <w:rFonts w:ascii="Times New Roman" w:eastAsia="TimesNewRoman" w:hAnsi="Times New Roman" w:cs="Times New Roman"/>
          <w:sz w:val="24"/>
          <w:szCs w:val="24"/>
        </w:rPr>
        <w:t xml:space="preserve"> cells in BALB/c nude, mean tumor initiation size 1</w:t>
      </w:r>
      <w:r>
        <w:rPr>
          <w:rFonts w:ascii="Times New Roman" w:eastAsia="TimesNewRoman" w:hAnsi="Times New Roman" w:cs="Times New Roman"/>
          <w:sz w:val="24"/>
          <w:szCs w:val="24"/>
        </w:rPr>
        <w:t>56</w:t>
      </w:r>
      <w:r w:rsidRPr="00112294">
        <w:rPr>
          <w:rFonts w:ascii="Times New Roman" w:eastAsia="TimesNewRoman" w:hAnsi="Times New Roman" w:cs="Times New Roman"/>
          <w:sz w:val="24"/>
          <w:szCs w:val="24"/>
        </w:rPr>
        <w:t xml:space="preserve"> mm</w:t>
      </w:r>
      <w:r w:rsidRPr="00112294">
        <w:rPr>
          <w:rFonts w:ascii="Times New Roman" w:eastAsia="TimesNew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. </w:t>
      </w:r>
    </w:p>
    <w:p w14:paraId="39C1782B" w14:textId="77777777" w:rsidR="00825AA5" w:rsidRPr="00440E76" w:rsidRDefault="00825AA5" w:rsidP="00825AA5">
      <w:pPr>
        <w:spacing w:after="120" w:line="480" w:lineRule="auto"/>
        <w:ind w:firstLine="36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en"/>
        </w:rPr>
      </w:pPr>
      <w:r w:rsidRPr="00021A69">
        <w:rPr>
          <w:rFonts w:ascii="Times New Roman" w:hAnsi="Times New Roman" w:cs="Times New Roman"/>
          <w:sz w:val="24"/>
          <w:szCs w:val="24"/>
        </w:rPr>
        <w:t>For pharmacodynamic (PD) studies, tumors were excised from animals and snap frozen in liquid nitrogen. Frozen tumor was weighed out and 6x (volume:tumor weight) of 1x Cell Lysis Buffer supplemented with protease and phosphatase inhibitors (</w:t>
      </w:r>
      <w:r>
        <w:rPr>
          <w:rFonts w:ascii="Times New Roman" w:hAnsi="Times New Roman" w:cs="Times New Roman"/>
          <w:sz w:val="24"/>
          <w:szCs w:val="24"/>
        </w:rPr>
        <w:t>Millipore</w:t>
      </w:r>
      <w:r w:rsidRPr="00021A69">
        <w:rPr>
          <w:rFonts w:ascii="Times New Roman" w:hAnsi="Times New Roman" w:cs="Times New Roman"/>
          <w:sz w:val="24"/>
          <w:szCs w:val="24"/>
        </w:rPr>
        <w:t xml:space="preserve">Sigma, </w:t>
      </w:r>
      <w:r>
        <w:rPr>
          <w:rFonts w:ascii="Times New Roman" w:hAnsi="Times New Roman" w:cs="Times New Roman"/>
          <w:sz w:val="24"/>
          <w:szCs w:val="24"/>
        </w:rPr>
        <w:t>CA, USA</w:t>
      </w:r>
      <w:r w:rsidRPr="00021A69">
        <w:rPr>
          <w:rFonts w:ascii="Times New Roman" w:hAnsi="Times New Roman" w:cs="Times New Roman"/>
          <w:sz w:val="24"/>
          <w:szCs w:val="24"/>
        </w:rPr>
        <w:t>) was added to the sample in a Lysing Matrix A Tube (ThermoFisher, MA</w:t>
      </w:r>
      <w:r>
        <w:rPr>
          <w:rFonts w:ascii="Times New Roman" w:hAnsi="Times New Roman" w:cs="Times New Roman"/>
          <w:sz w:val="24"/>
          <w:szCs w:val="24"/>
        </w:rPr>
        <w:t>, USA</w:t>
      </w:r>
      <w:r w:rsidRPr="00021A69">
        <w:rPr>
          <w:rFonts w:ascii="Times New Roman" w:hAnsi="Times New Roman" w:cs="Times New Roman"/>
          <w:sz w:val="24"/>
          <w:szCs w:val="24"/>
        </w:rPr>
        <w:t>). Samples were homogenized using a Precellys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1A69">
        <w:rPr>
          <w:rFonts w:ascii="Times New Roman" w:hAnsi="Times New Roman" w:cs="Times New Roman"/>
          <w:sz w:val="24"/>
          <w:szCs w:val="24"/>
        </w:rPr>
        <w:t>24 homogenizer (Bertin Technologies, MD</w:t>
      </w:r>
      <w:r>
        <w:rPr>
          <w:rFonts w:ascii="Times New Roman" w:hAnsi="Times New Roman" w:cs="Times New Roman"/>
          <w:sz w:val="24"/>
          <w:szCs w:val="24"/>
        </w:rPr>
        <w:t>, USA</w:t>
      </w:r>
      <w:r w:rsidRPr="00021A69">
        <w:rPr>
          <w:rFonts w:ascii="Times New Roman" w:hAnsi="Times New Roman" w:cs="Times New Roman"/>
          <w:sz w:val="24"/>
          <w:szCs w:val="24"/>
        </w:rPr>
        <w:t xml:space="preserve">) and lysates were clarified by centrifugation. Protein concentrations in cell lysates were quantitated by BCA protein assay and equal amounts of total protein were resolved by SDS-PAGE, immunoblotted with the indicated antibodies, and visualized by LI-COR Odyssey imager. </w:t>
      </w:r>
    </w:p>
    <w:p w14:paraId="4E2BD5D3" w14:textId="77777777" w:rsidR="00825AA5" w:rsidRDefault="00825AA5" w:rsidP="00825AA5">
      <w:pPr>
        <w:pStyle w:val="BodyText"/>
        <w:spacing w:line="480" w:lineRule="auto"/>
        <w:rPr>
          <w:b/>
          <w:sz w:val="28"/>
          <w:szCs w:val="28"/>
          <w:lang w:val="en"/>
        </w:rPr>
      </w:pPr>
    </w:p>
    <w:p w14:paraId="03006E39" w14:textId="77777777" w:rsidR="00FC0BE7" w:rsidRDefault="00FC0BE7"/>
    <w:p w14:paraId="526CB050" w14:textId="470C2195" w:rsidR="00A35822" w:rsidRDefault="00396753">
      <w:r>
        <w:rPr>
          <w:noProof/>
        </w:rPr>
        <w:lastRenderedPageBreak/>
        <w:drawing>
          <wp:inline distT="0" distB="0" distL="0" distR="0" wp14:anchorId="388490CF" wp14:editId="7F7607E7">
            <wp:extent cx="5425440" cy="45802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338" cy="4588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AAA045" w14:textId="0598447F" w:rsidR="00F73D38" w:rsidRPr="00396753" w:rsidRDefault="00F46ED2" w:rsidP="0039675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E9788F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S1</w:t>
      </w:r>
      <w:r w:rsidRPr="00E9788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451676">
        <w:rPr>
          <w:rFonts w:ascii="Times New Roman" w:hAnsi="Times New Roman" w:cs="Times New Roman"/>
          <w:b/>
          <w:bCs/>
          <w:sz w:val="24"/>
          <w:szCs w:val="24"/>
        </w:rPr>
        <w:t xml:space="preserve">Zotatifin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translationally </w:t>
      </w:r>
      <w:r w:rsidRPr="00451676">
        <w:rPr>
          <w:rFonts w:ascii="Times New Roman" w:hAnsi="Times New Roman" w:cs="Times New Roman"/>
          <w:b/>
          <w:bCs/>
          <w:sz w:val="24"/>
          <w:szCs w:val="24"/>
        </w:rPr>
        <w:t xml:space="preserve">downregulates </w:t>
      </w:r>
      <w:r>
        <w:rPr>
          <w:rFonts w:ascii="Times New Roman" w:hAnsi="Times New Roman" w:cs="Times New Roman"/>
          <w:b/>
          <w:bCs/>
          <w:sz w:val="24"/>
          <w:szCs w:val="24"/>
        </w:rPr>
        <w:t>FGFR2 and HER2 through their 5’-UTRs in RTK-driven tumors</w:t>
      </w:r>
      <w:r w:rsidRPr="00C46DA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534DA">
        <w:rPr>
          <w:rFonts w:ascii="Times New Roman" w:hAnsi="Times New Roman" w:cs="Times New Roman"/>
          <w:sz w:val="24"/>
          <w:szCs w:val="24"/>
        </w:rPr>
        <w:t xml:space="preserve">(A) Western blot analysis of HER2, FGFR2 and cyclin D1 levels following 24 h treatment with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9534DA">
        <w:rPr>
          <w:rFonts w:ascii="Times New Roman" w:hAnsi="Times New Roman" w:cs="Times New Roman"/>
          <w:sz w:val="24"/>
          <w:szCs w:val="24"/>
        </w:rPr>
        <w:t xml:space="preserve">otatifin or DMSO in RTK-driven tumor models. GAPDH, </w:t>
      </w:r>
      <w:r w:rsidRPr="009534DA">
        <w:rPr>
          <w:rFonts w:ascii="Symbol" w:hAnsi="Symbol" w:cs="Calibri"/>
          <w:sz w:val="24"/>
          <w:szCs w:val="24"/>
        </w:rPr>
        <w:t>b</w:t>
      </w:r>
      <w:r w:rsidRPr="009534DA">
        <w:rPr>
          <w:rFonts w:ascii="Calibri" w:hAnsi="Calibri" w:cs="Calibri"/>
          <w:sz w:val="24"/>
          <w:szCs w:val="24"/>
        </w:rPr>
        <w:t>-</w:t>
      </w:r>
      <w:r w:rsidRPr="009534DA">
        <w:rPr>
          <w:rFonts w:ascii="Times New Roman" w:hAnsi="Times New Roman" w:cs="Times New Roman"/>
          <w:sz w:val="24"/>
          <w:szCs w:val="24"/>
        </w:rPr>
        <w:t>tubulin</w:t>
      </w:r>
      <w:r w:rsidRPr="009534DA">
        <w:rPr>
          <w:rFonts w:ascii="Calibri" w:hAnsi="Calibri" w:cs="Calibri"/>
          <w:sz w:val="24"/>
          <w:szCs w:val="24"/>
        </w:rPr>
        <w:t xml:space="preserve"> </w:t>
      </w:r>
      <w:r w:rsidRPr="00055710">
        <w:rPr>
          <w:rFonts w:ascii="Times New Roman" w:hAnsi="Times New Roman" w:cs="Times New Roman"/>
          <w:sz w:val="24"/>
          <w:szCs w:val="24"/>
        </w:rPr>
        <w:t>or</w:t>
      </w:r>
      <w:r w:rsidRPr="009534DA">
        <w:rPr>
          <w:rFonts w:ascii="Times New Roman" w:hAnsi="Times New Roman" w:cs="Times New Roman"/>
          <w:sz w:val="24"/>
          <w:szCs w:val="24"/>
        </w:rPr>
        <w:t xml:space="preserve"> </w:t>
      </w:r>
      <w:r w:rsidRPr="009534DA">
        <w:rPr>
          <w:rFonts w:ascii="Symbol" w:hAnsi="Symbol" w:cs="Calibri"/>
          <w:sz w:val="24"/>
          <w:szCs w:val="24"/>
        </w:rPr>
        <w:t>a</w:t>
      </w:r>
      <w:r w:rsidRPr="009534DA">
        <w:rPr>
          <w:rFonts w:ascii="Calibri" w:hAnsi="Calibri" w:cs="Calibri"/>
          <w:sz w:val="24"/>
          <w:szCs w:val="24"/>
        </w:rPr>
        <w:t>-</w:t>
      </w:r>
      <w:r w:rsidRPr="009534DA">
        <w:rPr>
          <w:rFonts w:ascii="Times New Roman" w:hAnsi="Times New Roman" w:cs="Times New Roman"/>
          <w:sz w:val="24"/>
          <w:szCs w:val="24"/>
        </w:rPr>
        <w:t>tubulin</w:t>
      </w:r>
      <w:r w:rsidRPr="009534DA">
        <w:rPr>
          <w:rFonts w:ascii="Calibri" w:hAnsi="Calibri" w:cs="Calibri"/>
          <w:sz w:val="24"/>
          <w:szCs w:val="24"/>
        </w:rPr>
        <w:t xml:space="preserve"> </w:t>
      </w:r>
      <w:r w:rsidRPr="009534DA">
        <w:rPr>
          <w:rFonts w:ascii="Times New Roman" w:hAnsi="Times New Roman" w:cs="Times New Roman"/>
          <w:sz w:val="24"/>
          <w:szCs w:val="24"/>
        </w:rPr>
        <w:t xml:space="preserve">serve as loading controls. </w:t>
      </w:r>
      <w:r w:rsidRPr="007D4AC6">
        <w:rPr>
          <w:rFonts w:ascii="Times New Roman" w:hAnsi="Times New Roman" w:cs="Times New Roman"/>
          <w:sz w:val="24"/>
          <w:szCs w:val="24"/>
        </w:rPr>
        <w:t>(</w:t>
      </w:r>
      <w:r w:rsidRPr="00055710">
        <w:rPr>
          <w:rFonts w:ascii="Times New Roman" w:hAnsi="Times New Roman" w:cs="Times New Roman"/>
          <w:sz w:val="24"/>
          <w:szCs w:val="24"/>
        </w:rPr>
        <w:t>B</w:t>
      </w:r>
      <w:r w:rsidRPr="007D4AC6">
        <w:rPr>
          <w:rFonts w:ascii="Times New Roman" w:hAnsi="Times New Roman" w:cs="Times New Roman"/>
          <w:sz w:val="24"/>
          <w:szCs w:val="24"/>
        </w:rPr>
        <w:t>)</w:t>
      </w:r>
      <w:r w:rsidRPr="009534DA">
        <w:rPr>
          <w:rFonts w:ascii="Times New Roman" w:hAnsi="Times New Roman" w:cs="Times New Roman"/>
          <w:sz w:val="24"/>
          <w:szCs w:val="24"/>
        </w:rPr>
        <w:t xml:space="preserve"> mRNA distribution in polysome fractions in NCI-H716 colorectal cells treated for 3 h with 20 nM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9534DA">
        <w:rPr>
          <w:rFonts w:ascii="Times New Roman" w:hAnsi="Times New Roman" w:cs="Times New Roman"/>
          <w:sz w:val="24"/>
          <w:szCs w:val="24"/>
        </w:rPr>
        <w:t xml:space="preserve">otatifin compared to DMSO. mRNA levels of FGFR2 are monitored in polysome fractions. POLR2 serves as a control. (C) Western blot analysis of the driver RTK and cyclin D1 levels following 24 h treatment with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9534DA">
        <w:rPr>
          <w:rFonts w:ascii="Times New Roman" w:hAnsi="Times New Roman" w:cs="Times New Roman"/>
          <w:sz w:val="24"/>
          <w:szCs w:val="24"/>
        </w:rPr>
        <w:t>otatifin or DMSO. Left, parental or FGFR2(</w:t>
      </w:r>
      <w:r w:rsidRPr="009534DA">
        <w:rPr>
          <w:rFonts w:ascii="Symbol" w:hAnsi="Symbol" w:cs="Times New Roman"/>
          <w:sz w:val="24"/>
          <w:szCs w:val="24"/>
        </w:rPr>
        <w:t>D</w:t>
      </w:r>
      <w:r w:rsidRPr="009534DA">
        <w:rPr>
          <w:rFonts w:ascii="Times New Roman" w:hAnsi="Times New Roman" w:cs="Times New Roman"/>
          <w:sz w:val="24"/>
          <w:szCs w:val="24"/>
        </w:rPr>
        <w:t>UTR)-overexpressed SNU-16 cells. Right, parental or HER2(</w:t>
      </w:r>
      <w:r w:rsidRPr="009534DA">
        <w:rPr>
          <w:rFonts w:ascii="Symbol" w:hAnsi="Symbol" w:cs="Times New Roman"/>
          <w:sz w:val="24"/>
          <w:szCs w:val="24"/>
        </w:rPr>
        <w:t>D</w:t>
      </w:r>
      <w:r w:rsidRPr="009534DA">
        <w:rPr>
          <w:rFonts w:ascii="Times New Roman" w:hAnsi="Times New Roman" w:cs="Times New Roman"/>
          <w:sz w:val="24"/>
          <w:szCs w:val="24"/>
        </w:rPr>
        <w:t xml:space="preserve">UTR)-overexpressed MDA-MB-361 cells. </w:t>
      </w:r>
      <w:r w:rsidRPr="009534DA">
        <w:rPr>
          <w:rFonts w:ascii="Symbol" w:hAnsi="Symbol" w:cs="Calibri"/>
          <w:sz w:val="24"/>
          <w:szCs w:val="24"/>
        </w:rPr>
        <w:t>a</w:t>
      </w:r>
      <w:r w:rsidRPr="009534DA">
        <w:rPr>
          <w:rFonts w:ascii="Calibri" w:hAnsi="Calibri" w:cs="Calibri"/>
          <w:sz w:val="24"/>
          <w:szCs w:val="24"/>
        </w:rPr>
        <w:t>-</w:t>
      </w:r>
      <w:r w:rsidRPr="009534DA">
        <w:rPr>
          <w:rFonts w:ascii="Times New Roman" w:hAnsi="Times New Roman" w:cs="Times New Roman"/>
          <w:sz w:val="24"/>
          <w:szCs w:val="24"/>
        </w:rPr>
        <w:t>tubulin or vinculin</w:t>
      </w:r>
      <w:r w:rsidRPr="009534DA">
        <w:rPr>
          <w:rFonts w:ascii="Calibri" w:hAnsi="Calibri" w:cs="Calibri"/>
          <w:sz w:val="24"/>
          <w:szCs w:val="24"/>
        </w:rPr>
        <w:t xml:space="preserve"> </w:t>
      </w:r>
      <w:r w:rsidRPr="009534DA">
        <w:rPr>
          <w:rFonts w:ascii="Times New Roman" w:hAnsi="Times New Roman" w:cs="Times New Roman"/>
          <w:sz w:val="24"/>
          <w:szCs w:val="24"/>
        </w:rPr>
        <w:t xml:space="preserve">serve as loading controls. </w:t>
      </w:r>
    </w:p>
    <w:p w14:paraId="7997E109" w14:textId="464C3CD1" w:rsidR="00F46ED2" w:rsidRDefault="00F46ED2">
      <w:pPr>
        <w:rPr>
          <w:rFonts w:ascii="Times New Roman" w:hAnsi="Times New Roman" w:cs="Times New Roman"/>
          <w:noProof/>
          <w:sz w:val="20"/>
          <w:szCs w:val="20"/>
        </w:rPr>
      </w:pPr>
    </w:p>
    <w:p w14:paraId="2F116374" w14:textId="2418F9B2" w:rsidR="00F46ED2" w:rsidRPr="00C46DA1" w:rsidRDefault="00B56D1E" w:rsidP="00F46ED2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E28D152" wp14:editId="309725FB">
            <wp:extent cx="5998209" cy="48158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09" cy="481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6ED2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F46ED2" w:rsidRPr="00E9788F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F46ED2">
        <w:rPr>
          <w:rFonts w:ascii="Times New Roman" w:hAnsi="Times New Roman" w:cs="Times New Roman"/>
          <w:b/>
          <w:bCs/>
          <w:sz w:val="24"/>
          <w:szCs w:val="24"/>
        </w:rPr>
        <w:t>S2</w:t>
      </w:r>
      <w:r w:rsidR="00F46ED2" w:rsidRPr="00E9788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F46ED2">
        <w:rPr>
          <w:rFonts w:ascii="Times New Roman" w:hAnsi="Times New Roman" w:cs="Times New Roman"/>
          <w:b/>
          <w:bCs/>
          <w:sz w:val="24"/>
          <w:szCs w:val="24"/>
        </w:rPr>
        <w:t xml:space="preserve">Activity of zotatifin in RTK-driven cancer models. </w:t>
      </w:r>
      <w:r w:rsidR="00F46ED2" w:rsidRPr="009534DA">
        <w:rPr>
          <w:rFonts w:ascii="Times New Roman" w:hAnsi="Times New Roman" w:cs="Times New Roman"/>
          <w:sz w:val="24"/>
          <w:szCs w:val="24"/>
        </w:rPr>
        <w:t xml:space="preserve">(A) Dose dependent proliferation curves in </w:t>
      </w:r>
      <w:r w:rsidR="00F46ED2">
        <w:rPr>
          <w:rFonts w:ascii="Times New Roman" w:hAnsi="Times New Roman" w:cs="Times New Roman"/>
          <w:sz w:val="24"/>
          <w:szCs w:val="24"/>
        </w:rPr>
        <w:t xml:space="preserve">the </w:t>
      </w:r>
      <w:r w:rsidR="00F46ED2" w:rsidRPr="009534DA">
        <w:rPr>
          <w:rFonts w:ascii="Times New Roman" w:hAnsi="Times New Roman" w:cs="Times New Roman"/>
          <w:sz w:val="24"/>
          <w:szCs w:val="24"/>
        </w:rPr>
        <w:t xml:space="preserve">indicated RTK-driven tumor models after 48 h treatment (72 h for Calu-3) with </w:t>
      </w:r>
      <w:r w:rsidR="00F46ED2">
        <w:rPr>
          <w:rFonts w:ascii="Times New Roman" w:hAnsi="Times New Roman" w:cs="Times New Roman"/>
          <w:sz w:val="24"/>
          <w:szCs w:val="24"/>
        </w:rPr>
        <w:t>z</w:t>
      </w:r>
      <w:r w:rsidR="00F46ED2" w:rsidRPr="009534DA">
        <w:rPr>
          <w:rFonts w:ascii="Times New Roman" w:hAnsi="Times New Roman" w:cs="Times New Roman"/>
          <w:sz w:val="24"/>
          <w:szCs w:val="24"/>
        </w:rPr>
        <w:t xml:space="preserve">otatifin </w:t>
      </w:r>
      <w:r w:rsidR="00F46ED2" w:rsidRPr="009534DA">
        <w:rPr>
          <w:rFonts w:ascii="Times New Roman" w:hAnsi="Times New Roman" w:cs="Times New Roman"/>
          <w:i/>
          <w:iCs/>
          <w:sz w:val="24"/>
          <w:szCs w:val="24"/>
        </w:rPr>
        <w:t>in vitro</w:t>
      </w:r>
      <w:r w:rsidR="00F46ED2" w:rsidRPr="009534DA">
        <w:rPr>
          <w:rFonts w:ascii="Times New Roman" w:hAnsi="Times New Roman" w:cs="Times New Roman"/>
          <w:sz w:val="24"/>
          <w:szCs w:val="24"/>
        </w:rPr>
        <w:t xml:space="preserve">. (B) Representative graphs of tumor volume measurement as a function of days of treatment with 1 mg/kg </w:t>
      </w:r>
      <w:r w:rsidR="00F46ED2">
        <w:rPr>
          <w:rFonts w:ascii="Times New Roman" w:hAnsi="Times New Roman" w:cs="Times New Roman"/>
          <w:sz w:val="24"/>
          <w:szCs w:val="24"/>
        </w:rPr>
        <w:t>z</w:t>
      </w:r>
      <w:r w:rsidR="00F46ED2" w:rsidRPr="009534DA">
        <w:rPr>
          <w:rFonts w:ascii="Times New Roman" w:hAnsi="Times New Roman" w:cs="Times New Roman"/>
          <w:sz w:val="24"/>
          <w:szCs w:val="24"/>
        </w:rPr>
        <w:t>otatifin. (C) Percent tumor growth inhibition (% TGI) of the subcutaneous tumor in several RTK</w:t>
      </w:r>
      <w:r w:rsidR="00331F26">
        <w:rPr>
          <w:rFonts w:ascii="Times New Roman" w:hAnsi="Times New Roman" w:cs="Times New Roman"/>
          <w:sz w:val="24"/>
          <w:szCs w:val="24"/>
        </w:rPr>
        <w:t>-</w:t>
      </w:r>
      <w:r w:rsidR="00F46ED2" w:rsidRPr="009534DA">
        <w:rPr>
          <w:rFonts w:ascii="Times New Roman" w:hAnsi="Times New Roman" w:cs="Times New Roman"/>
          <w:sz w:val="24"/>
          <w:szCs w:val="24"/>
        </w:rPr>
        <w:t xml:space="preserve">driven models, following treatment with 0.1 mg/kg </w:t>
      </w:r>
      <w:r w:rsidR="00F46ED2">
        <w:rPr>
          <w:rFonts w:ascii="Times New Roman" w:hAnsi="Times New Roman" w:cs="Times New Roman"/>
          <w:sz w:val="24"/>
          <w:szCs w:val="24"/>
        </w:rPr>
        <w:t>z</w:t>
      </w:r>
      <w:r w:rsidR="00F46ED2" w:rsidRPr="009534DA">
        <w:rPr>
          <w:rFonts w:ascii="Times New Roman" w:hAnsi="Times New Roman" w:cs="Times New Roman"/>
          <w:sz w:val="24"/>
          <w:szCs w:val="24"/>
        </w:rPr>
        <w:t xml:space="preserve">otatifin (OE19, see also </w:t>
      </w:r>
      <w:r w:rsidR="00F46ED2" w:rsidRPr="00055710">
        <w:rPr>
          <w:rFonts w:ascii="Times New Roman" w:hAnsi="Times New Roman" w:cs="Times New Roman"/>
          <w:b/>
          <w:bCs/>
          <w:sz w:val="24"/>
          <w:szCs w:val="24"/>
        </w:rPr>
        <w:t>Figure 2</w:t>
      </w:r>
      <w:r w:rsidR="00F46ED2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F46ED2" w:rsidRPr="009534DA">
        <w:rPr>
          <w:rFonts w:ascii="Times New Roman" w:hAnsi="Times New Roman" w:cs="Times New Roman"/>
          <w:sz w:val="24"/>
          <w:szCs w:val="24"/>
        </w:rPr>
        <w:t>). (D)</w:t>
      </w:r>
      <w:r w:rsidR="00F46ED2" w:rsidRPr="009534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46ED2" w:rsidRPr="009534DA">
        <w:rPr>
          <w:rFonts w:ascii="Times New Roman" w:hAnsi="Times New Roman" w:cs="Times New Roman"/>
          <w:sz w:val="24"/>
          <w:szCs w:val="24"/>
        </w:rPr>
        <w:t>Western blot analysis of FGFR1 in NCI-H1581 (Top) and FGFR2 in NCI-H716 (Bottom) xenografts 24 h post the last dose following</w:t>
      </w:r>
      <w:r w:rsidR="00F46ED2" w:rsidRPr="009534D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46ED2" w:rsidRPr="009534DA">
        <w:rPr>
          <w:rFonts w:ascii="Times New Roman" w:hAnsi="Times New Roman" w:cs="Times New Roman"/>
          <w:sz w:val="24"/>
          <w:szCs w:val="24"/>
        </w:rPr>
        <w:t xml:space="preserve">treatment with 1 mg/kg </w:t>
      </w:r>
      <w:r w:rsidR="00F46ED2">
        <w:rPr>
          <w:rFonts w:ascii="Times New Roman" w:hAnsi="Times New Roman" w:cs="Times New Roman"/>
          <w:sz w:val="24"/>
          <w:szCs w:val="24"/>
        </w:rPr>
        <w:t>z</w:t>
      </w:r>
      <w:r w:rsidR="00F46ED2" w:rsidRPr="009534DA">
        <w:rPr>
          <w:rFonts w:ascii="Times New Roman" w:hAnsi="Times New Roman" w:cs="Times New Roman"/>
          <w:sz w:val="24"/>
          <w:szCs w:val="24"/>
        </w:rPr>
        <w:t xml:space="preserve">otatifin or vehicle. GAPDH serves as loading control. Right, quantification of FGFR1/2 protein levels. </w:t>
      </w:r>
    </w:p>
    <w:p w14:paraId="01E15DE9" w14:textId="179D1433" w:rsidR="00F46ED2" w:rsidRDefault="00F46ED2" w:rsidP="00F46ED2">
      <w:pPr>
        <w:tabs>
          <w:tab w:val="left" w:pos="2090"/>
        </w:tabs>
      </w:pPr>
    </w:p>
    <w:p w14:paraId="001CA560" w14:textId="78650E3E" w:rsidR="00F46ED2" w:rsidRDefault="00F46ED2" w:rsidP="00F46ED2">
      <w:pPr>
        <w:tabs>
          <w:tab w:val="left" w:pos="2090"/>
        </w:tabs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D987AFE" wp14:editId="31111BD2">
            <wp:extent cx="5943600" cy="162688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6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0C840B" w14:textId="77777777" w:rsidR="00F46ED2" w:rsidRDefault="00F46ED2" w:rsidP="00F46ED2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32557D" w14:textId="77777777" w:rsidR="00F46ED2" w:rsidRPr="00055710" w:rsidRDefault="00F46ED2" w:rsidP="00F46ED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B60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S3: Components of “mTOR activity” score. </w:t>
      </w:r>
      <w:r w:rsidRPr="00055710">
        <w:rPr>
          <w:rFonts w:ascii="Times New Roman" w:hAnsi="Times New Roman" w:cs="Times New Roman"/>
          <w:sz w:val="24"/>
          <w:szCs w:val="24"/>
        </w:rPr>
        <w:t xml:space="preserve">CCLE-based distribution scores of p-mTOR S2448, p-P70S6K T389, p-Rictor T1135, p-rpS6 S240/244 and p-rpS6 S235/236 in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055710">
        <w:rPr>
          <w:rFonts w:ascii="Times New Roman" w:hAnsi="Times New Roman" w:cs="Times New Roman"/>
          <w:sz w:val="24"/>
          <w:szCs w:val="24"/>
        </w:rPr>
        <w:t>otatifin-sensitive (&gt; 55% TGI) versus non-sensitive (&lt; 55% TGI) RTK-driven models (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055710">
        <w:rPr>
          <w:rFonts w:ascii="Times New Roman" w:hAnsi="Times New Roman" w:cs="Times New Roman"/>
          <w:sz w:val="24"/>
          <w:szCs w:val="24"/>
        </w:rPr>
        <w:t xml:space="preserve">ee % TGI in </w:t>
      </w:r>
      <w:r w:rsidRPr="00055710">
        <w:rPr>
          <w:rFonts w:ascii="Times New Roman" w:hAnsi="Times New Roman" w:cs="Times New Roman"/>
          <w:b/>
          <w:bCs/>
          <w:sz w:val="24"/>
          <w:szCs w:val="24"/>
        </w:rPr>
        <w:t>Figure 2C</w:t>
      </w:r>
      <w:r w:rsidRPr="00055710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>The mTOR activity score was calculated by taking the mean of each normalized phosphoprotein score.</w:t>
      </w:r>
    </w:p>
    <w:p w14:paraId="57E06140" w14:textId="0022DFDE" w:rsidR="00F46ED2" w:rsidRDefault="00F46ED2" w:rsidP="00F46ED2">
      <w:pPr>
        <w:tabs>
          <w:tab w:val="left" w:pos="2090"/>
        </w:tabs>
      </w:pPr>
    </w:p>
    <w:p w14:paraId="54F30191" w14:textId="7345913E" w:rsidR="00F73D38" w:rsidRDefault="00F73D38">
      <w:r>
        <w:br w:type="page"/>
      </w:r>
    </w:p>
    <w:p w14:paraId="7489F9FB" w14:textId="2AA9B572" w:rsidR="00F46ED2" w:rsidRDefault="00F46ED2" w:rsidP="00F46ED2">
      <w:pPr>
        <w:tabs>
          <w:tab w:val="left" w:pos="2090"/>
        </w:tabs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094F8B7" wp14:editId="0E165256">
            <wp:extent cx="5887880" cy="2286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88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A29A4C" w14:textId="7F99DBA5" w:rsidR="00F46ED2" w:rsidRDefault="00F46ED2" w:rsidP="00F46ED2">
      <w:pPr>
        <w:jc w:val="right"/>
      </w:pPr>
    </w:p>
    <w:p w14:paraId="3CF5E127" w14:textId="77777777" w:rsidR="00F46ED2" w:rsidRDefault="00F46ED2" w:rsidP="00F46E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FCB7AEC" w14:textId="4C9BC0CA" w:rsidR="00F46ED2" w:rsidRDefault="00F46ED2" w:rsidP="00F46ED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E9788F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S4</w:t>
      </w:r>
      <w:r w:rsidRPr="00E9788F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Combination</w:t>
      </w:r>
      <w:r w:rsidRPr="00F234EC">
        <w:rPr>
          <w:rFonts w:ascii="Times New Roman" w:hAnsi="Times New Roman" w:cs="Times New Roman"/>
          <w:b/>
          <w:bCs/>
          <w:sz w:val="24"/>
          <w:szCs w:val="24"/>
        </w:rPr>
        <w:t xml:space="preserve"> treatments in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xenografts </w:t>
      </w:r>
      <w:r w:rsidRPr="00F234EC">
        <w:rPr>
          <w:rFonts w:ascii="Times New Roman" w:hAnsi="Times New Roman" w:cs="Times New Roman"/>
          <w:b/>
          <w:bCs/>
          <w:sz w:val="24"/>
          <w:szCs w:val="24"/>
        </w:rPr>
        <w:t xml:space="preserve">are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well </w:t>
      </w:r>
      <w:r w:rsidRPr="00F234EC">
        <w:rPr>
          <w:rFonts w:ascii="Times New Roman" w:hAnsi="Times New Roman" w:cs="Times New Roman"/>
          <w:b/>
          <w:bCs/>
          <w:sz w:val="24"/>
          <w:szCs w:val="24"/>
        </w:rPr>
        <w:t>tolerated</w:t>
      </w:r>
      <w:r w:rsidRPr="009534DA">
        <w:rPr>
          <w:rFonts w:ascii="Times New Roman" w:hAnsi="Times New Roman" w:cs="Times New Roman"/>
          <w:sz w:val="24"/>
          <w:szCs w:val="24"/>
        </w:rPr>
        <w:t>. A-B)</w:t>
      </w:r>
      <w:r w:rsidRPr="00C46DA1">
        <w:rPr>
          <w:rFonts w:ascii="Times New Roman" w:hAnsi="Times New Roman" w:cs="Times New Roman"/>
          <w:sz w:val="24"/>
          <w:szCs w:val="24"/>
        </w:rPr>
        <w:t xml:space="preserve"> </w:t>
      </w:r>
      <w:r w:rsidRPr="009534DA">
        <w:rPr>
          <w:rFonts w:ascii="Times New Roman" w:hAnsi="Times New Roman" w:cs="Times New Roman"/>
          <w:sz w:val="24"/>
          <w:szCs w:val="24"/>
        </w:rPr>
        <w:t>Body weight of treated mice during the course of treatment in (A) JIMT-1 and (B) MFM-223 xenografts.</w:t>
      </w:r>
    </w:p>
    <w:p w14:paraId="0E3FD303" w14:textId="4ACD3037" w:rsidR="00F73D38" w:rsidRDefault="00F73D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C8C49BE" w14:textId="120A3466" w:rsidR="00F46ED2" w:rsidRDefault="004F26C0" w:rsidP="00F46ED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FDC995" wp14:editId="33DF06A2">
            <wp:extent cx="4465405" cy="48234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983" cy="4851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97F2C9" w14:textId="77777777" w:rsidR="00F46ED2" w:rsidRPr="009534DA" w:rsidRDefault="00F46ED2" w:rsidP="00F46ED2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E9788F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S5</w:t>
      </w:r>
      <w:r w:rsidRPr="00E9788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Zotatifin downregulates RTK levels induced by PI3K/AKT inhibition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in </w:t>
      </w:r>
      <w:r w:rsidRPr="00C46DA1">
        <w:rPr>
          <w:rFonts w:ascii="Times New Roman" w:hAnsi="Times New Roman" w:cs="Times New Roman"/>
          <w:b/>
          <w:bCs/>
          <w:i/>
          <w:iCs/>
          <w:sz w:val="24"/>
          <w:szCs w:val="24"/>
        </w:rPr>
        <w:t>vitro</w:t>
      </w:r>
      <w:r w:rsidRPr="00C46DA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534DA">
        <w:rPr>
          <w:rFonts w:ascii="Times New Roman" w:hAnsi="Times New Roman" w:cs="Times New Roman"/>
          <w:sz w:val="24"/>
          <w:szCs w:val="24"/>
        </w:rPr>
        <w:t>(A-B) Western blots analysis of HER3, AKT, PRAS40, FOXO3 (phospho/total), HER2 and cyclin D1 in RTK-driven model following 24 h treatment with either single agent or combinations. (A) OE19 HER2</w:t>
      </w:r>
      <w:r w:rsidRPr="009534DA">
        <w:rPr>
          <w:rFonts w:ascii="Times New Roman" w:hAnsi="Times New Roman" w:cs="Times New Roman"/>
          <w:sz w:val="24"/>
          <w:szCs w:val="24"/>
          <w:vertAlign w:val="superscript"/>
        </w:rPr>
        <w:t>amp</w:t>
      </w:r>
      <w:r w:rsidRPr="009534DA">
        <w:rPr>
          <w:rFonts w:ascii="Times New Roman" w:hAnsi="Times New Roman" w:cs="Times New Roman"/>
          <w:sz w:val="24"/>
          <w:szCs w:val="24"/>
        </w:rPr>
        <w:t xml:space="preserve"> cell line treated with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9534DA">
        <w:rPr>
          <w:rFonts w:ascii="Times New Roman" w:hAnsi="Times New Roman" w:cs="Times New Roman"/>
          <w:sz w:val="24"/>
          <w:szCs w:val="24"/>
        </w:rPr>
        <w:t xml:space="preserve">otatifin and Ipatasertib (AKTi); (B) OE19 cell line treated with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9534DA">
        <w:rPr>
          <w:rFonts w:ascii="Times New Roman" w:hAnsi="Times New Roman" w:cs="Times New Roman"/>
          <w:sz w:val="24"/>
          <w:szCs w:val="24"/>
        </w:rPr>
        <w:t xml:space="preserve">otatifin and Alpelisib (PIK3CAi). To the right of each panel, quantification of p-HER3 Y1289 or HER2 proteins levels. Concentrations of drugs used are indicated on top of each blot: Ipa., Ipatasertib (µM); Alp., Alpelisib (µM);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9534DA">
        <w:rPr>
          <w:rFonts w:ascii="Times New Roman" w:hAnsi="Times New Roman" w:cs="Times New Roman"/>
          <w:sz w:val="24"/>
          <w:szCs w:val="24"/>
        </w:rPr>
        <w:t>otatifin (nM);</w:t>
      </w:r>
      <w:r w:rsidRPr="009534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534DA">
        <w:rPr>
          <w:rFonts w:ascii="Times New Roman" w:hAnsi="Times New Roman" w:cs="Times New Roman"/>
          <w:sz w:val="24"/>
          <w:szCs w:val="24"/>
        </w:rPr>
        <w:t>D, DMSO.</w:t>
      </w:r>
    </w:p>
    <w:p w14:paraId="4D419903" w14:textId="77777777" w:rsidR="00F46ED2" w:rsidRDefault="00F46ED2" w:rsidP="00F46ED2">
      <w:pPr>
        <w:spacing w:after="0" w:line="480" w:lineRule="auto"/>
        <w:jc w:val="both"/>
      </w:pPr>
    </w:p>
    <w:sectPr w:rsidR="00F46ED2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C278C" w14:textId="77777777" w:rsidR="00C13F8B" w:rsidRDefault="00C13F8B" w:rsidP="00F46ED2">
      <w:pPr>
        <w:spacing w:after="0" w:line="240" w:lineRule="auto"/>
      </w:pPr>
      <w:r>
        <w:separator/>
      </w:r>
    </w:p>
  </w:endnote>
  <w:endnote w:type="continuationSeparator" w:id="0">
    <w:p w14:paraId="24D2FAF9" w14:textId="77777777" w:rsidR="00C13F8B" w:rsidRDefault="00C13F8B" w:rsidP="00F46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Yu Gothic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70037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2CC0E5" w14:textId="0635CF68" w:rsidR="00F73D38" w:rsidRDefault="00F73D3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8E9D6AA" w14:textId="77777777" w:rsidR="00F73D38" w:rsidRDefault="00F73D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ADA95" w14:textId="77777777" w:rsidR="00C13F8B" w:rsidRDefault="00C13F8B" w:rsidP="00F46ED2">
      <w:pPr>
        <w:spacing w:after="0" w:line="240" w:lineRule="auto"/>
      </w:pPr>
      <w:r>
        <w:separator/>
      </w:r>
    </w:p>
  </w:footnote>
  <w:footnote w:type="continuationSeparator" w:id="0">
    <w:p w14:paraId="5DEBFC11" w14:textId="77777777" w:rsidR="00C13F8B" w:rsidRDefault="00C13F8B" w:rsidP="00F46E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16B33" w14:textId="7AE66C5B" w:rsidR="00F46ED2" w:rsidRPr="000701E2" w:rsidRDefault="000701E2" w:rsidP="000701E2">
    <w:pPr>
      <w:pStyle w:val="Header"/>
    </w:pPr>
    <w:r w:rsidRPr="001A215E">
      <w:rPr>
        <w:rFonts w:ascii="Arial" w:hAnsi="Arial" w:cs="Arial"/>
      </w:rPr>
      <w:t>eIF4A</w:t>
    </w:r>
    <w:r>
      <w:rPr>
        <w:rFonts w:ascii="Arial" w:hAnsi="Arial" w:cs="Arial"/>
      </w:rPr>
      <w:t xml:space="preserve"> inhibitor zotatifin inhibits RTK</w:t>
    </w:r>
    <w:r w:rsidR="00331F26">
      <w:rPr>
        <w:rFonts w:ascii="Arial" w:hAnsi="Arial" w:cs="Arial"/>
      </w:rPr>
      <w:t>-</w:t>
    </w:r>
    <w:r>
      <w:rPr>
        <w:rFonts w:ascii="Arial" w:hAnsi="Arial" w:cs="Arial"/>
      </w:rPr>
      <w:t>driven tumors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ED2"/>
    <w:rsid w:val="000701E2"/>
    <w:rsid w:val="00104048"/>
    <w:rsid w:val="00232BF2"/>
    <w:rsid w:val="00331F26"/>
    <w:rsid w:val="00396753"/>
    <w:rsid w:val="004F26C0"/>
    <w:rsid w:val="00515F65"/>
    <w:rsid w:val="005362F7"/>
    <w:rsid w:val="005A51EE"/>
    <w:rsid w:val="007F5D50"/>
    <w:rsid w:val="00812F49"/>
    <w:rsid w:val="00825AA5"/>
    <w:rsid w:val="00A35822"/>
    <w:rsid w:val="00B56D1E"/>
    <w:rsid w:val="00C13F8B"/>
    <w:rsid w:val="00C64174"/>
    <w:rsid w:val="00CE5AA7"/>
    <w:rsid w:val="00D0789F"/>
    <w:rsid w:val="00DE7E19"/>
    <w:rsid w:val="00E86A99"/>
    <w:rsid w:val="00F46ED2"/>
    <w:rsid w:val="00F73D38"/>
    <w:rsid w:val="00FC0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B5E79A3"/>
  <w15:chartTrackingRefBased/>
  <w15:docId w15:val="{436BBB06-75B2-4258-BDB6-B3BFFCA3B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6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6ED2"/>
  </w:style>
  <w:style w:type="paragraph" w:styleId="Footer">
    <w:name w:val="footer"/>
    <w:basedOn w:val="Normal"/>
    <w:link w:val="FooterChar"/>
    <w:uiPriority w:val="99"/>
    <w:unhideWhenUsed/>
    <w:rsid w:val="00F46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6ED2"/>
  </w:style>
  <w:style w:type="paragraph" w:styleId="BodyText">
    <w:name w:val="Body Text"/>
    <w:basedOn w:val="Normal"/>
    <w:link w:val="BodyTextChar"/>
    <w:unhideWhenUsed/>
    <w:qFormat/>
    <w:rsid w:val="00825AA5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25AA5"/>
    <w:rPr>
      <w:rFonts w:ascii="Times New Roman" w:eastAsia="Times New Roman" w:hAnsi="Times New Roman" w:cs="Times New Roman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CE5AA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0404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EE0F3C-F403-4A80-AEC4-552A6C17C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1111</Words>
  <Characters>6334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Peggy Thompson</dc:creator>
  <cp:keywords/>
  <dc:description/>
  <cp:lastModifiedBy>Adina Gerson</cp:lastModifiedBy>
  <cp:revision>7</cp:revision>
  <dcterms:created xsi:type="dcterms:W3CDTF">2021-11-07T07:56:00Z</dcterms:created>
  <dcterms:modified xsi:type="dcterms:W3CDTF">2021-11-07T08:06:00Z</dcterms:modified>
</cp:coreProperties>
</file>