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65BC41" w14:textId="09FB3725" w:rsidR="00DE23E8" w:rsidRDefault="00654E8F" w:rsidP="00603A20">
      <w:pPr>
        <w:pStyle w:val="SupplementaryMaterial"/>
      </w:pPr>
      <w:r w:rsidRPr="001549D3">
        <w:t>Supplementary Material</w:t>
      </w:r>
    </w:p>
    <w:p w14:paraId="057F3D98" w14:textId="7D6A97B4" w:rsidR="00603A20" w:rsidRDefault="00603A20" w:rsidP="00603A20">
      <w:pPr>
        <w:pStyle w:val="Title"/>
      </w:pPr>
    </w:p>
    <w:p w14:paraId="7D4ACA06" w14:textId="563FC378" w:rsidR="00603A20" w:rsidRDefault="00EB194B" w:rsidP="00603A20">
      <w:r>
        <w:rPr>
          <w:noProof/>
        </w:rPr>
        <w:drawing>
          <wp:inline distT="0" distB="0" distL="0" distR="0" wp14:anchorId="673AB220" wp14:editId="27BBAE5D">
            <wp:extent cx="6208395" cy="3973195"/>
            <wp:effectExtent l="0" t="0" r="190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58459" w14:textId="3B3D8BE3" w:rsidR="00603A20" w:rsidRPr="006567BE" w:rsidRDefault="00C14482" w:rsidP="00603A20">
      <w:pPr>
        <w:spacing w:before="0" w:after="0" w:line="360" w:lineRule="auto"/>
        <w:jc w:val="both"/>
        <w:rPr>
          <w:rFonts w:cs="Times New Roman"/>
          <w:b/>
          <w:bCs/>
          <w:szCs w:val="24"/>
        </w:rPr>
      </w:pPr>
      <w:r w:rsidRPr="006567BE">
        <w:rPr>
          <w:rFonts w:cs="Times New Roman"/>
          <w:b/>
          <w:bCs/>
          <w:szCs w:val="24"/>
        </w:rPr>
        <w:t xml:space="preserve">Supplementary </w:t>
      </w:r>
      <w:r w:rsidR="00603A20" w:rsidRPr="006567BE">
        <w:rPr>
          <w:rFonts w:cs="Times New Roman"/>
          <w:b/>
          <w:bCs/>
          <w:szCs w:val="24"/>
        </w:rPr>
        <w:t>Fig</w:t>
      </w:r>
      <w:r w:rsidRPr="006567BE">
        <w:rPr>
          <w:rFonts w:cs="Times New Roman"/>
          <w:b/>
          <w:bCs/>
          <w:szCs w:val="24"/>
        </w:rPr>
        <w:t>ure S</w:t>
      </w:r>
      <w:r w:rsidR="00603A20" w:rsidRPr="006567BE">
        <w:rPr>
          <w:rFonts w:cs="Times New Roman"/>
          <w:b/>
          <w:bCs/>
          <w:szCs w:val="24"/>
        </w:rPr>
        <w:t>1: Gating strategy for exhausted associated receptors on CD4</w:t>
      </w:r>
      <w:r w:rsidR="00603A20" w:rsidRPr="006567BE">
        <w:rPr>
          <w:rFonts w:cs="Times New Roman"/>
          <w:b/>
          <w:bCs/>
          <w:szCs w:val="24"/>
          <w:vertAlign w:val="superscript"/>
        </w:rPr>
        <w:t>+</w:t>
      </w:r>
      <w:r w:rsidR="00603A20" w:rsidRPr="006567BE">
        <w:rPr>
          <w:rFonts w:cs="Times New Roman"/>
          <w:b/>
          <w:bCs/>
          <w:szCs w:val="24"/>
        </w:rPr>
        <w:t xml:space="preserve"> T cells</w:t>
      </w:r>
    </w:p>
    <w:p w14:paraId="576DEC4B" w14:textId="4335567C" w:rsidR="00603A20" w:rsidRDefault="00603A20" w:rsidP="00603A20">
      <w:pPr>
        <w:spacing w:before="0" w:after="0" w:line="360" w:lineRule="auto"/>
        <w:jc w:val="both"/>
      </w:pPr>
      <w:r w:rsidRPr="006567BE">
        <w:rPr>
          <w:rFonts w:cs="Times New Roman"/>
          <w:b/>
          <w:bCs/>
          <w:szCs w:val="24"/>
        </w:rPr>
        <w:t>(A)</w:t>
      </w:r>
      <w:r w:rsidRPr="006567BE">
        <w:rPr>
          <w:rFonts w:cs="Times New Roman"/>
          <w:szCs w:val="24"/>
        </w:rPr>
        <w:t xml:space="preserve"> PBMCs were first gated to discriminate lymphocytes using forward-scatter (FSC) versus side scatter (SSC). Then, </w:t>
      </w:r>
      <w:r w:rsidRPr="006567BE">
        <w:rPr>
          <w:rFonts w:cs="Times New Roman"/>
          <w:b/>
          <w:bCs/>
          <w:szCs w:val="24"/>
        </w:rPr>
        <w:t xml:space="preserve">(B) </w:t>
      </w:r>
      <w:r w:rsidR="00EB194B" w:rsidRPr="006567BE">
        <w:rPr>
          <w:rFonts w:cs="Times New Roman"/>
          <w:szCs w:val="24"/>
        </w:rPr>
        <w:t xml:space="preserve">single cells and </w:t>
      </w:r>
      <w:r w:rsidR="00EB194B" w:rsidRPr="006567BE">
        <w:rPr>
          <w:rFonts w:cs="Times New Roman"/>
          <w:b/>
          <w:bCs/>
          <w:szCs w:val="24"/>
        </w:rPr>
        <w:t xml:space="preserve">(C) </w:t>
      </w:r>
      <w:r w:rsidRPr="006567BE">
        <w:rPr>
          <w:rFonts w:cs="Times New Roman"/>
          <w:szCs w:val="24"/>
        </w:rPr>
        <w:t xml:space="preserve">CD4 expression was </w:t>
      </w:r>
      <w:proofErr w:type="spellStart"/>
      <w:r w:rsidRPr="006567BE">
        <w:rPr>
          <w:rFonts w:cs="Times New Roman"/>
          <w:szCs w:val="24"/>
        </w:rPr>
        <w:t>analysed</w:t>
      </w:r>
      <w:proofErr w:type="spellEnd"/>
      <w:r w:rsidR="00EB194B" w:rsidRPr="006567BE">
        <w:rPr>
          <w:rFonts w:cs="Times New Roman"/>
          <w:szCs w:val="24"/>
        </w:rPr>
        <w:t>. F</w:t>
      </w:r>
      <w:r w:rsidRPr="006567BE">
        <w:rPr>
          <w:rFonts w:cs="Times New Roman"/>
          <w:szCs w:val="24"/>
        </w:rPr>
        <w:t>inally</w:t>
      </w:r>
      <w:r w:rsidR="00EB194B" w:rsidRPr="006567BE">
        <w:rPr>
          <w:rFonts w:cs="Times New Roman"/>
          <w:szCs w:val="24"/>
        </w:rPr>
        <w:t>,</w:t>
      </w:r>
      <w:r w:rsidRPr="006567BE">
        <w:rPr>
          <w:rFonts w:cs="Times New Roman"/>
          <w:szCs w:val="24"/>
        </w:rPr>
        <w:t xml:space="preserve"> expression of the inhibitory receptors </w:t>
      </w:r>
      <w:r w:rsidRPr="006567BE">
        <w:rPr>
          <w:rFonts w:cs="Times New Roman"/>
          <w:b/>
          <w:bCs/>
          <w:szCs w:val="24"/>
        </w:rPr>
        <w:t>(</w:t>
      </w:r>
      <w:r w:rsidR="00EB194B" w:rsidRPr="006567BE">
        <w:rPr>
          <w:rFonts w:cs="Times New Roman"/>
          <w:b/>
          <w:bCs/>
          <w:szCs w:val="24"/>
        </w:rPr>
        <w:t>D</w:t>
      </w:r>
      <w:r w:rsidRPr="006567BE">
        <w:rPr>
          <w:rFonts w:cs="Times New Roman"/>
          <w:b/>
          <w:bCs/>
          <w:szCs w:val="24"/>
        </w:rPr>
        <w:t xml:space="preserve">) </w:t>
      </w:r>
      <w:r w:rsidRPr="006567BE">
        <w:rPr>
          <w:rFonts w:cs="Times New Roman"/>
          <w:szCs w:val="24"/>
        </w:rPr>
        <w:t xml:space="preserve">KLRG-1, </w:t>
      </w:r>
      <w:r w:rsidRPr="006567BE">
        <w:rPr>
          <w:rFonts w:cs="Times New Roman"/>
          <w:b/>
          <w:bCs/>
          <w:szCs w:val="24"/>
        </w:rPr>
        <w:t>(</w:t>
      </w:r>
      <w:r w:rsidR="00EB194B" w:rsidRPr="006567BE">
        <w:rPr>
          <w:rFonts w:cs="Times New Roman"/>
          <w:b/>
          <w:bCs/>
          <w:szCs w:val="24"/>
        </w:rPr>
        <w:t>E</w:t>
      </w:r>
      <w:r w:rsidRPr="006567BE">
        <w:rPr>
          <w:rFonts w:cs="Times New Roman"/>
          <w:b/>
          <w:bCs/>
          <w:szCs w:val="24"/>
        </w:rPr>
        <w:t>)</w:t>
      </w:r>
      <w:r w:rsidRPr="006567BE">
        <w:rPr>
          <w:rFonts w:cs="Times New Roman"/>
          <w:szCs w:val="24"/>
        </w:rPr>
        <w:t xml:space="preserve"> TIM-3, </w:t>
      </w:r>
      <w:r w:rsidRPr="006567BE">
        <w:rPr>
          <w:rFonts w:cs="Times New Roman"/>
          <w:b/>
          <w:bCs/>
          <w:szCs w:val="24"/>
        </w:rPr>
        <w:t>(</w:t>
      </w:r>
      <w:r w:rsidR="00EB194B" w:rsidRPr="006567BE">
        <w:rPr>
          <w:rFonts w:cs="Times New Roman"/>
          <w:b/>
          <w:bCs/>
          <w:szCs w:val="24"/>
        </w:rPr>
        <w:t>F</w:t>
      </w:r>
      <w:r w:rsidRPr="006567BE">
        <w:rPr>
          <w:rFonts w:cs="Times New Roman"/>
          <w:b/>
          <w:bCs/>
          <w:szCs w:val="24"/>
        </w:rPr>
        <w:t>)</w:t>
      </w:r>
      <w:r w:rsidRPr="006567BE">
        <w:rPr>
          <w:rFonts w:cs="Times New Roman"/>
          <w:szCs w:val="24"/>
        </w:rPr>
        <w:t xml:space="preserve"> LAG-3, </w:t>
      </w:r>
      <w:r w:rsidRPr="006567BE">
        <w:rPr>
          <w:rFonts w:cs="Times New Roman"/>
          <w:b/>
          <w:bCs/>
          <w:szCs w:val="24"/>
        </w:rPr>
        <w:t>(</w:t>
      </w:r>
      <w:r w:rsidR="00EB194B" w:rsidRPr="006567BE">
        <w:rPr>
          <w:rFonts w:cs="Times New Roman"/>
          <w:b/>
          <w:bCs/>
          <w:szCs w:val="24"/>
        </w:rPr>
        <w:t>G</w:t>
      </w:r>
      <w:r w:rsidRPr="006567BE">
        <w:rPr>
          <w:rFonts w:cs="Times New Roman"/>
          <w:b/>
          <w:bCs/>
          <w:szCs w:val="24"/>
        </w:rPr>
        <w:t>)</w:t>
      </w:r>
      <w:r w:rsidRPr="006567BE">
        <w:rPr>
          <w:rFonts w:cs="Times New Roman"/>
          <w:szCs w:val="24"/>
        </w:rPr>
        <w:t xml:space="preserve"> PD-1 and </w:t>
      </w:r>
      <w:r w:rsidRPr="006567BE">
        <w:rPr>
          <w:rFonts w:cs="Times New Roman"/>
          <w:b/>
          <w:bCs/>
          <w:szCs w:val="24"/>
        </w:rPr>
        <w:t>(</w:t>
      </w:r>
      <w:r w:rsidR="00EB194B" w:rsidRPr="006567BE">
        <w:rPr>
          <w:rFonts w:cs="Times New Roman"/>
          <w:b/>
          <w:bCs/>
          <w:szCs w:val="24"/>
        </w:rPr>
        <w:t>H</w:t>
      </w:r>
      <w:r w:rsidRPr="006567BE">
        <w:rPr>
          <w:rFonts w:cs="Times New Roman"/>
          <w:b/>
          <w:bCs/>
          <w:szCs w:val="24"/>
        </w:rPr>
        <w:t>)</w:t>
      </w:r>
      <w:r w:rsidRPr="006567BE">
        <w:rPr>
          <w:rFonts w:cs="Times New Roman"/>
          <w:szCs w:val="24"/>
        </w:rPr>
        <w:t xml:space="preserve"> CD39 on CD4</w:t>
      </w:r>
      <w:r w:rsidRPr="006567BE">
        <w:rPr>
          <w:rFonts w:cs="Times New Roman"/>
          <w:szCs w:val="24"/>
          <w:vertAlign w:val="superscript"/>
        </w:rPr>
        <w:t>+</w:t>
      </w:r>
      <w:r w:rsidRPr="006567BE">
        <w:rPr>
          <w:rFonts w:cs="Times New Roman"/>
          <w:szCs w:val="24"/>
        </w:rPr>
        <w:t xml:space="preserve"> T cells were </w:t>
      </w:r>
      <w:proofErr w:type="spellStart"/>
      <w:r w:rsidRPr="006567BE">
        <w:rPr>
          <w:rFonts w:cs="Times New Roman"/>
          <w:szCs w:val="24"/>
        </w:rPr>
        <w:t>analysed</w:t>
      </w:r>
      <w:proofErr w:type="spellEnd"/>
      <w:r w:rsidRPr="006567BE">
        <w:rPr>
          <w:rFonts w:cs="Times New Roman"/>
          <w:szCs w:val="24"/>
        </w:rPr>
        <w:t xml:space="preserve"> to discriminate the frequencies of exhausted CD4</w:t>
      </w:r>
      <w:r w:rsidRPr="006567BE">
        <w:rPr>
          <w:rFonts w:cs="Times New Roman"/>
          <w:szCs w:val="24"/>
          <w:vertAlign w:val="superscript"/>
        </w:rPr>
        <w:t>+</w:t>
      </w:r>
      <w:r w:rsidRPr="006567BE">
        <w:rPr>
          <w:rFonts w:cs="Times New Roman"/>
          <w:szCs w:val="24"/>
        </w:rPr>
        <w:t xml:space="preserve"> T cells subsets</w:t>
      </w:r>
      <w:r w:rsidR="00EB194B" w:rsidRPr="006567BE">
        <w:rPr>
          <w:rFonts w:cs="Times New Roman"/>
          <w:szCs w:val="24"/>
        </w:rPr>
        <w:t xml:space="preserve"> </w:t>
      </w:r>
      <w:r w:rsidR="00CE16DD" w:rsidRPr="006567BE">
        <w:rPr>
          <w:rFonts w:cs="Times New Roman"/>
          <w:szCs w:val="24"/>
        </w:rPr>
        <w:t xml:space="preserve">based on </w:t>
      </w:r>
      <w:r w:rsidR="00EB194B" w:rsidRPr="006567BE">
        <w:rPr>
          <w:rFonts w:cs="Times New Roman"/>
          <w:szCs w:val="24"/>
        </w:rPr>
        <w:t xml:space="preserve">FMO </w:t>
      </w:r>
      <w:r w:rsidR="00CE16DD" w:rsidRPr="006567BE">
        <w:rPr>
          <w:rFonts w:cs="Times New Roman"/>
          <w:szCs w:val="24"/>
        </w:rPr>
        <w:t>controls</w:t>
      </w:r>
      <w:r w:rsidRPr="006567BE">
        <w:rPr>
          <w:rFonts w:cs="Times New Roman"/>
          <w:szCs w:val="24"/>
        </w:rPr>
        <w:t>.</w:t>
      </w:r>
      <w:r w:rsidRPr="00603A20">
        <w:rPr>
          <w:rFonts w:cs="Times New Roman"/>
          <w:szCs w:val="24"/>
        </w:rPr>
        <w:t xml:space="preserve"> </w:t>
      </w:r>
      <w:r>
        <w:br w:type="page"/>
      </w:r>
    </w:p>
    <w:p w14:paraId="6E6E6F14" w14:textId="473C194A" w:rsidR="00603A20" w:rsidRDefault="00CE16DD" w:rsidP="00CE16DD">
      <w:pPr>
        <w:jc w:val="center"/>
      </w:pPr>
      <w:r>
        <w:rPr>
          <w:noProof/>
        </w:rPr>
        <w:lastRenderedPageBreak/>
        <w:drawing>
          <wp:inline distT="0" distB="0" distL="0" distR="0" wp14:anchorId="67A2F8FB" wp14:editId="3515A2C8">
            <wp:extent cx="4348021" cy="66370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184" cy="664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2BADE" w14:textId="6E64A402" w:rsidR="00603A20" w:rsidRPr="00603A20" w:rsidRDefault="00C14482" w:rsidP="00603A20">
      <w:pPr>
        <w:spacing w:before="0" w:after="0" w:line="360" w:lineRule="auto"/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 xml:space="preserve">Supplementary Figure </w:t>
      </w:r>
      <w:r w:rsidR="00603A20" w:rsidRPr="00603A20">
        <w:rPr>
          <w:rFonts w:cs="Times New Roman"/>
          <w:b/>
          <w:bCs/>
          <w:szCs w:val="24"/>
        </w:rPr>
        <w:t>S2: Co-expression patterns of exhausted associated receptors in the Ghanaian patient cohorts</w:t>
      </w:r>
    </w:p>
    <w:p w14:paraId="4362CE60" w14:textId="130D2841" w:rsidR="00603A20" w:rsidRPr="00603A20" w:rsidRDefault="00603A20" w:rsidP="00603A20">
      <w:pPr>
        <w:spacing w:before="0" w:after="0" w:line="360" w:lineRule="auto"/>
        <w:jc w:val="both"/>
      </w:pPr>
      <w:r w:rsidRPr="00603A20">
        <w:rPr>
          <w:rFonts w:cs="Times New Roman"/>
          <w:szCs w:val="24"/>
        </w:rPr>
        <w:t xml:space="preserve">Co-expression of exhaustion associated receptors in healthy endemic normal subjects (EN, n=44), </w:t>
      </w:r>
      <w:proofErr w:type="spellStart"/>
      <w:r w:rsidRPr="00603A20">
        <w:rPr>
          <w:rFonts w:cs="Times New Roman"/>
          <w:i/>
          <w:iCs/>
          <w:szCs w:val="24"/>
        </w:rPr>
        <w:t>Wuchereria</w:t>
      </w:r>
      <w:proofErr w:type="spellEnd"/>
      <w:r w:rsidRPr="00603A20">
        <w:rPr>
          <w:rFonts w:cs="Times New Roman"/>
          <w:i/>
          <w:iCs/>
          <w:szCs w:val="24"/>
        </w:rPr>
        <w:t xml:space="preserve"> </w:t>
      </w:r>
      <w:proofErr w:type="spellStart"/>
      <w:r w:rsidRPr="00603A20">
        <w:rPr>
          <w:rFonts w:cs="Times New Roman"/>
          <w:i/>
          <w:iCs/>
          <w:szCs w:val="24"/>
        </w:rPr>
        <w:t>bancrofti</w:t>
      </w:r>
      <w:proofErr w:type="spellEnd"/>
      <w:r w:rsidRPr="00603A20">
        <w:rPr>
          <w:rFonts w:cs="Times New Roman"/>
          <w:szCs w:val="24"/>
        </w:rPr>
        <w:t xml:space="preserve">-infected (Wb-inf., n=31) and lymphedema patients (LE, </w:t>
      </w:r>
      <w:r w:rsidRPr="006567BE">
        <w:rPr>
          <w:rFonts w:cs="Times New Roman"/>
          <w:szCs w:val="24"/>
        </w:rPr>
        <w:t>n=2</w:t>
      </w:r>
      <w:r w:rsidR="00CE16DD" w:rsidRPr="006567BE">
        <w:rPr>
          <w:rFonts w:cs="Times New Roman"/>
          <w:szCs w:val="24"/>
        </w:rPr>
        <w:t>6</w:t>
      </w:r>
      <w:r w:rsidRPr="00603A20">
        <w:rPr>
          <w:rFonts w:cs="Times New Roman"/>
          <w:szCs w:val="24"/>
        </w:rPr>
        <w:t xml:space="preserve">) was </w:t>
      </w:r>
      <w:proofErr w:type="spellStart"/>
      <w:r w:rsidRPr="00603A20">
        <w:rPr>
          <w:rFonts w:cs="Times New Roman"/>
          <w:szCs w:val="24"/>
        </w:rPr>
        <w:t>analysed</w:t>
      </w:r>
      <w:proofErr w:type="spellEnd"/>
      <w:r w:rsidRPr="00603A20">
        <w:rPr>
          <w:rFonts w:cs="Times New Roman"/>
          <w:szCs w:val="24"/>
        </w:rPr>
        <w:t xml:space="preserve"> on CD4</w:t>
      </w:r>
      <w:r w:rsidRPr="00603A20">
        <w:rPr>
          <w:rFonts w:cs="Times New Roman"/>
          <w:szCs w:val="24"/>
          <w:vertAlign w:val="superscript"/>
        </w:rPr>
        <w:t>+</w:t>
      </w:r>
      <w:r w:rsidRPr="00603A20">
        <w:rPr>
          <w:rFonts w:cs="Times New Roman"/>
          <w:szCs w:val="24"/>
        </w:rPr>
        <w:t>KLRG1</w:t>
      </w:r>
      <w:r w:rsidRPr="00603A20">
        <w:rPr>
          <w:rFonts w:cs="Times New Roman"/>
          <w:szCs w:val="24"/>
          <w:vertAlign w:val="superscript"/>
        </w:rPr>
        <w:t>+</w:t>
      </w:r>
      <w:r w:rsidRPr="00603A20">
        <w:rPr>
          <w:rFonts w:cs="Times New Roman"/>
          <w:szCs w:val="24"/>
        </w:rPr>
        <w:t>, CD4</w:t>
      </w:r>
      <w:r w:rsidRPr="00603A20">
        <w:rPr>
          <w:rFonts w:cs="Times New Roman"/>
          <w:szCs w:val="24"/>
          <w:vertAlign w:val="superscript"/>
        </w:rPr>
        <w:t>+</w:t>
      </w:r>
      <w:r w:rsidRPr="00603A20">
        <w:rPr>
          <w:rFonts w:cs="Times New Roman"/>
          <w:szCs w:val="24"/>
        </w:rPr>
        <w:t>TIM-3</w:t>
      </w:r>
      <w:r w:rsidRPr="00603A20">
        <w:rPr>
          <w:rFonts w:cs="Times New Roman"/>
          <w:szCs w:val="24"/>
          <w:vertAlign w:val="superscript"/>
        </w:rPr>
        <w:t>+</w:t>
      </w:r>
      <w:r w:rsidRPr="00603A20">
        <w:rPr>
          <w:rFonts w:cs="Times New Roman"/>
          <w:szCs w:val="24"/>
        </w:rPr>
        <w:t>, CD4</w:t>
      </w:r>
      <w:r w:rsidRPr="00603A20">
        <w:rPr>
          <w:rFonts w:cs="Times New Roman"/>
          <w:szCs w:val="24"/>
          <w:vertAlign w:val="superscript"/>
        </w:rPr>
        <w:t>+</w:t>
      </w:r>
      <w:r w:rsidRPr="00603A20">
        <w:rPr>
          <w:rFonts w:cs="Times New Roman"/>
          <w:szCs w:val="24"/>
        </w:rPr>
        <w:t>LAG-3</w:t>
      </w:r>
      <w:r w:rsidRPr="00603A20">
        <w:rPr>
          <w:rFonts w:cs="Times New Roman"/>
          <w:szCs w:val="24"/>
          <w:vertAlign w:val="superscript"/>
        </w:rPr>
        <w:t>+</w:t>
      </w:r>
      <w:r w:rsidRPr="00603A20">
        <w:rPr>
          <w:rFonts w:cs="Times New Roman"/>
          <w:szCs w:val="24"/>
        </w:rPr>
        <w:t>, CD4</w:t>
      </w:r>
      <w:r w:rsidRPr="00603A20">
        <w:rPr>
          <w:rFonts w:cs="Times New Roman"/>
          <w:szCs w:val="24"/>
          <w:vertAlign w:val="superscript"/>
        </w:rPr>
        <w:t>+</w:t>
      </w:r>
      <w:r w:rsidRPr="00603A20">
        <w:rPr>
          <w:rFonts w:cs="Times New Roman"/>
          <w:szCs w:val="24"/>
        </w:rPr>
        <w:t>PD-1</w:t>
      </w:r>
      <w:r w:rsidRPr="00603A20">
        <w:rPr>
          <w:rFonts w:cs="Times New Roman"/>
          <w:szCs w:val="24"/>
          <w:vertAlign w:val="superscript"/>
        </w:rPr>
        <w:t>+</w:t>
      </w:r>
      <w:r w:rsidRPr="00603A20">
        <w:rPr>
          <w:rFonts w:cs="Times New Roman"/>
          <w:szCs w:val="24"/>
        </w:rPr>
        <w:t xml:space="preserve"> and CD4</w:t>
      </w:r>
      <w:r w:rsidRPr="00603A20">
        <w:rPr>
          <w:rFonts w:cs="Times New Roman"/>
          <w:szCs w:val="24"/>
          <w:vertAlign w:val="superscript"/>
        </w:rPr>
        <w:t>+</w:t>
      </w:r>
      <w:r w:rsidRPr="00603A20">
        <w:rPr>
          <w:rFonts w:cs="Times New Roman"/>
          <w:szCs w:val="24"/>
        </w:rPr>
        <w:t>CD39</w:t>
      </w:r>
      <w:r w:rsidRPr="00603A20">
        <w:rPr>
          <w:rFonts w:cs="Times New Roman"/>
          <w:szCs w:val="24"/>
          <w:vertAlign w:val="superscript"/>
        </w:rPr>
        <w:t>+</w:t>
      </w:r>
      <w:r w:rsidRPr="00603A20">
        <w:rPr>
          <w:rFonts w:cs="Times New Roman"/>
          <w:szCs w:val="24"/>
        </w:rPr>
        <w:t xml:space="preserve"> T cell subsets using Boolean gating</w:t>
      </w:r>
      <w:r>
        <w:rPr>
          <w:rFonts w:cs="Times New Roman"/>
          <w:szCs w:val="24"/>
        </w:rPr>
        <w:t>.</w:t>
      </w:r>
    </w:p>
    <w:sectPr w:rsidR="00603A20" w:rsidRPr="00603A20" w:rsidSect="006567BE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D9B52" w14:textId="77777777" w:rsidR="00F749A4" w:rsidRDefault="00F749A4" w:rsidP="00117666">
      <w:pPr>
        <w:spacing w:after="0"/>
      </w:pPr>
      <w:r>
        <w:separator/>
      </w:r>
    </w:p>
  </w:endnote>
  <w:endnote w:type="continuationSeparator" w:id="0">
    <w:p w14:paraId="0496983A" w14:textId="77777777" w:rsidR="00F749A4" w:rsidRDefault="00F749A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72C45B" w14:textId="77777777" w:rsidR="00F749A4" w:rsidRDefault="00F749A4" w:rsidP="00117666">
      <w:pPr>
        <w:spacing w:after="0"/>
      </w:pPr>
      <w:r>
        <w:separator/>
      </w:r>
    </w:p>
  </w:footnote>
  <w:footnote w:type="continuationSeparator" w:id="0">
    <w:p w14:paraId="4E30A93F" w14:textId="77777777" w:rsidR="00F749A4" w:rsidRDefault="00F749A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07EE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03A20"/>
    <w:rsid w:val="006375C7"/>
    <w:rsid w:val="00654E8F"/>
    <w:rsid w:val="006567BE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B743A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7587F"/>
    <w:rsid w:val="00AA4D24"/>
    <w:rsid w:val="00AB6715"/>
    <w:rsid w:val="00B11866"/>
    <w:rsid w:val="00B1671E"/>
    <w:rsid w:val="00B25EB8"/>
    <w:rsid w:val="00B37F4D"/>
    <w:rsid w:val="00C14482"/>
    <w:rsid w:val="00C52A7B"/>
    <w:rsid w:val="00C56BAF"/>
    <w:rsid w:val="00C679AA"/>
    <w:rsid w:val="00C75972"/>
    <w:rsid w:val="00CD066B"/>
    <w:rsid w:val="00CE16DD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B194B"/>
    <w:rsid w:val="00EC090A"/>
    <w:rsid w:val="00ED20B5"/>
    <w:rsid w:val="00EF459B"/>
    <w:rsid w:val="00F46900"/>
    <w:rsid w:val="00F61D89"/>
    <w:rsid w:val="00F74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2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Claire Percival</cp:lastModifiedBy>
  <cp:revision>4</cp:revision>
  <cp:lastPrinted>2013-10-03T12:51:00Z</cp:lastPrinted>
  <dcterms:created xsi:type="dcterms:W3CDTF">2021-12-01T11:39:00Z</dcterms:created>
  <dcterms:modified xsi:type="dcterms:W3CDTF">2021-12-15T14:35:00Z</dcterms:modified>
</cp:coreProperties>
</file>