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E9B6F" w14:textId="11E1B964" w:rsidR="008D1AEA" w:rsidRDefault="00B37046">
      <w:pPr>
        <w:pBdr>
          <w:top w:val="nil"/>
          <w:left w:val="nil"/>
          <w:bottom w:val="nil"/>
          <w:right w:val="nil"/>
          <w:between w:val="nil"/>
        </w:pBdr>
        <w:spacing w:before="240" w:after="120"/>
        <w:jc w:val="center"/>
        <w:rPr>
          <w:b/>
          <w:i/>
          <w:color w:val="000000"/>
          <w:sz w:val="32"/>
          <w:szCs w:val="32"/>
        </w:rPr>
      </w:pPr>
      <w:r w:rsidRPr="00DE0484">
        <w:rPr>
          <w:b/>
          <w:i/>
          <w:color w:val="000000"/>
          <w:sz w:val="32"/>
          <w:szCs w:val="32"/>
        </w:rPr>
        <w:t>Supplementary Material</w:t>
      </w:r>
    </w:p>
    <w:p w14:paraId="1B91F0FB" w14:textId="77777777" w:rsidR="00037FDB" w:rsidRPr="00DE0484" w:rsidRDefault="00037FDB">
      <w:pPr>
        <w:pBdr>
          <w:top w:val="nil"/>
          <w:left w:val="nil"/>
          <w:bottom w:val="nil"/>
          <w:right w:val="nil"/>
          <w:between w:val="nil"/>
        </w:pBdr>
        <w:spacing w:before="240" w:after="120"/>
        <w:jc w:val="center"/>
        <w:rPr>
          <w:i/>
          <w:color w:val="000000"/>
          <w:sz w:val="32"/>
          <w:szCs w:val="32"/>
        </w:rPr>
      </w:pPr>
    </w:p>
    <w:p w14:paraId="5CBBE35D" w14:textId="77777777" w:rsidR="00EF4FCA" w:rsidRDefault="00EF4FCA" w:rsidP="00EF4FCA">
      <w:pPr>
        <w:spacing w:before="0" w:after="0" w:line="276" w:lineRule="auto"/>
        <w:rPr>
          <w:b/>
          <w:color w:val="222222"/>
          <w:highlight w:val="white"/>
        </w:rPr>
      </w:pPr>
      <w:r w:rsidRPr="00DE0484">
        <w:rPr>
          <w:b/>
          <w:color w:val="222222"/>
          <w:highlight w:val="white"/>
        </w:rPr>
        <w:t xml:space="preserve">Determining the Precipitation Correction Factor (PCF) </w:t>
      </w:r>
    </w:p>
    <w:p w14:paraId="2F0E4EC9" w14:textId="77777777" w:rsidR="00EF4FCA" w:rsidRPr="00DE0484" w:rsidRDefault="00EF4FCA" w:rsidP="00EF4FCA">
      <w:pPr>
        <w:spacing w:before="0" w:after="0" w:line="276" w:lineRule="auto"/>
        <w:rPr>
          <w:b/>
          <w:color w:val="222222"/>
          <w:highlight w:val="white"/>
        </w:rPr>
      </w:pPr>
    </w:p>
    <w:p w14:paraId="52F1535A" w14:textId="5EE83AB0" w:rsidR="00EF4FCA" w:rsidRPr="00DE0484" w:rsidRDefault="00EF4FCA" w:rsidP="00EF4FCA">
      <w:pPr>
        <w:spacing w:before="0" w:after="0" w:line="276" w:lineRule="auto"/>
        <w:rPr>
          <w:color w:val="222222"/>
          <w:highlight w:val="white"/>
        </w:rPr>
      </w:pPr>
      <w:r w:rsidRPr="00DE0484">
        <w:rPr>
          <w:color w:val="222222"/>
          <w:highlight w:val="white"/>
        </w:rPr>
        <w:t xml:space="preserve">For a 323-glacier subset of geographically and </w:t>
      </w:r>
      <w:r w:rsidR="00F41F3B" w:rsidRPr="00DE0484">
        <w:rPr>
          <w:color w:val="222222"/>
          <w:highlight w:val="white"/>
        </w:rPr>
        <w:t>gynomorphi</w:t>
      </w:r>
      <w:r w:rsidR="00F41F3B">
        <w:rPr>
          <w:color w:val="222222"/>
          <w:highlight w:val="white"/>
        </w:rPr>
        <w:t>ca</w:t>
      </w:r>
      <w:r w:rsidR="00F41F3B" w:rsidRPr="00DE0484">
        <w:rPr>
          <w:color w:val="222222"/>
          <w:highlight w:val="white"/>
        </w:rPr>
        <w:t>lly</w:t>
      </w:r>
      <w:r w:rsidR="003132BE">
        <w:rPr>
          <w:color w:val="222222"/>
          <w:highlight w:val="white"/>
        </w:rPr>
        <w:t xml:space="preserve"> </w:t>
      </w:r>
      <w:r w:rsidRPr="00DE0484">
        <w:rPr>
          <w:color w:val="222222"/>
          <w:highlight w:val="white"/>
        </w:rPr>
        <w:t xml:space="preserve">representative glaciers, we calibrated the model’s mass balance to within 10% of the geodetic mass balance values of Shean et al. (2020) by adjusting the precipitation.  The 323 calibrated PCFs then formed the basis of the calculation of PCF values for all 13,912 modeled </w:t>
      </w:r>
      <w:r w:rsidR="00C970EE">
        <w:rPr>
          <w:color w:val="222222"/>
          <w:highlight w:val="white"/>
        </w:rPr>
        <w:t>Upper Indus Basin (</w:t>
      </w:r>
      <w:r w:rsidRPr="00DE0484">
        <w:rPr>
          <w:color w:val="222222"/>
          <w:highlight w:val="white"/>
        </w:rPr>
        <w:t>UIB</w:t>
      </w:r>
      <w:r w:rsidR="00C970EE">
        <w:rPr>
          <w:color w:val="222222"/>
          <w:highlight w:val="white"/>
        </w:rPr>
        <w:t>)</w:t>
      </w:r>
      <w:r w:rsidRPr="00DE0484">
        <w:rPr>
          <w:color w:val="222222"/>
          <w:highlight w:val="white"/>
        </w:rPr>
        <w:t xml:space="preserve"> glaciers based on the PCFs for calibrated glaciers within 20 km (or, if this number was fewer than 10, the 10 closest glaciers).  We chose this algorithm out of the nine considered because it minimized both the mean and median magnitude of calibrated</w:t>
      </w:r>
      <w:r w:rsidR="003132BE">
        <w:rPr>
          <w:color w:val="222222"/>
          <w:highlight w:val="white"/>
        </w:rPr>
        <w:t xml:space="preserve"> </w:t>
      </w:r>
      <w:r w:rsidR="00D0390C">
        <w:rPr>
          <w:color w:val="222222"/>
          <w:highlight w:val="white"/>
        </w:rPr>
        <w:t>–</w:t>
      </w:r>
      <w:r w:rsidR="003132BE">
        <w:rPr>
          <w:color w:val="222222"/>
          <w:highlight w:val="white"/>
        </w:rPr>
        <w:t xml:space="preserve"> </w:t>
      </w:r>
      <w:r w:rsidRPr="00DE0484">
        <w:rPr>
          <w:color w:val="222222"/>
          <w:highlight w:val="white"/>
        </w:rPr>
        <w:t>calculated PCF difference for the 323 glaciers in the calibration subset.</w:t>
      </w:r>
    </w:p>
    <w:p w14:paraId="0F1797D6" w14:textId="77777777" w:rsidR="00EF4FCA" w:rsidRPr="00DE0484" w:rsidRDefault="00EF4FCA" w:rsidP="00EF4FCA">
      <w:pPr>
        <w:spacing w:before="0" w:after="0" w:line="276" w:lineRule="auto"/>
        <w:rPr>
          <w:color w:val="222222"/>
          <w:highlight w:val="white"/>
        </w:rPr>
      </w:pPr>
    </w:p>
    <w:p w14:paraId="1728B50D" w14:textId="77777777" w:rsidR="00EF4FCA" w:rsidRPr="00DE0484" w:rsidRDefault="00EF4FCA" w:rsidP="00EF4FCA">
      <w:pPr>
        <w:spacing w:before="0" w:after="0" w:line="276" w:lineRule="auto"/>
        <w:rPr>
          <w:color w:val="222222"/>
          <w:highlight w:val="white"/>
        </w:rPr>
      </w:pPr>
    </w:p>
    <w:tbl>
      <w:tblPr>
        <w:tblStyle w:val="a"/>
        <w:tblW w:w="9776" w:type="dxa"/>
        <w:tblBorders>
          <w:top w:val="nil"/>
          <w:left w:val="nil"/>
          <w:bottom w:val="nil"/>
          <w:right w:val="nil"/>
          <w:insideH w:val="nil"/>
          <w:insideV w:val="nil"/>
        </w:tblBorders>
        <w:tblLayout w:type="fixed"/>
        <w:tblLook w:val="0600" w:firstRow="0" w:lastRow="0" w:firstColumn="0" w:lastColumn="0" w:noHBand="1" w:noVBand="1"/>
      </w:tblPr>
      <w:tblGrid>
        <w:gridCol w:w="986"/>
        <w:gridCol w:w="779"/>
        <w:gridCol w:w="948"/>
        <w:gridCol w:w="948"/>
        <w:gridCol w:w="790"/>
        <w:gridCol w:w="948"/>
        <w:gridCol w:w="960"/>
        <w:gridCol w:w="972"/>
        <w:gridCol w:w="1241"/>
        <w:gridCol w:w="1204"/>
      </w:tblGrid>
      <w:tr w:rsidR="00EF4FCA" w:rsidRPr="00DE0484" w14:paraId="685F120C" w14:textId="77777777" w:rsidTr="00726B30">
        <w:trPr>
          <w:trHeight w:val="1790"/>
        </w:trPr>
        <w:tc>
          <w:tcPr>
            <w:tcW w:w="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67211" w14:textId="77777777" w:rsidR="00EF4FCA" w:rsidRPr="00DE0484" w:rsidRDefault="00EF4FCA" w:rsidP="00726B30">
            <w:pPr>
              <w:spacing w:before="0" w:after="0" w:line="276" w:lineRule="auto"/>
              <w:rPr>
                <w:rFonts w:eastAsia="Calibri"/>
                <w:b/>
                <w:color w:val="222222"/>
                <w:sz w:val="18"/>
                <w:szCs w:val="18"/>
                <w:highlight w:val="white"/>
              </w:rPr>
            </w:pPr>
            <w:r w:rsidRPr="00DE0484">
              <w:rPr>
                <w:rFonts w:eastAsia="Calibri"/>
                <w:b/>
                <w:color w:val="222222"/>
                <w:sz w:val="18"/>
                <w:szCs w:val="18"/>
                <w:highlight w:val="white"/>
              </w:rPr>
              <w:t>calibrated - calculated PCFs</w:t>
            </w:r>
          </w:p>
        </w:tc>
        <w:tc>
          <w:tcPr>
            <w:tcW w:w="7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42AE72" w14:textId="77777777" w:rsidR="00EF4FCA" w:rsidRPr="00DE0484" w:rsidRDefault="00EF4FCA" w:rsidP="00726B30">
            <w:pPr>
              <w:spacing w:before="0" w:after="0" w:line="276" w:lineRule="auto"/>
              <w:rPr>
                <w:rFonts w:eastAsia="Calibri"/>
                <w:b/>
                <w:color w:val="222222"/>
                <w:sz w:val="18"/>
                <w:szCs w:val="18"/>
                <w:highlight w:val="white"/>
              </w:rPr>
            </w:pPr>
            <w:r w:rsidRPr="00DE0484">
              <w:rPr>
                <w:rFonts w:eastAsia="Calibri"/>
                <w:b/>
                <w:color w:val="222222"/>
                <w:sz w:val="18"/>
                <w:szCs w:val="18"/>
                <w:highlight w:val="white"/>
              </w:rPr>
              <w:t>5 closest</w:t>
            </w:r>
          </w:p>
        </w:tc>
        <w:tc>
          <w:tcPr>
            <w:tcW w:w="94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2B3510" w14:textId="77777777" w:rsidR="00EF4FCA" w:rsidRPr="00DE0484" w:rsidRDefault="00EF4FCA" w:rsidP="00726B30">
            <w:pPr>
              <w:spacing w:before="0" w:after="0" w:line="276" w:lineRule="auto"/>
              <w:rPr>
                <w:rFonts w:eastAsia="Calibri"/>
                <w:b/>
                <w:color w:val="222222"/>
                <w:sz w:val="18"/>
                <w:szCs w:val="18"/>
                <w:highlight w:val="white"/>
              </w:rPr>
            </w:pPr>
            <w:r w:rsidRPr="00DE0484">
              <w:rPr>
                <w:rFonts w:eastAsia="Calibri"/>
                <w:b/>
                <w:color w:val="222222"/>
                <w:sz w:val="18"/>
                <w:szCs w:val="18"/>
                <w:highlight w:val="white"/>
              </w:rPr>
              <w:t>20 km radius with a minimum of 5 glaciers</w:t>
            </w:r>
          </w:p>
        </w:tc>
        <w:tc>
          <w:tcPr>
            <w:tcW w:w="94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9F84FF" w14:textId="77777777" w:rsidR="00EF4FCA" w:rsidRPr="00DE0484" w:rsidRDefault="00EF4FCA" w:rsidP="00726B30">
            <w:pPr>
              <w:spacing w:before="0" w:after="0" w:line="276" w:lineRule="auto"/>
              <w:rPr>
                <w:rFonts w:eastAsia="Calibri"/>
                <w:b/>
                <w:color w:val="222222"/>
                <w:sz w:val="18"/>
                <w:szCs w:val="18"/>
                <w:highlight w:val="white"/>
              </w:rPr>
            </w:pPr>
            <w:r w:rsidRPr="00DE0484">
              <w:rPr>
                <w:rFonts w:eastAsia="Calibri"/>
                <w:b/>
                <w:color w:val="222222"/>
                <w:sz w:val="18"/>
                <w:szCs w:val="18"/>
                <w:highlight w:val="white"/>
              </w:rPr>
              <w:t>15 km radius with a minimum of 5 glaciers</w:t>
            </w:r>
          </w:p>
        </w:tc>
        <w:tc>
          <w:tcPr>
            <w:tcW w:w="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BE10D6" w14:textId="77777777" w:rsidR="00EF4FCA" w:rsidRPr="00DE0484" w:rsidRDefault="00EF4FCA" w:rsidP="00726B30">
            <w:pPr>
              <w:spacing w:before="0" w:after="0" w:line="276" w:lineRule="auto"/>
              <w:rPr>
                <w:rFonts w:eastAsia="Calibri"/>
                <w:b/>
                <w:color w:val="222222"/>
                <w:sz w:val="18"/>
                <w:szCs w:val="18"/>
                <w:highlight w:val="white"/>
              </w:rPr>
            </w:pPr>
            <w:r w:rsidRPr="00DE0484">
              <w:rPr>
                <w:rFonts w:eastAsia="Calibri"/>
                <w:b/>
                <w:color w:val="222222"/>
                <w:sz w:val="18"/>
                <w:szCs w:val="18"/>
                <w:highlight w:val="white"/>
              </w:rPr>
              <w:t>7 closest</w:t>
            </w:r>
          </w:p>
        </w:tc>
        <w:tc>
          <w:tcPr>
            <w:tcW w:w="94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98D8A6" w14:textId="77777777" w:rsidR="00EF4FCA" w:rsidRPr="00DE0484" w:rsidRDefault="00EF4FCA" w:rsidP="00726B30">
            <w:pPr>
              <w:spacing w:before="0" w:after="0" w:line="276" w:lineRule="auto"/>
              <w:rPr>
                <w:rFonts w:eastAsia="Calibri"/>
                <w:b/>
                <w:color w:val="222222"/>
                <w:sz w:val="18"/>
                <w:szCs w:val="18"/>
                <w:highlight w:val="white"/>
              </w:rPr>
            </w:pPr>
            <w:r w:rsidRPr="00DE0484">
              <w:rPr>
                <w:rFonts w:eastAsia="Calibri"/>
                <w:b/>
                <w:color w:val="222222"/>
                <w:sz w:val="18"/>
                <w:szCs w:val="18"/>
                <w:highlight w:val="white"/>
              </w:rPr>
              <w:t>20 km radius with a minimum of 7 glaciers</w:t>
            </w:r>
          </w:p>
        </w:tc>
        <w:tc>
          <w:tcPr>
            <w:tcW w:w="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BC629F" w14:textId="77777777" w:rsidR="00EF4FCA" w:rsidRPr="00DE0484" w:rsidRDefault="00EF4FCA" w:rsidP="00726B30">
            <w:pPr>
              <w:spacing w:before="0" w:after="0" w:line="276" w:lineRule="auto"/>
              <w:rPr>
                <w:rFonts w:eastAsia="Calibri"/>
                <w:b/>
                <w:color w:val="222222"/>
                <w:sz w:val="18"/>
                <w:szCs w:val="18"/>
                <w:highlight w:val="white"/>
              </w:rPr>
            </w:pPr>
            <w:r w:rsidRPr="00DE0484">
              <w:rPr>
                <w:rFonts w:eastAsia="Calibri"/>
                <w:b/>
                <w:color w:val="222222"/>
                <w:sz w:val="18"/>
                <w:szCs w:val="18"/>
                <w:highlight w:val="white"/>
              </w:rPr>
              <w:t>15 km radius with a minimum of 7 glaciers</w:t>
            </w:r>
          </w:p>
        </w:tc>
        <w:tc>
          <w:tcPr>
            <w:tcW w:w="97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205397" w14:textId="77777777" w:rsidR="00EF4FCA" w:rsidRPr="00DE0484" w:rsidRDefault="00EF4FCA" w:rsidP="00726B30">
            <w:pPr>
              <w:spacing w:before="0" w:after="0" w:line="276" w:lineRule="auto"/>
              <w:rPr>
                <w:rFonts w:eastAsia="Calibri"/>
                <w:b/>
                <w:color w:val="222222"/>
                <w:sz w:val="18"/>
                <w:szCs w:val="18"/>
                <w:highlight w:val="white"/>
              </w:rPr>
            </w:pPr>
            <w:r w:rsidRPr="00DE0484">
              <w:rPr>
                <w:rFonts w:eastAsia="Calibri"/>
                <w:b/>
                <w:color w:val="222222"/>
                <w:sz w:val="18"/>
                <w:szCs w:val="18"/>
                <w:highlight w:val="white"/>
              </w:rPr>
              <w:t>10 closest</w:t>
            </w:r>
          </w:p>
        </w:tc>
        <w:tc>
          <w:tcPr>
            <w:tcW w:w="12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339BEE" w14:textId="77777777" w:rsidR="00EF4FCA" w:rsidRPr="00DE0484" w:rsidRDefault="00EF4FCA" w:rsidP="00726B30">
            <w:pPr>
              <w:spacing w:before="0" w:after="0" w:line="276" w:lineRule="auto"/>
              <w:rPr>
                <w:rFonts w:eastAsia="Calibri"/>
                <w:b/>
                <w:color w:val="222222"/>
                <w:sz w:val="18"/>
                <w:szCs w:val="18"/>
                <w:highlight w:val="white"/>
              </w:rPr>
            </w:pPr>
            <w:r w:rsidRPr="00DE0484">
              <w:rPr>
                <w:rFonts w:eastAsia="Calibri"/>
                <w:b/>
                <w:color w:val="222222"/>
                <w:sz w:val="18"/>
                <w:szCs w:val="18"/>
                <w:highlight w:val="white"/>
              </w:rPr>
              <w:t>20 km radius with a minimum of 10 glaciers</w:t>
            </w:r>
          </w:p>
        </w:tc>
        <w:tc>
          <w:tcPr>
            <w:tcW w:w="12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F1A54C" w14:textId="77777777" w:rsidR="00EF4FCA" w:rsidRPr="00DE0484" w:rsidRDefault="00EF4FCA" w:rsidP="00726B30">
            <w:pPr>
              <w:spacing w:before="0" w:after="0" w:line="276" w:lineRule="auto"/>
              <w:rPr>
                <w:rFonts w:eastAsia="Calibri"/>
                <w:b/>
                <w:color w:val="222222"/>
                <w:sz w:val="18"/>
                <w:szCs w:val="18"/>
                <w:highlight w:val="white"/>
              </w:rPr>
            </w:pPr>
            <w:r w:rsidRPr="00DE0484">
              <w:rPr>
                <w:rFonts w:eastAsia="Calibri"/>
                <w:b/>
                <w:color w:val="222222"/>
                <w:sz w:val="18"/>
                <w:szCs w:val="18"/>
                <w:highlight w:val="white"/>
              </w:rPr>
              <w:t>15 km radius with a minimum of 10 glaciers</w:t>
            </w:r>
          </w:p>
        </w:tc>
      </w:tr>
      <w:tr w:rsidR="00EF4FCA" w:rsidRPr="00DE0484" w14:paraId="61F96E77" w14:textId="77777777" w:rsidTr="00726B30">
        <w:trPr>
          <w:trHeight w:val="575"/>
        </w:trPr>
        <w:tc>
          <w:tcPr>
            <w:tcW w:w="9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445477" w14:textId="77777777" w:rsidR="00EF4FCA" w:rsidRPr="00DE0484" w:rsidRDefault="00EF4FCA" w:rsidP="00726B30">
            <w:pPr>
              <w:spacing w:before="0" w:after="0" w:line="276" w:lineRule="auto"/>
              <w:rPr>
                <w:rFonts w:eastAsia="Calibri"/>
                <w:b/>
                <w:color w:val="222222"/>
                <w:sz w:val="18"/>
                <w:szCs w:val="18"/>
                <w:highlight w:val="white"/>
              </w:rPr>
            </w:pPr>
            <w:r w:rsidRPr="00DE0484">
              <w:rPr>
                <w:rFonts w:eastAsia="Calibri"/>
                <w:b/>
                <w:color w:val="222222"/>
                <w:sz w:val="18"/>
                <w:szCs w:val="18"/>
                <w:highlight w:val="white"/>
              </w:rPr>
              <w:t>mean</w:t>
            </w:r>
          </w:p>
        </w:tc>
        <w:tc>
          <w:tcPr>
            <w:tcW w:w="778" w:type="dxa"/>
            <w:tcBorders>
              <w:top w:val="nil"/>
              <w:left w:val="nil"/>
              <w:bottom w:val="single" w:sz="8" w:space="0" w:color="000000"/>
              <w:right w:val="single" w:sz="8" w:space="0" w:color="000000"/>
            </w:tcBorders>
            <w:tcMar>
              <w:top w:w="100" w:type="dxa"/>
              <w:left w:w="100" w:type="dxa"/>
              <w:bottom w:w="100" w:type="dxa"/>
              <w:right w:w="100" w:type="dxa"/>
            </w:tcMar>
          </w:tcPr>
          <w:p w14:paraId="3269279B"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0.0207</w:t>
            </w:r>
          </w:p>
        </w:tc>
        <w:tc>
          <w:tcPr>
            <w:tcW w:w="948" w:type="dxa"/>
            <w:tcBorders>
              <w:top w:val="nil"/>
              <w:left w:val="nil"/>
              <w:bottom w:val="single" w:sz="8" w:space="0" w:color="000000"/>
              <w:right w:val="single" w:sz="8" w:space="0" w:color="000000"/>
            </w:tcBorders>
            <w:tcMar>
              <w:top w:w="100" w:type="dxa"/>
              <w:left w:w="100" w:type="dxa"/>
              <w:bottom w:w="100" w:type="dxa"/>
              <w:right w:w="100" w:type="dxa"/>
            </w:tcMar>
          </w:tcPr>
          <w:p w14:paraId="07213F00"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0.0338</w:t>
            </w:r>
          </w:p>
        </w:tc>
        <w:tc>
          <w:tcPr>
            <w:tcW w:w="948" w:type="dxa"/>
            <w:tcBorders>
              <w:top w:val="nil"/>
              <w:left w:val="nil"/>
              <w:bottom w:val="single" w:sz="8" w:space="0" w:color="000000"/>
              <w:right w:val="single" w:sz="8" w:space="0" w:color="000000"/>
            </w:tcBorders>
            <w:tcMar>
              <w:top w:w="100" w:type="dxa"/>
              <w:left w:w="100" w:type="dxa"/>
              <w:bottom w:w="100" w:type="dxa"/>
              <w:right w:w="100" w:type="dxa"/>
            </w:tcMar>
          </w:tcPr>
          <w:p w14:paraId="217AA6BD"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0.1387</w:t>
            </w:r>
          </w:p>
        </w:tc>
        <w:tc>
          <w:tcPr>
            <w:tcW w:w="790" w:type="dxa"/>
            <w:tcBorders>
              <w:top w:val="nil"/>
              <w:left w:val="nil"/>
              <w:bottom w:val="single" w:sz="8" w:space="0" w:color="000000"/>
              <w:right w:val="single" w:sz="8" w:space="0" w:color="000000"/>
            </w:tcBorders>
            <w:tcMar>
              <w:top w:w="100" w:type="dxa"/>
              <w:left w:w="100" w:type="dxa"/>
              <w:bottom w:w="100" w:type="dxa"/>
              <w:right w:w="100" w:type="dxa"/>
            </w:tcMar>
          </w:tcPr>
          <w:p w14:paraId="795B5BED"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0.0317</w:t>
            </w:r>
          </w:p>
        </w:tc>
        <w:tc>
          <w:tcPr>
            <w:tcW w:w="948" w:type="dxa"/>
            <w:tcBorders>
              <w:top w:val="nil"/>
              <w:left w:val="nil"/>
              <w:bottom w:val="single" w:sz="8" w:space="0" w:color="000000"/>
              <w:right w:val="single" w:sz="8" w:space="0" w:color="000000"/>
            </w:tcBorders>
            <w:tcMar>
              <w:top w:w="100" w:type="dxa"/>
              <w:left w:w="100" w:type="dxa"/>
              <w:bottom w:w="100" w:type="dxa"/>
              <w:right w:w="100" w:type="dxa"/>
            </w:tcMar>
          </w:tcPr>
          <w:p w14:paraId="40E286F0"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0.0164</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tcPr>
          <w:p w14:paraId="4D5F7822"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0.1008</w:t>
            </w:r>
          </w:p>
        </w:tc>
        <w:tc>
          <w:tcPr>
            <w:tcW w:w="972" w:type="dxa"/>
            <w:tcBorders>
              <w:top w:val="nil"/>
              <w:left w:val="nil"/>
              <w:bottom w:val="single" w:sz="8" w:space="0" w:color="000000"/>
              <w:right w:val="single" w:sz="8" w:space="0" w:color="000000"/>
            </w:tcBorders>
            <w:tcMar>
              <w:top w:w="100" w:type="dxa"/>
              <w:left w:w="100" w:type="dxa"/>
              <w:bottom w:w="100" w:type="dxa"/>
              <w:right w:w="100" w:type="dxa"/>
            </w:tcMar>
          </w:tcPr>
          <w:p w14:paraId="62908D1C"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0.0291</w:t>
            </w:r>
          </w:p>
        </w:tc>
        <w:tc>
          <w:tcPr>
            <w:tcW w:w="1240" w:type="dxa"/>
            <w:tcBorders>
              <w:top w:val="nil"/>
              <w:left w:val="nil"/>
              <w:bottom w:val="single" w:sz="8" w:space="0" w:color="000000"/>
              <w:right w:val="single" w:sz="8" w:space="0" w:color="000000"/>
            </w:tcBorders>
            <w:tcMar>
              <w:top w:w="100" w:type="dxa"/>
              <w:left w:w="100" w:type="dxa"/>
              <w:bottom w:w="100" w:type="dxa"/>
              <w:right w:w="100" w:type="dxa"/>
            </w:tcMar>
          </w:tcPr>
          <w:p w14:paraId="5E82666D"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0.0135</w:t>
            </w:r>
          </w:p>
        </w:tc>
        <w:tc>
          <w:tcPr>
            <w:tcW w:w="1203" w:type="dxa"/>
            <w:tcBorders>
              <w:top w:val="nil"/>
              <w:left w:val="nil"/>
              <w:bottom w:val="single" w:sz="8" w:space="0" w:color="000000"/>
              <w:right w:val="single" w:sz="8" w:space="0" w:color="000000"/>
            </w:tcBorders>
            <w:tcMar>
              <w:top w:w="100" w:type="dxa"/>
              <w:left w:w="100" w:type="dxa"/>
              <w:bottom w:w="100" w:type="dxa"/>
              <w:right w:w="100" w:type="dxa"/>
            </w:tcMar>
          </w:tcPr>
          <w:p w14:paraId="4BA05C15"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0.0533</w:t>
            </w:r>
          </w:p>
        </w:tc>
      </w:tr>
      <w:tr w:rsidR="00EF4FCA" w:rsidRPr="00DE0484" w14:paraId="31A4FE33" w14:textId="77777777" w:rsidTr="00726B30">
        <w:trPr>
          <w:trHeight w:val="575"/>
        </w:trPr>
        <w:tc>
          <w:tcPr>
            <w:tcW w:w="98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0FA718" w14:textId="77777777" w:rsidR="00EF4FCA" w:rsidRPr="00DE0484" w:rsidRDefault="00EF4FCA" w:rsidP="00726B30">
            <w:pPr>
              <w:spacing w:before="0" w:after="0" w:line="276" w:lineRule="auto"/>
              <w:rPr>
                <w:rFonts w:eastAsia="Calibri"/>
                <w:b/>
                <w:color w:val="222222"/>
                <w:sz w:val="18"/>
                <w:szCs w:val="18"/>
                <w:highlight w:val="white"/>
              </w:rPr>
            </w:pPr>
            <w:r w:rsidRPr="00DE0484">
              <w:rPr>
                <w:rFonts w:eastAsia="Calibri"/>
                <w:b/>
                <w:color w:val="222222"/>
                <w:sz w:val="18"/>
                <w:szCs w:val="18"/>
                <w:highlight w:val="white"/>
              </w:rPr>
              <w:t>median</w:t>
            </w:r>
          </w:p>
        </w:tc>
        <w:tc>
          <w:tcPr>
            <w:tcW w:w="778" w:type="dxa"/>
            <w:tcBorders>
              <w:top w:val="nil"/>
              <w:left w:val="nil"/>
              <w:bottom w:val="single" w:sz="8" w:space="0" w:color="000000"/>
              <w:right w:val="single" w:sz="8" w:space="0" w:color="000000"/>
            </w:tcBorders>
            <w:tcMar>
              <w:top w:w="100" w:type="dxa"/>
              <w:left w:w="100" w:type="dxa"/>
              <w:bottom w:w="100" w:type="dxa"/>
              <w:right w:w="100" w:type="dxa"/>
            </w:tcMar>
          </w:tcPr>
          <w:p w14:paraId="288A11B9"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0.0055</w:t>
            </w:r>
          </w:p>
        </w:tc>
        <w:tc>
          <w:tcPr>
            <w:tcW w:w="948" w:type="dxa"/>
            <w:tcBorders>
              <w:top w:val="nil"/>
              <w:left w:val="nil"/>
              <w:bottom w:val="single" w:sz="8" w:space="0" w:color="000000"/>
              <w:right w:val="single" w:sz="8" w:space="0" w:color="000000"/>
            </w:tcBorders>
            <w:tcMar>
              <w:top w:w="100" w:type="dxa"/>
              <w:left w:w="100" w:type="dxa"/>
              <w:bottom w:w="100" w:type="dxa"/>
              <w:right w:w="100" w:type="dxa"/>
            </w:tcMar>
          </w:tcPr>
          <w:p w14:paraId="53D69D0E"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0.0392</w:t>
            </w:r>
          </w:p>
        </w:tc>
        <w:tc>
          <w:tcPr>
            <w:tcW w:w="948" w:type="dxa"/>
            <w:tcBorders>
              <w:top w:val="nil"/>
              <w:left w:val="nil"/>
              <w:bottom w:val="single" w:sz="8" w:space="0" w:color="000000"/>
              <w:right w:val="single" w:sz="8" w:space="0" w:color="000000"/>
            </w:tcBorders>
            <w:tcMar>
              <w:top w:w="100" w:type="dxa"/>
              <w:left w:w="100" w:type="dxa"/>
              <w:bottom w:w="100" w:type="dxa"/>
              <w:right w:w="100" w:type="dxa"/>
            </w:tcMar>
          </w:tcPr>
          <w:p w14:paraId="6B53FA6D"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0.1192</w:t>
            </w:r>
          </w:p>
        </w:tc>
        <w:tc>
          <w:tcPr>
            <w:tcW w:w="790" w:type="dxa"/>
            <w:tcBorders>
              <w:top w:val="nil"/>
              <w:left w:val="nil"/>
              <w:bottom w:val="single" w:sz="8" w:space="0" w:color="000000"/>
              <w:right w:val="single" w:sz="8" w:space="0" w:color="000000"/>
            </w:tcBorders>
            <w:tcMar>
              <w:top w:w="100" w:type="dxa"/>
              <w:left w:w="100" w:type="dxa"/>
              <w:bottom w:w="100" w:type="dxa"/>
              <w:right w:w="100" w:type="dxa"/>
            </w:tcMar>
          </w:tcPr>
          <w:p w14:paraId="0FBB075C"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0.0107</w:t>
            </w:r>
          </w:p>
        </w:tc>
        <w:tc>
          <w:tcPr>
            <w:tcW w:w="948" w:type="dxa"/>
            <w:tcBorders>
              <w:top w:val="nil"/>
              <w:left w:val="nil"/>
              <w:bottom w:val="single" w:sz="8" w:space="0" w:color="000000"/>
              <w:right w:val="single" w:sz="8" w:space="0" w:color="000000"/>
            </w:tcBorders>
            <w:tcMar>
              <w:top w:w="100" w:type="dxa"/>
              <w:left w:w="100" w:type="dxa"/>
              <w:bottom w:w="100" w:type="dxa"/>
              <w:right w:w="100" w:type="dxa"/>
            </w:tcMar>
          </w:tcPr>
          <w:p w14:paraId="15160D4C"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0.0092</w:t>
            </w:r>
          </w:p>
        </w:tc>
        <w:tc>
          <w:tcPr>
            <w:tcW w:w="960" w:type="dxa"/>
            <w:tcBorders>
              <w:top w:val="nil"/>
              <w:left w:val="nil"/>
              <w:bottom w:val="single" w:sz="8" w:space="0" w:color="000000"/>
              <w:right w:val="single" w:sz="8" w:space="0" w:color="000000"/>
            </w:tcBorders>
            <w:tcMar>
              <w:top w:w="100" w:type="dxa"/>
              <w:left w:w="100" w:type="dxa"/>
              <w:bottom w:w="100" w:type="dxa"/>
              <w:right w:w="100" w:type="dxa"/>
            </w:tcMar>
          </w:tcPr>
          <w:p w14:paraId="0A08CAEB"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0.0794</w:t>
            </w:r>
          </w:p>
        </w:tc>
        <w:tc>
          <w:tcPr>
            <w:tcW w:w="972" w:type="dxa"/>
            <w:tcBorders>
              <w:top w:val="nil"/>
              <w:left w:val="nil"/>
              <w:bottom w:val="single" w:sz="8" w:space="0" w:color="000000"/>
              <w:right w:val="single" w:sz="8" w:space="0" w:color="000000"/>
            </w:tcBorders>
            <w:tcMar>
              <w:top w:w="100" w:type="dxa"/>
              <w:left w:w="100" w:type="dxa"/>
              <w:bottom w:w="100" w:type="dxa"/>
              <w:right w:w="100" w:type="dxa"/>
            </w:tcMar>
          </w:tcPr>
          <w:p w14:paraId="0E5D5697"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0.0122</w:t>
            </w:r>
          </w:p>
        </w:tc>
        <w:tc>
          <w:tcPr>
            <w:tcW w:w="1240" w:type="dxa"/>
            <w:tcBorders>
              <w:top w:val="nil"/>
              <w:left w:val="nil"/>
              <w:bottom w:val="single" w:sz="8" w:space="0" w:color="000000"/>
              <w:right w:val="single" w:sz="8" w:space="0" w:color="000000"/>
            </w:tcBorders>
            <w:tcMar>
              <w:top w:w="100" w:type="dxa"/>
              <w:left w:w="100" w:type="dxa"/>
              <w:bottom w:w="100" w:type="dxa"/>
              <w:right w:w="100" w:type="dxa"/>
            </w:tcMar>
          </w:tcPr>
          <w:p w14:paraId="2DCFA1B1"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0.0048</w:t>
            </w:r>
          </w:p>
        </w:tc>
        <w:tc>
          <w:tcPr>
            <w:tcW w:w="1203" w:type="dxa"/>
            <w:tcBorders>
              <w:top w:val="nil"/>
              <w:left w:val="nil"/>
              <w:bottom w:val="single" w:sz="8" w:space="0" w:color="000000"/>
              <w:right w:val="single" w:sz="8" w:space="0" w:color="000000"/>
            </w:tcBorders>
            <w:tcMar>
              <w:top w:w="100" w:type="dxa"/>
              <w:left w:w="100" w:type="dxa"/>
              <w:bottom w:w="100" w:type="dxa"/>
              <w:right w:w="100" w:type="dxa"/>
            </w:tcMar>
          </w:tcPr>
          <w:p w14:paraId="117ADE0B" w14:textId="77777777" w:rsidR="00EF4FCA" w:rsidRPr="00DE0484" w:rsidRDefault="00EF4FCA" w:rsidP="00726B30">
            <w:pPr>
              <w:spacing w:before="0" w:after="0" w:line="276" w:lineRule="auto"/>
              <w:jc w:val="right"/>
              <w:rPr>
                <w:rFonts w:eastAsia="Calibri"/>
                <w:color w:val="222222"/>
                <w:sz w:val="18"/>
                <w:szCs w:val="18"/>
                <w:highlight w:val="white"/>
              </w:rPr>
            </w:pPr>
            <w:r w:rsidRPr="00DE0484">
              <w:rPr>
                <w:rFonts w:eastAsia="Calibri"/>
                <w:color w:val="222222"/>
                <w:sz w:val="18"/>
                <w:szCs w:val="18"/>
                <w:highlight w:val="white"/>
              </w:rPr>
              <w:t>0.0434</w:t>
            </w:r>
          </w:p>
        </w:tc>
      </w:tr>
    </w:tbl>
    <w:p w14:paraId="21B8B8D4" w14:textId="77777777" w:rsidR="00EF4FCA" w:rsidRPr="00DE0484" w:rsidRDefault="00EF4FCA" w:rsidP="00EF4FCA">
      <w:pPr>
        <w:spacing w:before="0" w:after="0" w:line="276" w:lineRule="auto"/>
        <w:rPr>
          <w:color w:val="222222"/>
          <w:highlight w:val="white"/>
        </w:rPr>
      </w:pPr>
    </w:p>
    <w:p w14:paraId="46976FBD" w14:textId="77777777" w:rsidR="00EF4FCA" w:rsidRPr="00DE0484" w:rsidRDefault="00EF4FCA" w:rsidP="00EF4FCA">
      <w:pPr>
        <w:spacing w:before="0" w:after="0" w:line="276" w:lineRule="auto"/>
        <w:rPr>
          <w:b/>
          <w:color w:val="222222"/>
          <w:sz w:val="20"/>
          <w:szCs w:val="20"/>
          <w:highlight w:val="white"/>
        </w:rPr>
      </w:pPr>
      <w:r w:rsidRPr="00DE0484">
        <w:rPr>
          <w:b/>
          <w:color w:val="222222"/>
          <w:sz w:val="20"/>
          <w:szCs w:val="20"/>
          <w:highlight w:val="white"/>
        </w:rPr>
        <w:t>Table S1: The nine algorithms explored for using the calibrated PCFs (of the n=323 sample) to calculate PCFs for the UIB population (n=13,912 glaciers).</w:t>
      </w:r>
    </w:p>
    <w:p w14:paraId="3AA66D84" w14:textId="77777777" w:rsidR="00EF4FCA" w:rsidRPr="00DE0484" w:rsidRDefault="00EF4FCA" w:rsidP="00EF4FCA">
      <w:pPr>
        <w:spacing w:before="0" w:after="0" w:line="276" w:lineRule="auto"/>
        <w:rPr>
          <w:color w:val="222222"/>
          <w:highlight w:val="white"/>
        </w:rPr>
      </w:pPr>
    </w:p>
    <w:p w14:paraId="1DC44236" w14:textId="77777777" w:rsidR="00EF4FCA" w:rsidRPr="00DE0484" w:rsidRDefault="00EF4FCA" w:rsidP="00EF4FCA">
      <w:pPr>
        <w:spacing w:before="0" w:after="0" w:line="276" w:lineRule="auto"/>
        <w:rPr>
          <w:color w:val="222222"/>
          <w:highlight w:val="white"/>
        </w:rPr>
      </w:pPr>
      <w:r w:rsidRPr="00DE0484">
        <w:rPr>
          <w:color w:val="222222"/>
          <w:highlight w:val="white"/>
        </w:rPr>
        <w:t>The 323 glaciers in the calibration subset were modeled not with the calibrated PCFs but rather with PCFs calculated via the same algorithm.  Therefore, the calibrated value was only one of 10 or more values averaged to compute the PCF given to the model.  Our modeling method, then, does not run the risk of generating over-calibrated results.</w:t>
      </w:r>
    </w:p>
    <w:p w14:paraId="0D2CE29E" w14:textId="77777777" w:rsidR="00EF4FCA" w:rsidRPr="00DE0484" w:rsidRDefault="00EF4FCA" w:rsidP="00EF4FCA">
      <w:pPr>
        <w:spacing w:before="0" w:after="0" w:line="276" w:lineRule="auto"/>
        <w:rPr>
          <w:color w:val="222222"/>
          <w:highlight w:val="white"/>
        </w:rPr>
      </w:pPr>
    </w:p>
    <w:p w14:paraId="0DFE8871" w14:textId="77777777" w:rsidR="00EF4FCA" w:rsidRPr="00DE0484" w:rsidRDefault="00EF4FCA" w:rsidP="00EF4FCA">
      <w:pPr>
        <w:spacing w:before="0" w:after="0" w:line="276" w:lineRule="auto"/>
        <w:rPr>
          <w:color w:val="222222"/>
          <w:highlight w:val="white"/>
        </w:rPr>
      </w:pPr>
      <w:r w:rsidRPr="00DE0484">
        <w:rPr>
          <w:noProof/>
          <w:color w:val="222222"/>
          <w:highlight w:val="white"/>
        </w:rPr>
        <w:drawing>
          <wp:inline distT="114300" distB="114300" distL="114300" distR="114300" wp14:anchorId="40816C8B" wp14:editId="402DF49A">
            <wp:extent cx="6208395" cy="2527300"/>
            <wp:effectExtent l="0" t="0" r="0" b="0"/>
            <wp:docPr id="62" name="image2.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62" name="image2.png" descr="Chart, scatter chart&#10;&#10;Description automatically generated"/>
                    <pic:cNvPicPr preferRelativeResize="0"/>
                  </pic:nvPicPr>
                  <pic:blipFill>
                    <a:blip r:embed="rId8"/>
                    <a:srcRect/>
                    <a:stretch>
                      <a:fillRect/>
                    </a:stretch>
                  </pic:blipFill>
                  <pic:spPr>
                    <a:xfrm>
                      <a:off x="0" y="0"/>
                      <a:ext cx="6208395" cy="2527300"/>
                    </a:xfrm>
                    <a:prstGeom prst="rect">
                      <a:avLst/>
                    </a:prstGeom>
                    <a:ln/>
                  </pic:spPr>
                </pic:pic>
              </a:graphicData>
            </a:graphic>
          </wp:inline>
        </w:drawing>
      </w:r>
    </w:p>
    <w:p w14:paraId="78C4FDA3" w14:textId="77777777" w:rsidR="00EF4FCA" w:rsidRPr="00DE0484" w:rsidRDefault="00EF4FCA" w:rsidP="00EF4FCA">
      <w:pPr>
        <w:spacing w:before="0" w:after="0" w:line="276" w:lineRule="auto"/>
        <w:rPr>
          <w:rFonts w:eastAsia="Arial"/>
          <w:color w:val="222222"/>
          <w:sz w:val="20"/>
          <w:szCs w:val="20"/>
          <w:highlight w:val="white"/>
        </w:rPr>
      </w:pPr>
    </w:p>
    <w:p w14:paraId="384344F6" w14:textId="77777777" w:rsidR="00EF4FCA" w:rsidRPr="00DE0484" w:rsidRDefault="00EF4FCA" w:rsidP="00EF4FCA">
      <w:pPr>
        <w:spacing w:before="0" w:after="0" w:line="276" w:lineRule="auto"/>
        <w:rPr>
          <w:rFonts w:eastAsia="Arial"/>
          <w:color w:val="222222"/>
          <w:sz w:val="20"/>
          <w:szCs w:val="20"/>
          <w:highlight w:val="white"/>
        </w:rPr>
      </w:pPr>
    </w:p>
    <w:p w14:paraId="07B956D4" w14:textId="37BCEC56" w:rsidR="00EF4FCA" w:rsidRPr="00DE0484" w:rsidRDefault="00EF4FCA" w:rsidP="00EF4FCA">
      <w:pPr>
        <w:spacing w:before="0" w:after="0" w:line="276" w:lineRule="auto"/>
        <w:rPr>
          <w:b/>
          <w:sz w:val="20"/>
          <w:szCs w:val="20"/>
          <w:highlight w:val="white"/>
        </w:rPr>
      </w:pPr>
      <w:r w:rsidRPr="00DE0484">
        <w:rPr>
          <w:b/>
          <w:sz w:val="20"/>
          <w:szCs w:val="20"/>
          <w:highlight w:val="white"/>
        </w:rPr>
        <w:t>Figure S</w:t>
      </w:r>
      <w:r w:rsidR="00037FDB">
        <w:rPr>
          <w:b/>
          <w:sz w:val="20"/>
          <w:szCs w:val="20"/>
          <w:highlight w:val="white"/>
        </w:rPr>
        <w:t>1</w:t>
      </w:r>
      <w:r w:rsidRPr="00DE0484">
        <w:rPr>
          <w:b/>
          <w:sz w:val="20"/>
          <w:szCs w:val="20"/>
          <w:highlight w:val="white"/>
        </w:rPr>
        <w:t>: (a) UIB PCFs for all glaciers, with the locations of the 323 calibration glaciers marked with circles. (b) The calibrated PCFs for the calibration glaciers and the PCFs calculated for those same glaciers using the averaging method outlined above (and in Table S1). A</w:t>
      </w:r>
      <w:r w:rsidRPr="00DE0484">
        <w:rPr>
          <w:b/>
          <w:sz w:val="20"/>
          <w:szCs w:val="20"/>
        </w:rPr>
        <w:t xml:space="preserve">veraging the nearby calibrated values dampens the PCF variability.  </w:t>
      </w:r>
      <w:r w:rsidRPr="00DE0484">
        <w:rPr>
          <w:b/>
          <w:sz w:val="20"/>
          <w:szCs w:val="20"/>
          <w:highlight w:val="white"/>
        </w:rPr>
        <w:t>(c) The difference between the values shown in (b).</w:t>
      </w:r>
    </w:p>
    <w:p w14:paraId="6C44C51A" w14:textId="77777777" w:rsidR="00EF4FCA" w:rsidRPr="00DE0484" w:rsidRDefault="00EF4FCA" w:rsidP="00EF4FCA">
      <w:pPr>
        <w:spacing w:before="0" w:after="0" w:line="276" w:lineRule="auto"/>
        <w:rPr>
          <w:b/>
          <w:color w:val="222222"/>
          <w:sz w:val="20"/>
          <w:szCs w:val="20"/>
          <w:highlight w:val="white"/>
        </w:rPr>
      </w:pPr>
    </w:p>
    <w:p w14:paraId="254A583B" w14:textId="0E20566B" w:rsidR="00EF4FCA" w:rsidRPr="00DE0484" w:rsidRDefault="00EF4FCA" w:rsidP="00EF4FCA">
      <w:pPr>
        <w:shd w:val="clear" w:color="auto" w:fill="FFFFFF"/>
        <w:rPr>
          <w:color w:val="000000" w:themeColor="text1"/>
        </w:rPr>
      </w:pPr>
      <w:r w:rsidRPr="00DE0484">
        <w:rPr>
          <w:color w:val="000000" w:themeColor="text1"/>
        </w:rPr>
        <w:t xml:space="preserve">We performed a k-fold cross-validation to determine any bias introduced by the choice of glaciers </w:t>
      </w:r>
      <w:r>
        <w:rPr>
          <w:color w:val="000000" w:themeColor="text1"/>
        </w:rPr>
        <w:t xml:space="preserve">that were </w:t>
      </w:r>
      <w:r w:rsidRPr="00DE0484">
        <w:rPr>
          <w:color w:val="000000" w:themeColor="text1"/>
        </w:rPr>
        <w:t>calibrated</w:t>
      </w:r>
      <w:r w:rsidR="00684B7A">
        <w:rPr>
          <w:color w:val="000000" w:themeColor="text1"/>
        </w:rPr>
        <w:t>—</w:t>
      </w:r>
      <w:r w:rsidRPr="00DE0484">
        <w:rPr>
          <w:color w:val="000000" w:themeColor="text1"/>
        </w:rPr>
        <w:t>and then used for calculating all PCFs.  A 10-fold cross-validation showed minimal bias (</w:t>
      </w:r>
      <m:oMath>
        <m:r>
          <w:rPr>
            <w:rFonts w:ascii="Cambria Math" w:eastAsia="Cambria Math" w:hAnsi="Cambria Math"/>
            <w:color w:val="000000" w:themeColor="text1"/>
          </w:rPr>
          <m:t>μ</m:t>
        </m:r>
      </m:oMath>
      <w:r w:rsidRPr="00DE0484">
        <w:rPr>
          <w:rFonts w:eastAsia="Cambria Math"/>
          <w:color w:val="000000" w:themeColor="text1"/>
        </w:rPr>
        <w:t>=</w:t>
      </w:r>
      <w:r w:rsidRPr="00DE0484">
        <w:rPr>
          <w:color w:val="000000" w:themeColor="text1"/>
        </w:rPr>
        <w:t xml:space="preserve">0.02 m </w:t>
      </w:r>
      <w:proofErr w:type="spellStart"/>
      <w:r w:rsidRPr="00DE0484">
        <w:rPr>
          <w:color w:val="000000" w:themeColor="text1"/>
        </w:rPr>
        <w:t>w.e</w:t>
      </w:r>
      <w:proofErr w:type="spellEnd"/>
      <w:r w:rsidRPr="00DE0484">
        <w:rPr>
          <w:color w:val="000000" w:themeColor="text1"/>
        </w:rPr>
        <w:t xml:space="preserve">. </w:t>
      </w:r>
      <w:r w:rsidR="000D2B3C">
        <w:rPr>
          <w:color w:val="000000" w:themeColor="text1"/>
        </w:rPr>
        <w:t>yr</w:t>
      </w:r>
      <w:r w:rsidRPr="00DE0484">
        <w:rPr>
          <w:color w:val="000000" w:themeColor="text1"/>
          <w:vertAlign w:val="superscript"/>
        </w:rPr>
        <w:t>-1</w:t>
      </w:r>
      <w:r w:rsidRPr="00DE0484">
        <w:rPr>
          <w:color w:val="000000" w:themeColor="text1"/>
        </w:rPr>
        <w:t>, Figure S</w:t>
      </w:r>
      <w:r w:rsidR="000458A8">
        <w:rPr>
          <w:color w:val="000000" w:themeColor="text1"/>
        </w:rPr>
        <w:t>2</w:t>
      </w:r>
      <w:r w:rsidRPr="00DE0484">
        <w:rPr>
          <w:color w:val="000000" w:themeColor="text1"/>
        </w:rPr>
        <w:t xml:space="preserve">a).  The small sensitivity </w:t>
      </w:r>
      <w:r w:rsidRPr="00DE0484">
        <w:rPr>
          <w:rFonts w:eastAsia="Arial"/>
          <w:color w:val="000000" w:themeColor="text1"/>
          <w:highlight w:val="white"/>
        </w:rPr>
        <w:t xml:space="preserve">to the exact choice of training data </w:t>
      </w:r>
      <w:r w:rsidRPr="00DE0484">
        <w:rPr>
          <w:color w:val="000000" w:themeColor="text1"/>
        </w:rPr>
        <w:t xml:space="preserve">reveals that </w:t>
      </w:r>
      <w:r w:rsidRPr="00DE0484">
        <w:rPr>
          <w:rFonts w:eastAsia="Arial"/>
          <w:color w:val="000000" w:themeColor="text1"/>
          <w:highlight w:val="white"/>
        </w:rPr>
        <w:t xml:space="preserve">the local averaging estimate (i.e., calculation) of PCF can be somewhat sensitive.  However, this </w:t>
      </w:r>
      <w:proofErr w:type="gramStart"/>
      <w:r w:rsidRPr="00DE0484">
        <w:rPr>
          <w:rFonts w:eastAsia="Arial"/>
          <w:color w:val="000000" w:themeColor="text1"/>
          <w:highlight w:val="white"/>
        </w:rPr>
        <w:t>is a reflection of</w:t>
      </w:r>
      <w:proofErr w:type="gramEnd"/>
      <w:r w:rsidRPr="00DE0484">
        <w:rPr>
          <w:rFonts w:eastAsia="Arial"/>
          <w:color w:val="000000" w:themeColor="text1"/>
          <w:highlight w:val="white"/>
        </w:rPr>
        <w:t xml:space="preserve"> the fact that the training data (n=323) is regionally and </w:t>
      </w:r>
      <w:proofErr w:type="spellStart"/>
      <w:r w:rsidRPr="00DE0484">
        <w:rPr>
          <w:rFonts w:eastAsia="Arial"/>
          <w:color w:val="000000" w:themeColor="text1"/>
          <w:highlight w:val="white"/>
        </w:rPr>
        <w:t>geomorphically</w:t>
      </w:r>
      <w:proofErr w:type="spellEnd"/>
      <w:r w:rsidRPr="00DE0484">
        <w:rPr>
          <w:rFonts w:eastAsia="Arial"/>
          <w:color w:val="000000" w:themeColor="text1"/>
          <w:highlight w:val="white"/>
        </w:rPr>
        <w:t xml:space="preserve"> representative while the cross-validation subsets are not.  These findings of expected small sensitivity but only minimal</w:t>
      </w:r>
      <w:r w:rsidRPr="00DE0484">
        <w:rPr>
          <w:color w:val="000000" w:themeColor="text1"/>
        </w:rPr>
        <w:t xml:space="preserve"> systemic bias support our calibration method.  If a different randomly selected set were used, the calculated PCFs would not have varied significantly, a conclusion that is emphasized in Figure S</w:t>
      </w:r>
      <w:r w:rsidR="000458A8">
        <w:rPr>
          <w:color w:val="000000" w:themeColor="text1"/>
        </w:rPr>
        <w:t>2</w:t>
      </w:r>
      <w:r w:rsidRPr="00DE0484">
        <w:rPr>
          <w:color w:val="000000" w:themeColor="text1"/>
        </w:rPr>
        <w:t xml:space="preserve">b which shows histograms of the 323-glacier calibration set used in this study and set of 95 completely different glaciers with PCFs calibrated the same way.  </w:t>
      </w:r>
    </w:p>
    <w:p w14:paraId="3027848F" w14:textId="77777777" w:rsidR="00EF4FCA" w:rsidRPr="00DE0484" w:rsidRDefault="00EF4FCA" w:rsidP="00EF4FCA">
      <w:pPr>
        <w:shd w:val="clear" w:color="auto" w:fill="FFFFFF"/>
      </w:pPr>
    </w:p>
    <w:p w14:paraId="77153378" w14:textId="77777777" w:rsidR="00EF4FCA" w:rsidRPr="00DE0484" w:rsidRDefault="00EF4FCA" w:rsidP="00EF4FCA">
      <w:pPr>
        <w:shd w:val="clear" w:color="auto" w:fill="FFFFFF"/>
      </w:pPr>
      <w:r w:rsidRPr="00DE0484">
        <w:rPr>
          <w:noProof/>
        </w:rPr>
        <w:drawing>
          <wp:inline distT="114300" distB="114300" distL="114300" distR="114300" wp14:anchorId="3E0D8532" wp14:editId="27BBB36C">
            <wp:extent cx="6208395" cy="4660900"/>
            <wp:effectExtent l="0" t="0" r="0" b="0"/>
            <wp:docPr id="59" name="image6.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59" name="image6.png" descr="Chart&#10;&#10;Description automatically generated"/>
                    <pic:cNvPicPr preferRelativeResize="0"/>
                  </pic:nvPicPr>
                  <pic:blipFill>
                    <a:blip r:embed="rId9"/>
                    <a:srcRect/>
                    <a:stretch>
                      <a:fillRect/>
                    </a:stretch>
                  </pic:blipFill>
                  <pic:spPr>
                    <a:xfrm>
                      <a:off x="0" y="0"/>
                      <a:ext cx="6208395" cy="4660900"/>
                    </a:xfrm>
                    <a:prstGeom prst="rect">
                      <a:avLst/>
                    </a:prstGeom>
                    <a:ln/>
                  </pic:spPr>
                </pic:pic>
              </a:graphicData>
            </a:graphic>
          </wp:inline>
        </w:drawing>
      </w:r>
    </w:p>
    <w:p w14:paraId="0364746A" w14:textId="4F8E3A26" w:rsidR="00EF4FCA" w:rsidRPr="00DE0484" w:rsidRDefault="00EF4FCA" w:rsidP="00EF4FCA">
      <w:pPr>
        <w:shd w:val="clear" w:color="auto" w:fill="FFFFFF"/>
        <w:rPr>
          <w:b/>
          <w:sz w:val="20"/>
          <w:szCs w:val="20"/>
          <w:highlight w:val="white"/>
        </w:rPr>
      </w:pPr>
      <w:r w:rsidRPr="00DE0484">
        <w:rPr>
          <w:b/>
          <w:sz w:val="20"/>
          <w:szCs w:val="20"/>
          <w:highlight w:val="white"/>
        </w:rPr>
        <w:t>Figure S</w:t>
      </w:r>
      <w:r w:rsidR="00037FDB">
        <w:rPr>
          <w:b/>
          <w:sz w:val="20"/>
          <w:szCs w:val="20"/>
          <w:highlight w:val="white"/>
        </w:rPr>
        <w:t>2</w:t>
      </w:r>
      <w:r w:rsidRPr="00DE0484">
        <w:rPr>
          <w:b/>
          <w:sz w:val="20"/>
          <w:szCs w:val="20"/>
          <w:highlight w:val="white"/>
        </w:rPr>
        <w:t xml:space="preserve">: (a) Calculated biases under all cross-validation tests. The 10-fold cross-validation confirms the lack of any significant bias introduced by the specific glaciers in the calibration subset (it yields a small average bias of 0.02 m </w:t>
      </w:r>
      <w:proofErr w:type="spellStart"/>
      <w:r w:rsidRPr="00DE0484">
        <w:rPr>
          <w:b/>
          <w:sz w:val="20"/>
          <w:szCs w:val="20"/>
          <w:highlight w:val="white"/>
        </w:rPr>
        <w:t>w.e</w:t>
      </w:r>
      <w:proofErr w:type="spellEnd"/>
      <w:r w:rsidRPr="00DE0484">
        <w:rPr>
          <w:b/>
          <w:sz w:val="20"/>
          <w:szCs w:val="20"/>
          <w:highlight w:val="white"/>
        </w:rPr>
        <w:t xml:space="preserve">. </w:t>
      </w:r>
      <w:r w:rsidR="000D2B3C">
        <w:rPr>
          <w:b/>
          <w:sz w:val="20"/>
          <w:szCs w:val="20"/>
          <w:highlight w:val="white"/>
        </w:rPr>
        <w:t>yr</w:t>
      </w:r>
      <w:r w:rsidRPr="00DE0484">
        <w:rPr>
          <w:b/>
          <w:sz w:val="20"/>
          <w:szCs w:val="20"/>
          <w:highlight w:val="white"/>
          <w:vertAlign w:val="superscript"/>
        </w:rPr>
        <w:t>-1</w:t>
      </w:r>
      <w:r w:rsidRPr="00DE0484">
        <w:rPr>
          <w:b/>
          <w:sz w:val="20"/>
          <w:szCs w:val="20"/>
          <w:highlight w:val="white"/>
        </w:rPr>
        <w:t xml:space="preserve">).  (b) The calibrated PCFs for the 323-glacier set were comparable to calibrated PCFs from an independent 95-glacier set.  </w:t>
      </w:r>
    </w:p>
    <w:p w14:paraId="3FD2B6B0" w14:textId="77777777" w:rsidR="00EF4FCA" w:rsidRPr="00DE0484" w:rsidRDefault="00EF4FCA" w:rsidP="00EF4FCA">
      <w:pPr>
        <w:spacing w:before="0" w:after="0" w:line="276" w:lineRule="auto"/>
        <w:rPr>
          <w:rFonts w:eastAsia="Arial"/>
          <w:color w:val="222222"/>
          <w:sz w:val="20"/>
          <w:szCs w:val="20"/>
          <w:highlight w:val="white"/>
        </w:rPr>
      </w:pPr>
    </w:p>
    <w:p w14:paraId="11B74FEA" w14:textId="025D641D" w:rsidR="00EF4FCA" w:rsidRPr="00DE0484" w:rsidRDefault="00EF4FCA" w:rsidP="00EF4FCA">
      <w:pPr>
        <w:spacing w:before="0" w:after="0" w:line="276" w:lineRule="auto"/>
        <w:rPr>
          <w:color w:val="222222"/>
          <w:highlight w:val="white"/>
        </w:rPr>
      </w:pPr>
      <w:r w:rsidRPr="00DE0484">
        <w:rPr>
          <w:color w:val="222222"/>
          <w:highlight w:val="white"/>
        </w:rPr>
        <w:t xml:space="preserve">The k-fold cross-validation also yielded a </w:t>
      </w:r>
      <w:r w:rsidRPr="00DE0484">
        <w:rPr>
          <w:color w:val="222222"/>
        </w:rPr>
        <w:t>mean absolute error</w:t>
      </w:r>
      <w:r w:rsidRPr="00DE0484">
        <w:rPr>
          <w:color w:val="222222"/>
          <w:highlight w:val="white"/>
        </w:rPr>
        <w:t xml:space="preserve"> (MAE) = </w:t>
      </w:r>
      <w:r w:rsidRPr="00DE0484">
        <w:rPr>
          <w:color w:val="222222"/>
        </w:rPr>
        <w:t xml:space="preserve">0.36 m </w:t>
      </w:r>
      <w:proofErr w:type="spellStart"/>
      <w:r w:rsidRPr="00DE0484">
        <w:rPr>
          <w:color w:val="222222"/>
        </w:rPr>
        <w:t>w.e</w:t>
      </w:r>
      <w:proofErr w:type="spellEnd"/>
      <w:r w:rsidRPr="00DE0484">
        <w:rPr>
          <w:color w:val="222222"/>
        </w:rPr>
        <w:t xml:space="preserve">. </w:t>
      </w:r>
      <w:r w:rsidR="000D2B3C">
        <w:rPr>
          <w:color w:val="222222"/>
        </w:rPr>
        <w:t>yr</w:t>
      </w:r>
      <w:r w:rsidRPr="00DE0484">
        <w:rPr>
          <w:color w:val="222222"/>
          <w:vertAlign w:val="superscript"/>
        </w:rPr>
        <w:t>-1</w:t>
      </w:r>
      <w:r w:rsidRPr="00DE0484">
        <w:rPr>
          <w:color w:val="222222"/>
          <w:highlight w:val="white"/>
        </w:rPr>
        <w:t xml:space="preserve"> for the precipitation calculation</w:t>
      </w:r>
      <w:r w:rsidR="00684B7A">
        <w:rPr>
          <w:color w:val="222222"/>
          <w:highlight w:val="white"/>
        </w:rPr>
        <w:t>—</w:t>
      </w:r>
      <w:r w:rsidRPr="00DE0484">
        <w:rPr>
          <w:color w:val="222222"/>
          <w:highlight w:val="white"/>
        </w:rPr>
        <w:t>a quantification of the uncertainty for inlying glaciers whose uncertainty was, in part, affected by the PCF (in other words, glaciers in category 2).  We assume melt uncertainty to be a linear function of mass balance bias, as described above.  The MAE from the 10-fold cross validation is consistent with the uncertainty value calculated by the method summarized in Figure 3.  It is the value at glacier 5</w:t>
      </w:r>
      <w:r w:rsidR="00135195">
        <w:rPr>
          <w:color w:val="222222"/>
          <w:highlight w:val="white"/>
        </w:rPr>
        <w:t>,</w:t>
      </w:r>
      <w:r w:rsidRPr="00DE0484">
        <w:rPr>
          <w:color w:val="222222"/>
          <w:highlight w:val="white"/>
        </w:rPr>
        <w:t xml:space="preserve">624 as ordered in the figure; the consistency lends credibility to the method of uncertainty assessment that we use. </w:t>
      </w:r>
    </w:p>
    <w:p w14:paraId="18ADCE3D" w14:textId="02DF592A" w:rsidR="008D1AEA" w:rsidRPr="00DE0484" w:rsidRDefault="000458A8">
      <w:pPr>
        <w:rPr>
          <w:b/>
        </w:rPr>
      </w:pPr>
      <w:r>
        <w:rPr>
          <w:b/>
        </w:rPr>
        <w:t>Melt U</w:t>
      </w:r>
      <w:r w:rsidR="00B37046" w:rsidRPr="00DE0484">
        <w:rPr>
          <w:b/>
        </w:rPr>
        <w:t>ncertainty Analysis</w:t>
      </w:r>
    </w:p>
    <w:p w14:paraId="5ECDB6A0" w14:textId="525D0294" w:rsidR="008D1AEA" w:rsidRPr="00DE0484" w:rsidRDefault="00B37046">
      <w:pPr>
        <w:rPr>
          <w:b/>
          <w:color w:val="000000"/>
        </w:rPr>
      </w:pPr>
      <w:r w:rsidRPr="00DE0484">
        <w:rPr>
          <w:color w:val="000000"/>
        </w:rPr>
        <w:t>Here we provide detail on our uncertainty assessment using a 12-glacier set that represented the size range of UIB glaciers and all subbasins.</w:t>
      </w:r>
      <w:r w:rsidRPr="00DE0484">
        <w:rPr>
          <w:b/>
          <w:color w:val="000000"/>
        </w:rPr>
        <w:t xml:space="preserve"> </w:t>
      </w:r>
      <w:r w:rsidRPr="00DE0484">
        <w:t>This approach to quantifying uncertainties</w:t>
      </w:r>
      <w:r w:rsidR="000458A8">
        <w:t xml:space="preserve"> in melt</w:t>
      </w:r>
      <w:r w:rsidRPr="00DE0484">
        <w:t xml:space="preserve">, </w:t>
      </w:r>
      <w:r w:rsidR="000458A8">
        <w:t>while</w:t>
      </w:r>
      <w:r w:rsidRPr="00DE0484">
        <w:t xml:space="preserve"> not exhaustive and not account</w:t>
      </w:r>
      <w:r w:rsidR="000458A8">
        <w:t>ing</w:t>
      </w:r>
      <w:r w:rsidRPr="00DE0484">
        <w:t xml:space="preserve"> for all potential uncertainties, is computationally feasible. We make some assumptions, most importantly the linear relationship between mass balance bias and melt uncertainty.  Through this first-order estimate, we can assess sources of </w:t>
      </w:r>
      <w:r w:rsidR="000458A8">
        <w:t xml:space="preserve">melt </w:t>
      </w:r>
      <w:r w:rsidRPr="00DE0484">
        <w:t>uncertainties and their relative differences across the UIB.</w:t>
      </w:r>
    </w:p>
    <w:p w14:paraId="14E4085F" w14:textId="77777777" w:rsidR="008D1AEA" w:rsidRPr="00DE0484" w:rsidRDefault="00B37046">
      <w:r w:rsidRPr="00DE0484">
        <w:rPr>
          <w:noProof/>
        </w:rPr>
        <w:drawing>
          <wp:inline distT="0" distB="0" distL="0" distR="0" wp14:anchorId="1F275DDF" wp14:editId="4448EF6E">
            <wp:extent cx="6208395" cy="4225925"/>
            <wp:effectExtent l="0" t="0" r="0" b="0"/>
            <wp:docPr id="60" name="image5.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diagram&#10;&#10;Description automatically generated"/>
                    <pic:cNvPicPr preferRelativeResize="0"/>
                  </pic:nvPicPr>
                  <pic:blipFill>
                    <a:blip r:embed="rId10"/>
                    <a:srcRect/>
                    <a:stretch>
                      <a:fillRect/>
                    </a:stretch>
                  </pic:blipFill>
                  <pic:spPr>
                    <a:xfrm>
                      <a:off x="0" y="0"/>
                      <a:ext cx="6208395" cy="4225925"/>
                    </a:xfrm>
                    <a:prstGeom prst="rect">
                      <a:avLst/>
                    </a:prstGeom>
                    <a:ln/>
                  </pic:spPr>
                </pic:pic>
              </a:graphicData>
            </a:graphic>
          </wp:inline>
        </w:drawing>
      </w:r>
    </w:p>
    <w:p w14:paraId="0B21DBBD" w14:textId="58C6B38F" w:rsidR="008D1AEA" w:rsidRPr="00DE0484" w:rsidRDefault="00B37046">
      <w:pPr>
        <w:keepNext/>
        <w:pBdr>
          <w:top w:val="nil"/>
          <w:left w:val="nil"/>
          <w:bottom w:val="nil"/>
          <w:right w:val="nil"/>
          <w:between w:val="nil"/>
        </w:pBdr>
        <w:rPr>
          <w:b/>
          <w:color w:val="000000"/>
        </w:rPr>
      </w:pPr>
      <w:bookmarkStart w:id="0" w:name="_heading=h.gjdgxs" w:colFirst="0" w:colLast="0"/>
      <w:bookmarkEnd w:id="0"/>
      <w:r w:rsidRPr="00DE0484">
        <w:rPr>
          <w:b/>
          <w:color w:val="000000"/>
        </w:rPr>
        <w:t xml:space="preserve">Figure </w:t>
      </w:r>
      <w:r w:rsidR="00037FDB" w:rsidRPr="00DE0484">
        <w:rPr>
          <w:b/>
          <w:color w:val="000000"/>
        </w:rPr>
        <w:t>S</w:t>
      </w:r>
      <w:r w:rsidR="00037FDB">
        <w:rPr>
          <w:b/>
          <w:color w:val="000000"/>
        </w:rPr>
        <w:t>3</w:t>
      </w:r>
      <w:r w:rsidRPr="00DE0484">
        <w:rPr>
          <w:b/>
          <w:color w:val="000000"/>
        </w:rPr>
        <w:t xml:space="preserve">: </w:t>
      </w:r>
      <w:r w:rsidRPr="00DE0484">
        <w:rPr>
          <w:b/>
          <w:color w:val="000000"/>
          <w:sz w:val="20"/>
          <w:szCs w:val="20"/>
        </w:rPr>
        <w:t>Melt uncertainty depicted as a function of the model</w:t>
      </w:r>
      <w:r w:rsidR="00D54012">
        <w:rPr>
          <w:b/>
          <w:color w:val="000000"/>
          <w:sz w:val="20"/>
          <w:szCs w:val="20"/>
        </w:rPr>
        <w:t xml:space="preserve"> </w:t>
      </w:r>
      <w:r w:rsidR="00D54012">
        <w:rPr>
          <w:color w:val="222222"/>
          <w:highlight w:val="white"/>
        </w:rPr>
        <w:t xml:space="preserve">– </w:t>
      </w:r>
      <w:r w:rsidR="00135195">
        <w:rPr>
          <w:b/>
          <w:color w:val="000000"/>
          <w:sz w:val="20"/>
          <w:szCs w:val="20"/>
        </w:rPr>
        <w:t>geodetic</w:t>
      </w:r>
      <w:r w:rsidRPr="00DE0484">
        <w:rPr>
          <w:b/>
          <w:color w:val="000000"/>
          <w:sz w:val="20"/>
          <w:szCs w:val="20"/>
        </w:rPr>
        <w:t xml:space="preserve"> </w:t>
      </w:r>
      <w:r w:rsidR="00D54012">
        <w:rPr>
          <w:b/>
          <w:color w:val="000000"/>
          <w:sz w:val="20"/>
          <w:szCs w:val="20"/>
        </w:rPr>
        <w:t>mass balance</w:t>
      </w:r>
      <w:r w:rsidR="00D54012" w:rsidRPr="00DE0484">
        <w:rPr>
          <w:b/>
          <w:color w:val="000000"/>
          <w:sz w:val="20"/>
          <w:szCs w:val="20"/>
        </w:rPr>
        <w:t xml:space="preserve"> </w:t>
      </w:r>
      <w:r w:rsidRPr="00DE0484">
        <w:rPr>
          <w:b/>
          <w:color w:val="000000"/>
          <w:sz w:val="20"/>
          <w:szCs w:val="20"/>
        </w:rPr>
        <w:t xml:space="preserve">difference (“MB bias”), based on sensitivity analysis of a 12-glacier set that represented UIB subbasins and glacier sizes.  The vertical lines show where the </w:t>
      </w:r>
      <w:r w:rsidR="00135195">
        <w:rPr>
          <w:b/>
          <w:color w:val="000000"/>
          <w:sz w:val="20"/>
          <w:szCs w:val="20"/>
        </w:rPr>
        <w:t>mass balance</w:t>
      </w:r>
      <w:r w:rsidRPr="00DE0484">
        <w:rPr>
          <w:b/>
          <w:color w:val="000000"/>
          <w:sz w:val="20"/>
          <w:szCs w:val="20"/>
        </w:rPr>
        <w:t xml:space="preserve"> difference is 0.03 and 1.37 m </w:t>
      </w:r>
      <w:proofErr w:type="spellStart"/>
      <w:r w:rsidRPr="00DE0484">
        <w:rPr>
          <w:b/>
          <w:color w:val="000000"/>
          <w:sz w:val="20"/>
          <w:szCs w:val="20"/>
        </w:rPr>
        <w:t>w.e</w:t>
      </w:r>
      <w:proofErr w:type="spellEnd"/>
      <w:r w:rsidRPr="00DE0484">
        <w:rPr>
          <w:b/>
          <w:color w:val="000000"/>
          <w:sz w:val="20"/>
          <w:szCs w:val="20"/>
        </w:rPr>
        <w:t>. yr</w:t>
      </w:r>
      <w:r w:rsidRPr="00DE0484">
        <w:rPr>
          <w:b/>
          <w:color w:val="000000"/>
          <w:sz w:val="20"/>
          <w:szCs w:val="20"/>
          <w:vertAlign w:val="superscript"/>
        </w:rPr>
        <w:t>-1</w:t>
      </w:r>
      <w:r w:rsidRPr="00DE0484">
        <w:rPr>
          <w:b/>
          <w:color w:val="000000"/>
          <w:sz w:val="20"/>
          <w:szCs w:val="20"/>
        </w:rPr>
        <w:t xml:space="preserve"> and </w:t>
      </w:r>
      <w:r w:rsidR="00C970EE">
        <w:rPr>
          <w:b/>
          <w:color w:val="000000"/>
          <w:sz w:val="20"/>
          <w:szCs w:val="20"/>
        </w:rPr>
        <w:t xml:space="preserve">melt </w:t>
      </w:r>
      <w:r w:rsidRPr="00DE0484">
        <w:rPr>
          <w:b/>
          <w:color w:val="000000"/>
          <w:sz w:val="20"/>
          <w:szCs w:val="20"/>
        </w:rPr>
        <w:t>uncertainty type transitions from category 1 to 2 and 2 to 3, respectively.  This figure is identical to Figure 3 but with values labeled for the explanation of their derivations in the accompanying text.</w:t>
      </w:r>
    </w:p>
    <w:p w14:paraId="2CF7901E" w14:textId="47D6DF14" w:rsidR="008D1AEA" w:rsidRPr="00DE0484" w:rsidRDefault="00B37046">
      <w:pPr>
        <w:rPr>
          <w:color w:val="000000"/>
        </w:rPr>
      </w:pPr>
      <w:r w:rsidRPr="00DE0484">
        <w:rPr>
          <w:b/>
          <w:color w:val="000000"/>
        </w:rPr>
        <w:t xml:space="preserve"> </w:t>
      </w:r>
      <w:r w:rsidRPr="00DE0484">
        <w:rPr>
          <w:color w:val="000000"/>
        </w:rPr>
        <w:t xml:space="preserve">(1) The largest range in mass balance observed when the 12 glaciers were modeled with different parameter sets (Tables 3 and A1) was 0.03 m </w:t>
      </w:r>
      <w:proofErr w:type="spellStart"/>
      <w:r w:rsidRPr="00DE0484">
        <w:rPr>
          <w:color w:val="000000"/>
        </w:rPr>
        <w:t>w.e</w:t>
      </w:r>
      <w:proofErr w:type="spellEnd"/>
      <w:r w:rsidRPr="00DE0484">
        <w:rPr>
          <w:color w:val="000000"/>
        </w:rPr>
        <w:t>. yr</w:t>
      </w:r>
      <w:r w:rsidRPr="00DE0484">
        <w:rPr>
          <w:color w:val="000000"/>
          <w:vertAlign w:val="superscript"/>
        </w:rPr>
        <w:t>-1</w:t>
      </w:r>
      <w:r w:rsidRPr="00DE0484">
        <w:rPr>
          <w:color w:val="000000"/>
        </w:rPr>
        <w:t>, and this value was used as the maximum that the modeled mass balance could deviate from the geodetic mass balance with a</w:t>
      </w:r>
      <w:r w:rsidR="000D2B3C">
        <w:rPr>
          <w:color w:val="000000"/>
        </w:rPr>
        <w:t xml:space="preserve"> melt</w:t>
      </w:r>
      <w:r w:rsidRPr="00DE0484">
        <w:rPr>
          <w:color w:val="000000"/>
        </w:rPr>
        <w:t xml:space="preserve"> uncertainty entirely attributed to parameter selection.  When </w:t>
      </w:r>
      <w:r w:rsidR="00135195">
        <w:rPr>
          <w:color w:val="000000"/>
        </w:rPr>
        <w:t>mass balance (</w:t>
      </w:r>
      <w:r w:rsidRPr="00DE0484">
        <w:rPr>
          <w:color w:val="000000"/>
        </w:rPr>
        <w:t>MB</w:t>
      </w:r>
      <w:r w:rsidR="00135195">
        <w:rPr>
          <w:color w:val="000000"/>
        </w:rPr>
        <w:t>)</w:t>
      </w:r>
      <w:r w:rsidRPr="00DE0484">
        <w:rPr>
          <w:color w:val="000000"/>
        </w:rPr>
        <w:t xml:space="preserve"> biases were 0.03 m </w:t>
      </w:r>
      <w:proofErr w:type="spellStart"/>
      <w:r w:rsidRPr="00DE0484">
        <w:rPr>
          <w:color w:val="000000"/>
        </w:rPr>
        <w:t>w.e</w:t>
      </w:r>
      <w:proofErr w:type="spellEnd"/>
      <w:r w:rsidRPr="00DE0484">
        <w:rPr>
          <w:color w:val="000000"/>
        </w:rPr>
        <w:t>. yr</w:t>
      </w:r>
      <w:r w:rsidRPr="00DE0484">
        <w:rPr>
          <w:color w:val="000000"/>
          <w:vertAlign w:val="superscript"/>
        </w:rPr>
        <w:t xml:space="preserve">-1 </w:t>
      </w:r>
      <w:r w:rsidRPr="00DE0484">
        <w:rPr>
          <w:color w:val="000000"/>
        </w:rPr>
        <w:t xml:space="preserve">or less, </w:t>
      </w:r>
      <w:r w:rsidR="000D2B3C">
        <w:rPr>
          <w:color w:val="000000"/>
        </w:rPr>
        <w:t xml:space="preserve">melt </w:t>
      </w:r>
      <w:r w:rsidRPr="00DE0484">
        <w:rPr>
          <w:color w:val="000000"/>
        </w:rPr>
        <w:t xml:space="preserve">uncertainty was assumed to be independent of MB bias since parameter choice affects all glaciers the same amount.  That amount (2) was determined by the mean melt range of the calibrated glaciers under three possible parameter sets: 0.16 m </w:t>
      </w:r>
      <w:proofErr w:type="spellStart"/>
      <w:r w:rsidRPr="00DE0484">
        <w:rPr>
          <w:color w:val="000000"/>
        </w:rPr>
        <w:t>w.e</w:t>
      </w:r>
      <w:proofErr w:type="spellEnd"/>
      <w:r w:rsidRPr="00DE0484">
        <w:rPr>
          <w:color w:val="000000"/>
        </w:rPr>
        <w:t>. yr</w:t>
      </w:r>
      <w:r w:rsidRPr="00DE0484">
        <w:rPr>
          <w:color w:val="000000"/>
          <w:vertAlign w:val="superscript"/>
        </w:rPr>
        <w:t>-1</w:t>
      </w:r>
      <w:r w:rsidRPr="00DE0484">
        <w:rPr>
          <w:color w:val="000000"/>
        </w:rPr>
        <w:t>. Half of this value gave uncertainty for category 1, halved because uncertainty is applied both above and below melt results (</w:t>
      </w:r>
      <w:r w:rsidR="000D2B3C">
        <w:rPr>
          <w:color w:val="000000"/>
        </w:rPr>
        <w:t xml:space="preserve">melt </w:t>
      </w:r>
      <w:r w:rsidRPr="00DE0484">
        <w:rPr>
          <w:color w:val="000000"/>
        </w:rPr>
        <w:t xml:space="preserve">uncertainty = </w:t>
      </w:r>
      <m:oMath>
        <m:r>
          <w:rPr>
            <w:rFonts w:ascii="Cambria Math" w:hAnsi="Cambria Math"/>
          </w:rPr>
          <m:t>±</m:t>
        </m:r>
        <m:r>
          <w:rPr>
            <w:rFonts w:ascii="Cambria Math" w:eastAsia="Cambria Math" w:hAnsi="Cambria Math"/>
            <w:color w:val="000000"/>
          </w:rPr>
          <m:t xml:space="preserve"> </m:t>
        </m:r>
      </m:oMath>
      <w:r w:rsidRPr="00DE0484">
        <w:t>0.16/2 = 0.08 m w.e. yr</w:t>
      </w:r>
      <w:r w:rsidRPr="00DE0484">
        <w:rPr>
          <w:vertAlign w:val="superscript"/>
        </w:rPr>
        <w:t>-1</w:t>
      </w:r>
      <w:r w:rsidRPr="00DE0484">
        <w:t xml:space="preserve">).  </w:t>
      </w:r>
    </w:p>
    <w:p w14:paraId="30609A0E" w14:textId="57BB035D" w:rsidR="008D1AEA" w:rsidRDefault="00B37046">
      <w:pPr>
        <w:rPr>
          <w:color w:val="000000"/>
        </w:rPr>
      </w:pPr>
      <w:r w:rsidRPr="00DE0484">
        <w:t xml:space="preserve">For the 96% of glaciers whose MB biases exceeded 0.03 m </w:t>
      </w:r>
      <w:proofErr w:type="spellStart"/>
      <w:r w:rsidRPr="00DE0484">
        <w:t>w.e</w:t>
      </w:r>
      <w:proofErr w:type="spellEnd"/>
      <w:r w:rsidRPr="00DE0484">
        <w:t>. yr</w:t>
      </w:r>
      <w:r w:rsidRPr="00DE0484">
        <w:rPr>
          <w:vertAlign w:val="superscript"/>
        </w:rPr>
        <w:t>-1</w:t>
      </w:r>
      <w:r w:rsidRPr="00DE0484">
        <w:t xml:space="preserve">, </w:t>
      </w:r>
      <w:r w:rsidR="00C970EE">
        <w:t xml:space="preserve">melt </w:t>
      </w:r>
      <w:r w:rsidRPr="00DE0484">
        <w:t xml:space="preserve">uncertainty stemmed from both model parameter choice and calibration method and application.  The large range of values exceeding 0.03 m </w:t>
      </w:r>
      <w:proofErr w:type="spellStart"/>
      <w:r w:rsidRPr="00DE0484">
        <w:t>w.e</w:t>
      </w:r>
      <w:proofErr w:type="spellEnd"/>
      <w:r w:rsidRPr="00DE0484">
        <w:t>. yr</w:t>
      </w:r>
      <w:r w:rsidRPr="00DE0484">
        <w:rPr>
          <w:vertAlign w:val="superscript"/>
        </w:rPr>
        <w:t xml:space="preserve">-1 </w:t>
      </w:r>
      <w:r w:rsidRPr="00DE0484">
        <w:t xml:space="preserve">necessitated distinguishing between </w:t>
      </w:r>
      <w:r w:rsidR="000D2B3C">
        <w:t xml:space="preserve">melt </w:t>
      </w:r>
      <w:r w:rsidRPr="00DE0484">
        <w:t xml:space="preserve">uncertainty categories 2 and 3.  This threshold (3) was at a MB bias of 1.37 m </w:t>
      </w:r>
      <w:proofErr w:type="spellStart"/>
      <w:r w:rsidRPr="00DE0484">
        <w:t>w.e</w:t>
      </w:r>
      <w:proofErr w:type="spellEnd"/>
      <w:r w:rsidRPr="00DE0484">
        <w:t>. yr</w:t>
      </w:r>
      <w:r w:rsidRPr="00DE0484">
        <w:rPr>
          <w:vertAlign w:val="superscript"/>
        </w:rPr>
        <w:t>-1</w:t>
      </w:r>
      <w:r w:rsidRPr="00DE0484">
        <w:t xml:space="preserve">, which is where MB biases become outliers as defined by Hubert and </w:t>
      </w:r>
      <w:proofErr w:type="spellStart"/>
      <w:r w:rsidRPr="00DE0484">
        <w:t>Vandervieren</w:t>
      </w:r>
      <w:proofErr w:type="spellEnd"/>
      <w:r w:rsidRPr="00DE0484">
        <w:t xml:space="preserve"> (2008) for skewed distributions.  Slope and intercept values were computed separately for categories 2 and 3 (inlying and outlying glaciers, respectively), where </w:t>
      </w:r>
      <w:r w:rsidR="00C970EE">
        <w:t xml:space="preserve">melt </w:t>
      </w:r>
      <w:r w:rsidRPr="00DE0484">
        <w:t xml:space="preserve">uncertainty was assumed to be a linear function of MB bias: </w:t>
      </w:r>
      <w:r w:rsidR="00C970EE">
        <w:t xml:space="preserve">melt </w:t>
      </w:r>
      <w:r w:rsidRPr="00DE0484">
        <w:t xml:space="preserve">uncertainty = </w:t>
      </w:r>
      <m:oMath>
        <m:r>
          <w:rPr>
            <w:rFonts w:ascii="Cambria Math" w:eastAsia="Cambria Math" w:hAnsi="Cambria Math"/>
          </w:rPr>
          <m:t>m</m:t>
        </m:r>
        <m:d>
          <m:dPr>
            <m:ctrlPr>
              <w:rPr>
                <w:rFonts w:ascii="Cambria Math" w:eastAsia="Cambria Math" w:hAnsi="Cambria Math"/>
              </w:rPr>
            </m:ctrlPr>
          </m:dPr>
          <m:e>
            <m:r>
              <w:rPr>
                <w:rFonts w:ascii="Cambria Math" w:eastAsia="Cambria Math" w:hAnsi="Cambria Math"/>
              </w:rPr>
              <m:t>M</m:t>
            </m:r>
            <m:sSub>
              <m:sSubPr>
                <m:ctrlPr>
                  <w:rPr>
                    <w:rFonts w:ascii="Cambria Math" w:eastAsia="Cambria Math" w:hAnsi="Cambria Math"/>
                  </w:rPr>
                </m:ctrlPr>
              </m:sSubPr>
              <m:e>
                <m:r>
                  <w:rPr>
                    <w:rFonts w:ascii="Cambria Math" w:eastAsia="Cambria Math" w:hAnsi="Cambria Math"/>
                  </w:rPr>
                  <m:t>B</m:t>
                </m:r>
              </m:e>
              <m:sub>
                <m:r>
                  <w:rPr>
                    <w:rFonts w:ascii="Cambria Math" w:eastAsia="Cambria Math" w:hAnsi="Cambria Math"/>
                  </w:rPr>
                  <m:t>mdl</m:t>
                </m:r>
              </m:sub>
            </m:sSub>
            <m:r>
              <w:rPr>
                <w:rFonts w:ascii="Cambria Math" w:eastAsia="Cambria Math" w:hAnsi="Cambria Math"/>
              </w:rPr>
              <m:t>-M</m:t>
            </m:r>
            <m:sSub>
              <m:sSubPr>
                <m:ctrlPr>
                  <w:rPr>
                    <w:rFonts w:ascii="Cambria Math" w:eastAsia="Cambria Math" w:hAnsi="Cambria Math"/>
                  </w:rPr>
                </m:ctrlPr>
              </m:sSubPr>
              <m:e>
                <m:r>
                  <w:rPr>
                    <w:rFonts w:ascii="Cambria Math" w:eastAsia="Cambria Math" w:hAnsi="Cambria Math"/>
                  </w:rPr>
                  <m:t>B</m:t>
                </m:r>
              </m:e>
              <m:sub>
                <m:r>
                  <w:rPr>
                    <w:rFonts w:ascii="Cambria Math" w:eastAsia="Cambria Math" w:hAnsi="Cambria Math"/>
                  </w:rPr>
                  <m:t>geo</m:t>
                </m:r>
              </m:sub>
            </m:sSub>
          </m:e>
        </m:d>
        <m:r>
          <w:rPr>
            <w:rFonts w:ascii="Cambria Math" w:eastAsia="Cambria Math" w:hAnsi="Cambria Math"/>
          </w:rPr>
          <m:t>+b.</m:t>
        </m:r>
      </m:oMath>
      <w:r w:rsidRPr="00DE0484">
        <w:t xml:space="preserve"> (4) For inlying glaciers, m = 0.54 and b = 0.07, because the </w:t>
      </w:r>
      <w:r w:rsidR="000D2B3C">
        <w:t xml:space="preserve">melt </w:t>
      </w:r>
      <w:r w:rsidRPr="00DE0484">
        <w:t>uncertainty at MB deviation = 1.37 m w.e. yr</w:t>
      </w:r>
      <w:r w:rsidRPr="00DE0484">
        <w:rPr>
          <w:vertAlign w:val="superscript"/>
        </w:rPr>
        <w:t>-1</w:t>
      </w:r>
      <w:r w:rsidRPr="00DE0484">
        <w:t xml:space="preserve"> was set equal to half of the maximum melt range observed in model runs with the 12-glacier set (1.61/2 = 0.81).  Glaciers with statistically outlying differences in model – geodetic mass balance values comprised only 14% of the glaciers with </w:t>
      </w:r>
      <w:r w:rsidR="000D2B3C">
        <w:t xml:space="preserve">melt </w:t>
      </w:r>
      <w:r w:rsidRPr="00DE0484">
        <w:t xml:space="preserve">uncertainty from calibration as well as parameters.  (5) Using </w:t>
      </w:r>
      <w:proofErr w:type="gramStart"/>
      <w:r w:rsidRPr="00DE0484">
        <w:t>half</w:t>
      </w:r>
      <w:proofErr w:type="gramEnd"/>
      <w:r w:rsidRPr="00DE0484">
        <w:t xml:space="preserve"> the melt variation of the glacier having the largest model – geodetic MB deviation (-13.85/2 = -6.92), we found an uncertainty relationship with m = 0.48 and b = 0.14.  Specifying the MB bias, melt values of (1.37, 0.81) and (14.05, 6.92) gave the maximum </w:t>
      </w:r>
      <w:r w:rsidR="00C970EE">
        <w:t xml:space="preserve">melt </w:t>
      </w:r>
      <w:r w:rsidRPr="00DE0484">
        <w:t xml:space="preserve">uncertainty because melt values of 0.81 and 6.92 m </w:t>
      </w:r>
      <w:proofErr w:type="spellStart"/>
      <w:r w:rsidRPr="00DE0484">
        <w:t>w.e</w:t>
      </w:r>
      <w:proofErr w:type="spellEnd"/>
      <w:r w:rsidRPr="00DE0484">
        <w:t>. yr</w:t>
      </w:r>
      <w:r w:rsidRPr="00DE0484">
        <w:rPr>
          <w:vertAlign w:val="superscript"/>
        </w:rPr>
        <w:t>-1</w:t>
      </w:r>
      <w:r w:rsidRPr="00DE0484">
        <w:t xml:space="preserve"> were the greatest simulated by the model for the 12-glacier test set and for the population’s largest outlier, respectively.  </w:t>
      </w:r>
      <w:r w:rsidRPr="00DE0484">
        <w:rPr>
          <w:color w:val="000000"/>
        </w:rPr>
        <w:t xml:space="preserve">Such an approach is a conservative one and ensures encapsulating all lesser values of uncertainty. </w:t>
      </w:r>
    </w:p>
    <w:p w14:paraId="55699B73" w14:textId="0274947D" w:rsidR="00EF4FCA" w:rsidRPr="00DE0484" w:rsidRDefault="00EF4FCA" w:rsidP="00EF4FCA">
      <w:r w:rsidRPr="00DE0484">
        <w:t>For all glaciers in categories 2 and 3</w:t>
      </w:r>
      <w:r w:rsidR="00C970EE">
        <w:t>—</w:t>
      </w:r>
      <w:r w:rsidRPr="00DE0484">
        <w:t>those whose uncertainties derived from both parameter selection and calibration of the PCF</w:t>
      </w:r>
      <w:r w:rsidR="00C970EE">
        <w:t>—</w:t>
      </w:r>
      <w:r w:rsidRPr="00DE0484">
        <w:t>precipitation adjustments affect both accumulation and ablation.  Figure S2 shows that the two are equally sensitive to the perturbations in precipitation introduced by the calibration</w:t>
      </w:r>
      <w:r w:rsidRPr="00DE0484">
        <w:rPr>
          <w:highlight w:val="white"/>
        </w:rPr>
        <w:t xml:space="preserve"> (melt range / MB range has a mean of 49.85% for the 12-glacier set).  The same variation in PCF gives the mass balance ranges in red and the melt ranges in blue.</w:t>
      </w:r>
    </w:p>
    <w:p w14:paraId="4F7D6E82" w14:textId="77777777" w:rsidR="00EF4FCA" w:rsidRPr="00374528" w:rsidRDefault="00EF4FCA" w:rsidP="00EF4F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color w:val="000000"/>
        </w:rPr>
      </w:pPr>
      <w:r w:rsidRPr="00374528">
        <w:rPr>
          <w:color w:val="000000"/>
        </w:rPr>
        <w:t>For every glacier in the UIB, we use one of the three categories of melt uncertainty calculated above to determine that glacier's melt uncertainty. For example, if the mass balance bias for a given glacier falls within Category 2, that glacier's melt uncertainty will be 0.48(</w:t>
      </w:r>
      <m:oMath>
        <m:r>
          <m:rPr>
            <m:sty m:val="p"/>
          </m:rPr>
          <w:rPr>
            <w:rFonts w:ascii="Cambria Math" w:hAnsi="Cambria Math"/>
            <w:color w:val="000000"/>
          </w:rPr>
          <m:t>Δ</m:t>
        </m:r>
      </m:oMath>
      <w:r>
        <w:rPr>
          <w:color w:val="000000"/>
        </w:rPr>
        <w:t xml:space="preserve"> </w:t>
      </w:r>
      <w:r w:rsidRPr="00374528">
        <w:rPr>
          <w:color w:val="000000"/>
        </w:rPr>
        <w:t>MB) + 0.14. A neighboring glacier may fall in Category 1, and its melt uncertainty will be equal to 0.08. The uncertainty in integrated melt within each subbasin (whiskers in Figure 5) is the propagation of error from each glacier within the subbasin.</w:t>
      </w:r>
    </w:p>
    <w:p w14:paraId="353DC78D" w14:textId="77777777" w:rsidR="008D1AEA" w:rsidRPr="00DE0484" w:rsidRDefault="00B37046">
      <w:pPr>
        <w:spacing w:before="0" w:after="0" w:line="276" w:lineRule="auto"/>
        <w:rPr>
          <w:rFonts w:eastAsia="Arial"/>
          <w:color w:val="222222"/>
          <w:sz w:val="20"/>
          <w:szCs w:val="20"/>
          <w:highlight w:val="white"/>
        </w:rPr>
      </w:pPr>
      <w:r w:rsidRPr="00DE0484">
        <w:rPr>
          <w:rFonts w:eastAsia="Arial"/>
          <w:noProof/>
          <w:color w:val="222222"/>
          <w:sz w:val="20"/>
          <w:szCs w:val="20"/>
          <w:highlight w:val="white"/>
        </w:rPr>
        <w:drawing>
          <wp:inline distT="114300" distB="114300" distL="114300" distR="114300" wp14:anchorId="3D162A60" wp14:editId="16646F6E">
            <wp:extent cx="6208395" cy="3962400"/>
            <wp:effectExtent l="0" t="0" r="0" b="0"/>
            <wp:docPr id="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6208395" cy="3962400"/>
                    </a:xfrm>
                    <a:prstGeom prst="rect">
                      <a:avLst/>
                    </a:prstGeom>
                    <a:ln/>
                  </pic:spPr>
                </pic:pic>
              </a:graphicData>
            </a:graphic>
          </wp:inline>
        </w:drawing>
      </w:r>
    </w:p>
    <w:p w14:paraId="1E1D37AE" w14:textId="4D7122B3" w:rsidR="008D1AEA" w:rsidRPr="00DE0484" w:rsidRDefault="00B37046">
      <w:pPr>
        <w:spacing w:before="0" w:after="0" w:line="276" w:lineRule="auto"/>
        <w:rPr>
          <w:b/>
          <w:color w:val="222222"/>
          <w:sz w:val="20"/>
          <w:szCs w:val="20"/>
          <w:highlight w:val="white"/>
        </w:rPr>
      </w:pPr>
      <w:r w:rsidRPr="00DE0484">
        <w:rPr>
          <w:b/>
          <w:color w:val="222222"/>
          <w:sz w:val="20"/>
          <w:szCs w:val="20"/>
          <w:highlight w:val="white"/>
        </w:rPr>
        <w:t xml:space="preserve">Figure </w:t>
      </w:r>
      <w:r w:rsidR="00037FDB" w:rsidRPr="00DE0484">
        <w:rPr>
          <w:b/>
          <w:color w:val="222222"/>
          <w:sz w:val="20"/>
          <w:szCs w:val="20"/>
          <w:highlight w:val="white"/>
        </w:rPr>
        <w:t>S</w:t>
      </w:r>
      <w:r w:rsidR="00037FDB">
        <w:rPr>
          <w:b/>
          <w:color w:val="222222"/>
          <w:sz w:val="20"/>
          <w:szCs w:val="20"/>
          <w:highlight w:val="white"/>
        </w:rPr>
        <w:t>4</w:t>
      </w:r>
      <w:r w:rsidRPr="00DE0484">
        <w:rPr>
          <w:b/>
          <w:color w:val="222222"/>
          <w:sz w:val="20"/>
          <w:szCs w:val="20"/>
          <w:highlight w:val="white"/>
        </w:rPr>
        <w:t xml:space="preserve">: The effects of calibrating the model through precipitation: impacts of a shift in precipitation correction factor (PCF) by a standard deviation (+/- 1 sigma) of all 323 calibrated </w:t>
      </w:r>
      <w:r w:rsidR="00D54012" w:rsidRPr="00DE0484">
        <w:rPr>
          <w:b/>
          <w:color w:val="222222"/>
          <w:sz w:val="20"/>
          <w:szCs w:val="20"/>
          <w:highlight w:val="white"/>
        </w:rPr>
        <w:t>P</w:t>
      </w:r>
      <w:r w:rsidR="00D54012">
        <w:rPr>
          <w:b/>
          <w:color w:val="222222"/>
          <w:sz w:val="20"/>
          <w:szCs w:val="20"/>
          <w:highlight w:val="white"/>
        </w:rPr>
        <w:t>C</w:t>
      </w:r>
      <w:r w:rsidR="00D54012" w:rsidRPr="00DE0484">
        <w:rPr>
          <w:b/>
          <w:color w:val="222222"/>
          <w:sz w:val="20"/>
          <w:szCs w:val="20"/>
          <w:highlight w:val="white"/>
        </w:rPr>
        <w:t>Fs</w:t>
      </w:r>
      <w:r w:rsidRPr="00DE0484">
        <w:rPr>
          <w:b/>
          <w:color w:val="222222"/>
          <w:sz w:val="20"/>
          <w:szCs w:val="20"/>
          <w:highlight w:val="white"/>
        </w:rPr>
        <w:t xml:space="preserve">.  This figure demonstrates that glacier-to-glacier variability is small and that the same PCF variation elicits twice the response in MB as it does to the melt (mean melt proportion = </w:t>
      </w:r>
      <w:r w:rsidRPr="00DE0484">
        <w:rPr>
          <w:b/>
          <w:sz w:val="20"/>
          <w:szCs w:val="20"/>
          <w:highlight w:val="white"/>
        </w:rPr>
        <w:t>49.85%).</w:t>
      </w:r>
    </w:p>
    <w:p w14:paraId="61EDBE50" w14:textId="77777777" w:rsidR="008D1AEA" w:rsidRPr="00DE0484" w:rsidRDefault="008D1AEA">
      <w:pPr>
        <w:spacing w:before="0" w:after="0" w:line="276" w:lineRule="auto"/>
        <w:rPr>
          <w:rFonts w:eastAsia="Arial"/>
          <w:color w:val="222222"/>
          <w:sz w:val="20"/>
          <w:szCs w:val="20"/>
          <w:highlight w:val="white"/>
        </w:rPr>
      </w:pPr>
    </w:p>
    <w:p w14:paraId="35474476" w14:textId="77777777" w:rsidR="008D1AEA" w:rsidRPr="00DE0484" w:rsidRDefault="008D1AEA">
      <w:pPr>
        <w:spacing w:before="0" w:after="0" w:line="276" w:lineRule="auto"/>
      </w:pPr>
    </w:p>
    <w:p w14:paraId="640BAED9" w14:textId="36049DE1" w:rsidR="00F41F3B" w:rsidRPr="00F41F3B" w:rsidRDefault="00F41F3B" w:rsidP="00F41F3B">
      <w:pPr>
        <w:pStyle w:val="NormalWeb"/>
      </w:pPr>
      <w:r w:rsidRPr="00853701">
        <w:t xml:space="preserve">Hubert, M., and </w:t>
      </w:r>
      <w:proofErr w:type="spellStart"/>
      <w:r w:rsidRPr="00853701">
        <w:t>Vandervieren</w:t>
      </w:r>
      <w:proofErr w:type="spellEnd"/>
      <w:r w:rsidRPr="00853701">
        <w:t xml:space="preserve">, E. (2008). An Adjusted Boxplot for Skewed Distributions. </w:t>
      </w:r>
      <w:proofErr w:type="spellStart"/>
      <w:r w:rsidRPr="00853701">
        <w:t>Comput</w:t>
      </w:r>
      <w:proofErr w:type="spellEnd"/>
      <w:r w:rsidRPr="00853701">
        <w:t>. Stat. Data Anal. 52 (12), 5186</w:t>
      </w:r>
      <w:r w:rsidRPr="00853701">
        <w:rPr>
          <w:rFonts w:hint="eastAsia"/>
        </w:rPr>
        <w:t>–</w:t>
      </w:r>
      <w:r w:rsidRPr="00853701">
        <w:t xml:space="preserve">5201. </w:t>
      </w:r>
      <w:proofErr w:type="gramStart"/>
      <w:r w:rsidRPr="00853701">
        <w:t>doi:10.1016/j.csda</w:t>
      </w:r>
      <w:proofErr w:type="gramEnd"/>
      <w:r w:rsidRPr="00853701">
        <w:t xml:space="preserve">.2007.11.008 </w:t>
      </w:r>
    </w:p>
    <w:p w14:paraId="2214D833" w14:textId="77777777" w:rsidR="00F41F3B" w:rsidRPr="00F41F3B" w:rsidRDefault="00F41F3B" w:rsidP="00F41F3B">
      <w:pPr>
        <w:pStyle w:val="NormalWeb"/>
      </w:pPr>
      <w:proofErr w:type="spellStart"/>
      <w:r w:rsidRPr="00853701">
        <w:t>Shean</w:t>
      </w:r>
      <w:proofErr w:type="spellEnd"/>
      <w:r w:rsidRPr="00853701">
        <w:t xml:space="preserve">, D. E., Bhushan, S., Montesano, P., </w:t>
      </w:r>
      <w:proofErr w:type="spellStart"/>
      <w:r w:rsidRPr="00853701">
        <w:t>Rounce</w:t>
      </w:r>
      <w:proofErr w:type="spellEnd"/>
      <w:r w:rsidRPr="00853701">
        <w:t xml:space="preserve">, D. R., Arendt, A., and </w:t>
      </w:r>
      <w:proofErr w:type="spellStart"/>
      <w:r w:rsidRPr="00853701">
        <w:t>Osmanoglu</w:t>
      </w:r>
      <w:proofErr w:type="spellEnd"/>
      <w:r w:rsidRPr="00853701">
        <w:t xml:space="preserve">, B. (2020). A Systematic, Regional Assessment of High Mountain Asia Glacier Mass Balance. Front. Earth Sci. 7, 363. doi:10.3389/feart.2019.00363 </w:t>
      </w:r>
    </w:p>
    <w:p w14:paraId="28BABE68" w14:textId="7D0ACAD9" w:rsidR="008D1AEA" w:rsidRPr="00DE0484" w:rsidRDefault="008D1AEA" w:rsidP="00F41F3B">
      <w:pPr>
        <w:spacing w:before="240"/>
      </w:pPr>
    </w:p>
    <w:sectPr w:rsidR="008D1AEA" w:rsidRPr="00DE0484" w:rsidSect="003C23B0">
      <w:headerReference w:type="even" r:id="rId12"/>
      <w:headerReference w:type="default" r:id="rId13"/>
      <w:footerReference w:type="even" r:id="rId14"/>
      <w:footerReference w:type="default" r:id="rId15"/>
      <w:headerReference w:type="first" r:id="rId16"/>
      <w:footerReference w:type="first" r:id="rId17"/>
      <w:pgSz w:w="12240" w:h="15840"/>
      <w:pgMar w:top="1138" w:right="1181" w:bottom="1138" w:left="1282"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370F0" w14:textId="77777777" w:rsidR="00DA77C8" w:rsidRDefault="00DA77C8">
      <w:pPr>
        <w:spacing w:before="0" w:after="0"/>
      </w:pPr>
      <w:r>
        <w:separator/>
      </w:r>
    </w:p>
  </w:endnote>
  <w:endnote w:type="continuationSeparator" w:id="0">
    <w:p w14:paraId="7905D725" w14:textId="77777777" w:rsidR="00DA77C8" w:rsidRDefault="00DA77C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8A8B" w14:textId="77777777" w:rsidR="008D1AEA" w:rsidRDefault="00B37046">
    <w:pPr>
      <w:rPr>
        <w:color w:val="C00000"/>
      </w:rPr>
    </w:pPr>
    <w:r>
      <w:rPr>
        <w:noProof/>
      </w:rPr>
      <mc:AlternateContent>
        <mc:Choice Requires="wps">
          <w:drawing>
            <wp:anchor distT="0" distB="0" distL="114300" distR="114300" simplePos="0" relativeHeight="251659264" behindDoc="0" locked="0" layoutInCell="1" hidden="0" allowOverlap="1" wp14:anchorId="1B42C023" wp14:editId="6AD1CA8A">
              <wp:simplePos x="0" y="0"/>
              <wp:positionH relativeFrom="column">
                <wp:posOffset>4686300</wp:posOffset>
              </wp:positionH>
              <wp:positionV relativeFrom="paragraph">
                <wp:posOffset>0</wp:posOffset>
              </wp:positionV>
              <wp:extent cx="1518285" cy="405130"/>
              <wp:effectExtent l="0" t="0" r="0" b="0"/>
              <wp:wrapNone/>
              <wp:docPr id="57" name="Rectangle 57"/>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14:paraId="5E866CBF" w14:textId="77777777" w:rsidR="008D1AEA" w:rsidRDefault="00B37046">
                          <w:pPr>
                            <w:jc w:val="right"/>
                            <w:textDirection w:val="btLr"/>
                          </w:pPr>
                          <w:r>
                            <w:rPr>
                              <w:color w:val="000000"/>
                            </w:rPr>
                            <w:t xml:space="preserve"> PAGE  \* Arabic  \* MERGEFORMAT 2</w:t>
                          </w:r>
                        </w:p>
                      </w:txbxContent>
                    </wps:txbx>
                    <wps:bodyPr spcFirstLastPara="1" wrap="square" lIns="91425" tIns="45700" rIns="91425" bIns="45700" anchor="t" anchorCtr="0">
                      <a:noAutofit/>
                    </wps:bodyPr>
                  </wps:wsp>
                </a:graphicData>
              </a:graphic>
            </wp:anchor>
          </w:drawing>
        </mc:Choice>
        <mc:Fallback>
          <w:pict>
            <v:rect w14:anchorId="1B42C023" id="Rectangle 57" o:spid="_x0000_s1026" style="position:absolute;margin-left:369pt;margin-top:0;width:119.55pt;height:3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" filled="f" stroked="f">
              <v:textbox inset="2.53958mm,1.2694mm,2.53958mm,1.2694mm">
                <w:txbxContent>
                  <w:p w14:paraId="5E866CBF" w14:textId="77777777" w:rsidR="008D1AEA" w:rsidRDefault="00B37046">
                    <w:pPr>
                      <w:jc w:val="right"/>
                      <w:textDirection w:val="btLr"/>
                    </w:pPr>
                    <w:r>
                      <w:rPr>
                        <w:color w:val="000000"/>
                      </w:rPr>
                      <w:t xml:space="preserve"> </w:t>
                    </w:r>
                    <w:proofErr w:type="gramStart"/>
                    <w:r>
                      <w:rPr>
                        <w:color w:val="000000"/>
                      </w:rPr>
                      <w:t>PAGE  \</w:t>
                    </w:r>
                    <w:proofErr w:type="gramEnd"/>
                    <w:r>
                      <w:rPr>
                        <w:color w:val="000000"/>
                      </w:rPr>
                      <w:t>* Arabic  \* MERGEFORMAT 2</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41B2" w14:textId="75778CC1" w:rsidR="00DA3B39" w:rsidRDefault="00DA3B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15D74" w14:textId="77777777" w:rsidR="00DA3B39" w:rsidRDefault="00DA3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22743" w14:textId="77777777" w:rsidR="00DA77C8" w:rsidRDefault="00DA77C8">
      <w:pPr>
        <w:spacing w:before="0" w:after="0"/>
      </w:pPr>
      <w:r>
        <w:separator/>
      </w:r>
    </w:p>
  </w:footnote>
  <w:footnote w:type="continuationSeparator" w:id="0">
    <w:p w14:paraId="248FD664" w14:textId="77777777" w:rsidR="00DA77C8" w:rsidRDefault="00DA77C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F88EC" w14:textId="77777777" w:rsidR="008D1AEA" w:rsidRDefault="00B37046">
    <w: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DB9F" w14:textId="3583E73C" w:rsidR="00DA3B39" w:rsidRPr="00DA3B39" w:rsidRDefault="00DA3B39" w:rsidP="00DA3B39">
    <w:pPr>
      <w:pStyle w:val="Header"/>
      <w:jc w:val="right"/>
      <w:rPr>
        <w:b w:val="0"/>
        <w:bCs/>
        <w:color w:val="808080" w:themeColor="background1" w:themeShade="80"/>
      </w:rPr>
    </w:pPr>
    <w:r w:rsidRPr="00DA3B39">
      <w:rPr>
        <w:b w:val="0"/>
        <w:bCs/>
        <w:color w:val="808080" w:themeColor="background1" w:themeShade="80"/>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2919" w14:textId="0745723B" w:rsidR="00DA3B39" w:rsidRDefault="00DA3B39">
    <w:pPr>
      <w:pStyle w:val="Header"/>
    </w:pPr>
    <w:r w:rsidRPr="005A1D84">
      <w:rPr>
        <w:b w:val="0"/>
        <w:noProof/>
        <w:color w:val="A6A6A6" w:themeColor="background1" w:themeShade="A6"/>
        <w:lang w:val="en-GB" w:eastAsia="en-GB"/>
      </w:rPr>
      <w:drawing>
        <wp:inline distT="0" distB="0" distL="0" distR="0" wp14:anchorId="6EE37216" wp14:editId="269CB48D">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p w14:paraId="00880D78" w14:textId="41221CE4" w:rsidR="008D1AEA" w:rsidRDefault="008D1A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E62CD"/>
    <w:multiLevelType w:val="hybridMultilevel"/>
    <w:tmpl w:val="2E4ED0C4"/>
    <w:lvl w:ilvl="0" w:tplc="27EAA03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7B461F"/>
    <w:multiLevelType w:val="hybridMultilevel"/>
    <w:tmpl w:val="7C30A5E6"/>
    <w:lvl w:ilvl="0" w:tplc="A47A885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ED82574"/>
    <w:multiLevelType w:val="multilevel"/>
    <w:tmpl w:val="34A0526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45468602">
    <w:abstractNumId w:val="2"/>
  </w:num>
  <w:num w:numId="2" w16cid:durableId="15575508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96996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40525101">
    <w:abstractNumId w:val="0"/>
  </w:num>
  <w:num w:numId="5" w16cid:durableId="722094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AEA"/>
    <w:rsid w:val="00037FDB"/>
    <w:rsid w:val="000458A8"/>
    <w:rsid w:val="00096A2C"/>
    <w:rsid w:val="000D2B3C"/>
    <w:rsid w:val="00135195"/>
    <w:rsid w:val="00176785"/>
    <w:rsid w:val="001C4328"/>
    <w:rsid w:val="001E4187"/>
    <w:rsid w:val="00203AE8"/>
    <w:rsid w:val="003132BE"/>
    <w:rsid w:val="00374528"/>
    <w:rsid w:val="003C23B0"/>
    <w:rsid w:val="00511FD0"/>
    <w:rsid w:val="00684B7A"/>
    <w:rsid w:val="0074477D"/>
    <w:rsid w:val="00853701"/>
    <w:rsid w:val="008D1AEA"/>
    <w:rsid w:val="009B78D4"/>
    <w:rsid w:val="00A1256A"/>
    <w:rsid w:val="00B37046"/>
    <w:rsid w:val="00C970EE"/>
    <w:rsid w:val="00D0390C"/>
    <w:rsid w:val="00D54012"/>
    <w:rsid w:val="00DA3B39"/>
    <w:rsid w:val="00DA77C8"/>
    <w:rsid w:val="00DE0484"/>
    <w:rsid w:val="00EE67D0"/>
    <w:rsid w:val="00EF4FCA"/>
    <w:rsid w:val="00F41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91025"/>
  <w15:docId w15:val="{247C07F3-E4DC-1C4D-9A46-1E53061BB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style>
  <w:style w:type="paragraph" w:styleId="Heading1">
    <w:name w:val="heading 1"/>
    <w:basedOn w:val="ListParagraph"/>
    <w:next w:val="Normal"/>
    <w:link w:val="Heading1Char"/>
    <w:uiPriority w:val="9"/>
    <w:qFormat/>
    <w:rsid w:val="00AB6715"/>
    <w:pPr>
      <w:numPr>
        <w:numId w:val="1"/>
      </w:numPr>
      <w:spacing w:before="240"/>
      <w:contextualSpacing w:val="0"/>
      <w:outlineLvl w:val="0"/>
    </w:pPr>
    <w:rPr>
      <w:b/>
    </w:rPr>
  </w:style>
  <w:style w:type="paragraph" w:styleId="Heading2">
    <w:name w:val="heading 2"/>
    <w:basedOn w:val="Heading1"/>
    <w:next w:val="Normal"/>
    <w:link w:val="Heading2Char"/>
    <w:uiPriority w:val="9"/>
    <w:semiHidden/>
    <w:unhideWhenUsed/>
    <w:qFormat/>
    <w:rsid w:val="00AB6715"/>
    <w:pPr>
      <w:numPr>
        <w:ilvl w:val="1"/>
      </w:numPr>
      <w:spacing w:after="200"/>
      <w:outlineLvl w:val="1"/>
    </w:pPr>
  </w:style>
  <w:style w:type="paragraph" w:styleId="Heading3">
    <w:name w:val="heading 3"/>
    <w:basedOn w:val="Normal"/>
    <w:next w:val="Normal"/>
    <w:link w:val="Heading3Char"/>
    <w:uiPriority w:val="9"/>
    <w:semiHidden/>
    <w:unhideWhenUsed/>
    <w:qFormat/>
    <w:rsid w:val="00AB6715"/>
    <w:pPr>
      <w:keepNext/>
      <w:keepLines/>
      <w:numPr>
        <w:ilvl w:val="2"/>
        <w:numId w:val="1"/>
      </w:numPr>
      <w:spacing w:before="40" w:after="120"/>
      <w:outlineLvl w:val="2"/>
    </w:pPr>
    <w:rPr>
      <w:rFonts w:eastAsiaTheme="majorEastAsia" w:cstheme="majorBidi"/>
      <w:b/>
    </w:rPr>
  </w:style>
  <w:style w:type="paragraph" w:styleId="Heading4">
    <w:name w:val="heading 4"/>
    <w:basedOn w:val="Heading3"/>
    <w:next w:val="Normal"/>
    <w:link w:val="Heading4Char"/>
    <w:uiPriority w:val="9"/>
    <w:semiHidden/>
    <w:unhideWhenUsed/>
    <w:qFormat/>
    <w:rsid w:val="00AB6715"/>
    <w:pPr>
      <w:numPr>
        <w:ilvl w:val="3"/>
      </w:numPr>
      <w:outlineLvl w:val="3"/>
    </w:pPr>
    <w:rPr>
      <w:iCs/>
    </w:rPr>
  </w:style>
  <w:style w:type="paragraph" w:styleId="Heading5">
    <w:name w:val="heading 5"/>
    <w:basedOn w:val="Heading4"/>
    <w:next w:val="Normal"/>
    <w:link w:val="Heading5Char"/>
    <w:uiPriority w:val="9"/>
    <w:semiHidden/>
    <w:unhideWhenUsed/>
    <w:qFormat/>
    <w:rsid w:val="00AB6715"/>
    <w:pPr>
      <w:numPr>
        <w:ilvl w:val="4"/>
      </w:num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6715"/>
    <w:pPr>
      <w:suppressLineNumbers/>
      <w:spacing w:before="240" w:after="360"/>
      <w:jc w:val="center"/>
    </w:pPr>
    <w:rPr>
      <w:b/>
      <w:sz w:val="32"/>
      <w:szCs w:val="32"/>
    </w:rPr>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11"/>
    <w:qFormat/>
    <w:pPr>
      <w:spacing w:before="240"/>
    </w:pPr>
    <w:rPr>
      <w:b/>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b/>
      <w:bCs/>
    </w:rPr>
  </w:style>
  <w:style w:type="paragraph" w:styleId="NoSpacing">
    <w:name w:val="No Spacing"/>
    <w:uiPriority w:val="99"/>
    <w:unhideWhenUsed/>
    <w:qFormat/>
    <w:rsid w:val="00AB6715"/>
    <w:pPr>
      <w:spacing w:after="0"/>
    </w:pPr>
  </w:style>
  <w:style w:type="character" w:styleId="CommentReference">
    <w:name w:val="annotation reference"/>
    <w:basedOn w:val="DefaultParagraphFont"/>
    <w:uiPriority w:val="99"/>
    <w:semiHidden/>
    <w:unhideWhenUsed/>
    <w:qFormat/>
    <w:rsid w:val="00AB6715"/>
    <w:rPr>
      <w:sz w:val="16"/>
      <w:szCs w:val="16"/>
    </w:rPr>
  </w:style>
  <w:style w:type="paragraph" w:styleId="CommentText">
    <w:name w:val="annotation text"/>
    <w:basedOn w:val="Normal"/>
    <w:link w:val="CommentTextChar"/>
    <w:uiPriority w:val="99"/>
    <w:semiHidden/>
    <w:unhideWhenUsed/>
    <w:qFormat/>
    <w:rsid w:val="00AB6715"/>
    <w:rPr>
      <w:sz w:val="20"/>
      <w:szCs w:val="20"/>
    </w:rPr>
  </w:style>
  <w:style w:type="character" w:customStyle="1" w:styleId="CommentTextChar">
    <w:name w:val="Comment Text Char"/>
    <w:basedOn w:val="DefaultParagraphFont"/>
    <w:link w:val="CommentText"/>
    <w:uiPriority w:val="99"/>
    <w:semiHidden/>
    <w:qFormat/>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tabs>
        <w:tab w:val="num" w:pos="720"/>
      </w:tabs>
      <w:ind w:left="720" w:hanging="720"/>
      <w:contextualSpacing/>
    </w:pPr>
    <w:rPr>
      <w:rFonts w:eastAsia="Cambria"/>
    </w:rPr>
  </w:style>
  <w:style w:type="numbering" w:customStyle="1" w:styleId="Headings">
    <w:name w:val="Headings"/>
    <w:uiPriority w:val="99"/>
    <w:rsid w:val="00AB6715"/>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374528"/>
    <w:rPr>
      <w:color w:val="808080"/>
    </w:rPr>
  </w:style>
  <w:style w:type="paragraph" w:styleId="Revision">
    <w:name w:val="Revision"/>
    <w:hidden/>
    <w:uiPriority w:val="99"/>
    <w:semiHidden/>
    <w:rsid w:val="00EF4FCA"/>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779255">
      <w:bodyDiv w:val="1"/>
      <w:marLeft w:val="0"/>
      <w:marRight w:val="0"/>
      <w:marTop w:val="0"/>
      <w:marBottom w:val="0"/>
      <w:divBdr>
        <w:top w:val="none" w:sz="0" w:space="0" w:color="auto"/>
        <w:left w:val="none" w:sz="0" w:space="0" w:color="auto"/>
        <w:bottom w:val="none" w:sz="0" w:space="0" w:color="auto"/>
        <w:right w:val="none" w:sz="0" w:space="0" w:color="auto"/>
      </w:divBdr>
      <w:divsChild>
        <w:div w:id="1257984765">
          <w:marLeft w:val="0"/>
          <w:marRight w:val="0"/>
          <w:marTop w:val="0"/>
          <w:marBottom w:val="0"/>
          <w:divBdr>
            <w:top w:val="none" w:sz="0" w:space="0" w:color="auto"/>
            <w:left w:val="none" w:sz="0" w:space="0" w:color="auto"/>
            <w:bottom w:val="none" w:sz="0" w:space="0" w:color="auto"/>
            <w:right w:val="none" w:sz="0" w:space="0" w:color="auto"/>
          </w:divBdr>
          <w:divsChild>
            <w:div w:id="732243189">
              <w:marLeft w:val="0"/>
              <w:marRight w:val="0"/>
              <w:marTop w:val="0"/>
              <w:marBottom w:val="0"/>
              <w:divBdr>
                <w:top w:val="none" w:sz="0" w:space="0" w:color="auto"/>
                <w:left w:val="none" w:sz="0" w:space="0" w:color="auto"/>
                <w:bottom w:val="none" w:sz="0" w:space="0" w:color="auto"/>
                <w:right w:val="none" w:sz="0" w:space="0" w:color="auto"/>
              </w:divBdr>
              <w:divsChild>
                <w:div w:id="101561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39432">
      <w:bodyDiv w:val="1"/>
      <w:marLeft w:val="0"/>
      <w:marRight w:val="0"/>
      <w:marTop w:val="0"/>
      <w:marBottom w:val="0"/>
      <w:divBdr>
        <w:top w:val="none" w:sz="0" w:space="0" w:color="auto"/>
        <w:left w:val="none" w:sz="0" w:space="0" w:color="auto"/>
        <w:bottom w:val="none" w:sz="0" w:space="0" w:color="auto"/>
        <w:right w:val="none" w:sz="0" w:space="0" w:color="auto"/>
      </w:divBdr>
      <w:divsChild>
        <w:div w:id="1347101604">
          <w:marLeft w:val="0"/>
          <w:marRight w:val="0"/>
          <w:marTop w:val="0"/>
          <w:marBottom w:val="0"/>
          <w:divBdr>
            <w:top w:val="none" w:sz="0" w:space="0" w:color="auto"/>
            <w:left w:val="none" w:sz="0" w:space="0" w:color="auto"/>
            <w:bottom w:val="none" w:sz="0" w:space="0" w:color="auto"/>
            <w:right w:val="none" w:sz="0" w:space="0" w:color="auto"/>
          </w:divBdr>
          <w:divsChild>
            <w:div w:id="2070497981">
              <w:marLeft w:val="0"/>
              <w:marRight w:val="0"/>
              <w:marTop w:val="0"/>
              <w:marBottom w:val="0"/>
              <w:divBdr>
                <w:top w:val="none" w:sz="0" w:space="0" w:color="auto"/>
                <w:left w:val="none" w:sz="0" w:space="0" w:color="auto"/>
                <w:bottom w:val="none" w:sz="0" w:space="0" w:color="auto"/>
                <w:right w:val="none" w:sz="0" w:space="0" w:color="auto"/>
              </w:divBdr>
              <w:divsChild>
                <w:div w:id="4870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hqTTMmuSoDFhaTiG5bpD4e28dw==">AMUW2mXU/Uzlgj0jhJSY8eFio3xt9RXui02bi0WCLmwoPuP3a/Pypap1Xlmg7B5VHjpOkAVIOTHziLcKCxHh+vS3gb+Krcd9hufuD9UlgiKRJ9VtjGQlB4C6qDJeq7G4yd2dBPaI2UDW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1421</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Giorgia Aprile</cp:lastModifiedBy>
  <cp:revision>2</cp:revision>
  <cp:lastPrinted>2021-11-23T22:51:00Z</cp:lastPrinted>
  <dcterms:created xsi:type="dcterms:W3CDTF">2022-07-11T10:02:00Z</dcterms:created>
  <dcterms:modified xsi:type="dcterms:W3CDTF">2022-07-11T10:02:00Z</dcterms:modified>
</cp:coreProperties>
</file>