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360" w:lineRule="auto"/>
        <w:jc w:val="left"/>
        <w:textAlignment w:val="auto"/>
        <w:rPr>
          <w:rFonts w:hint="eastAsia" w:ascii="Times New Roman" w:hAnsi="Times New Roman" w:cs="Times New Roman" w:eastAsia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 w:val="0"/>
          <w:bCs/>
          <w:sz w:val="24"/>
          <w:szCs w:val="24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 w:eastAsiaTheme="minorEastAsia"/>
          <w:b w:val="0"/>
          <w:bCs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 w:eastAsiaTheme="minorEastAsia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 w:eastAsiaTheme="minorEastAsia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bCs/>
          <w:sz w:val="24"/>
          <w:szCs w:val="24"/>
          <w:lang w:val="en-US" w:eastAsia="zh-CN"/>
        </w:rPr>
        <w:t>Network plot depicting</w:t>
      </w:r>
      <w:r>
        <w:rPr>
          <w:rFonts w:hint="eastAsia" w:ascii="Times New Roman" w:hAnsi="Times New Roman" w:cs="Times New Roman" w:eastAsiaTheme="minorEastAsia"/>
          <w:b w:val="0"/>
          <w:bCs/>
          <w:sz w:val="24"/>
          <w:szCs w:val="24"/>
          <w:lang w:val="en-US" w:eastAsia="zh-CN"/>
        </w:rPr>
        <w:t xml:space="preserve"> all</w:t>
      </w:r>
      <w:r>
        <w:rPr>
          <w:rFonts w:hint="default" w:ascii="Times New Roman" w:hAnsi="Times New Roman" w:cs="Times New Roman" w:eastAsiaTheme="minorEastAsia"/>
          <w:b w:val="0"/>
          <w:bCs/>
          <w:sz w:val="24"/>
          <w:szCs w:val="24"/>
          <w:lang w:val="en-US" w:eastAsia="zh-CN"/>
        </w:rPr>
        <w:t> the evidence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ascii="Times New Roman" w:hAnsi="Times New Roman" w:cs="Times New Roman" w:eastAsiaTheme="minorEastAsia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eastAsia="zh-CN"/>
        </w:rPr>
        <w:t xml:space="preserve">Supplementary Figure 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eastAsia="zh-CN"/>
        </w:rPr>
        <w:t>.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eastAsia="zh-CN"/>
        </w:rPr>
        <w:t>Potential bias assessment and quality of included studies using the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eastAsia="zh-CN"/>
        </w:rPr>
        <w:t>Cochrane Risk Bias Tool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eastAsia" w:ascii="Times New Roman" w:hAnsi="Times New Roman" w:cs="Times New Roman" w:eastAsiaTheme="minorEastAsia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eastAsia="zh-CN"/>
        </w:rPr>
        <w:t xml:space="preserve">Supplementary Figure 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3A. The cumulative ranking plot with the surface under the cumulative ranking curve (SUCRA) and P score for the outcome of OS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eastAsia="zh-CN"/>
        </w:rPr>
        <w:t xml:space="preserve">Supplementary Figure 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3B. The cumulative ranking plot with the surface under the cumulative ranking curve (SUCRA) and P score for the outcome of PFS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eastAsia" w:ascii="Times New Roman" w:hAnsi="Times New Roman" w:cs="Times New Roman" w:eastAsiaTheme="minorEastAsia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3C. The cumulative ranking plot with the surface under the cumulative ranking curve (SUCRA) and P score for the outcome of AEs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eastAsia" w:ascii="Times New Roman" w:hAnsi="Times New Roman" w:cs="Times New Roman" w:eastAsiaTheme="minorEastAsia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3D. The cumulative ranking plot with the surface under the cumulative ranking curve (SUCRA) and P score for the outcome of grade 3-5 AEs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eastAsia="zh-CN"/>
        </w:rPr>
        <w:t>Supplementary Figure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4A. the funnel plot for OS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eastAsia="zh-CN"/>
        </w:rPr>
        <w:t>Supplementary Figure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4B. the funnel plot for PFS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eastAsia="zh-CN"/>
        </w:rPr>
        <w:t>Supplementary Figure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4C. the funnel plot for AEs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eastAsia" w:ascii="Times New Roman" w:hAnsi="Times New Roman" w:cs="Times New Roman" w:eastAsiaTheme="minorEastAsia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eastAsia="zh-CN"/>
        </w:rPr>
        <w:t>Supplementary Figure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4D. the funnel plot for </w:t>
      </w:r>
      <w:r>
        <w:rPr>
          <w:rFonts w:hint="eastAsia" w:cs="Times New Roman" w:eastAsiaTheme="minorEastAsia"/>
          <w:bCs w:val="0"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AEs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eastAsia" w:ascii="Times New Roman" w:hAnsi="Times New Roman" w:cs="Times New Roman" w:eastAsiaTheme="minorEastAsia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Supplementary Table1 Certainty of Evidence Table (GRADE). First line treatment - Overall survival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Supplementary Table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2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Certainty of Evidence Table (GRADE). First line treatment - Progression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f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ree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s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urvival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Supplementary Table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3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Certainty of Evidence Table (GRADE). First line treatment - 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dverse events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jc w:val="left"/>
        <w:textAlignment w:val="auto"/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Supplementary Table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4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Certainty of Evidence Table (GRADE). First line treatment - 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Serious a</w:t>
      </w:r>
      <w:r>
        <w:rPr>
          <w:rFonts w:hint="default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>dverse events</w:t>
      </w:r>
      <w:r>
        <w:rPr>
          <w:rFonts w:hint="eastAsia" w:ascii="Times New Roman" w:hAnsi="Times New Roman" w:cs="Times New Roman" w:eastAsiaTheme="minorEastAsia"/>
          <w:bCs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5855" cy="3590290"/>
            <wp:effectExtent l="0" t="0" r="7620" b="635"/>
            <wp:docPr id="5" name="图片 5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hint="default" w:ascii="Times New Roman" w:hAnsi="Times New Roman" w:cs="Times New Roman" w:eastAsiaTheme="minorEastAsia"/>
          <w:lang w:eastAsia="zh-CN"/>
        </w:rPr>
        <w:t>.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lang w:eastAsia="zh-CN"/>
        </w:rPr>
        <w:t>Network plot depicting</w:t>
      </w:r>
      <w:r>
        <w:rPr>
          <w:rFonts w:hint="eastAsia" w:ascii="Times New Roman" w:hAnsi="Times New Roman" w:cs="Times New Roman"/>
          <w:lang w:val="en-US" w:eastAsia="zh-CN"/>
        </w:rPr>
        <w:t xml:space="preserve"> all</w:t>
      </w:r>
      <w:r>
        <w:rPr>
          <w:rFonts w:hint="default" w:ascii="Times New Roman" w:hAnsi="Times New Roman" w:cs="Times New Roman" w:eastAsiaTheme="minorEastAsia"/>
          <w:lang w:eastAsia="zh-CN"/>
        </w:rPr>
        <w:t> the evidence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1770" cy="4515485"/>
            <wp:effectExtent l="0" t="0" r="5080" b="8890"/>
            <wp:docPr id="10" name="图片 10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 xml:space="preserve"> 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 xml:space="preserve">Supplementary Figure </w:t>
      </w:r>
      <w:r>
        <w:rPr>
          <w:rFonts w:hint="eastAsia" w:ascii="Times New Roman" w:hAnsi="Times New Roman" w:cs="Times New Roman" w:eastAsiaTheme="minorEastAsia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lang w:eastAsia="zh-CN"/>
        </w:rPr>
        <w:t>.</w:t>
      </w:r>
      <w:r>
        <w:rPr>
          <w:rFonts w:hint="default" w:ascii="Times New Roman" w:hAnsi="Times New Roman" w:cs="Times New Roman" w:eastAsiaTheme="minorEastAsia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lang w:eastAsia="zh-CN"/>
        </w:rPr>
        <w:t>Potential bias assessment and quality of included studies using the</w:t>
      </w:r>
      <w:r>
        <w:rPr>
          <w:rFonts w:hint="default" w:ascii="Times New Roman" w:hAnsi="Times New Roman" w:cs="Times New Roman" w:eastAsiaTheme="minorEastAsia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lang w:eastAsia="zh-CN"/>
        </w:rPr>
        <w:t>Cochrane Risk Bias Tool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4722495" cy="3502025"/>
            <wp:effectExtent l="0" t="0" r="1905" b="3175"/>
            <wp:docPr id="12" name="图片 12" descr="P SCOR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 SCORE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Supplementary Figure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3A. The cumulative ranking plot with the surface under the cumulative ranking curve (SUCRA) and P score for the outcome of OS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4548505" cy="3478530"/>
            <wp:effectExtent l="0" t="0" r="4445" b="7620"/>
            <wp:docPr id="11" name="图片 11" descr="P SCOR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 SCORE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 xml:space="preserve">Supplementary Figure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3B. The cumulative ranking plot with the surface under the cumulative ranking curve (SUCRA) and P score for the outcome of PFS</w:t>
      </w:r>
    </w:p>
    <w:p>
      <w:pPr>
        <w:jc w:val="center"/>
        <w:rPr>
          <w:rFonts w:hint="eastAsia" w:ascii="Times New Roman" w:hAnsi="Times New Roman" w:cs="Times New Roman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641850" cy="3368675"/>
            <wp:effectExtent l="0" t="0" r="6350" b="3175"/>
            <wp:docPr id="13" name="图片 13" descr="P SCOR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 SCORE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3C. The cumulative ranking plot with the surface under the cumulative ranking curve (SUCRA) and P score for the outcome of AEs</w:t>
      </w:r>
    </w:p>
    <w:p>
      <w:pPr>
        <w:jc w:val="left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jc w:val="left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jc w:val="left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4589145" cy="3286125"/>
            <wp:effectExtent l="0" t="0" r="1905" b="0"/>
            <wp:docPr id="14" name="图片 14" descr="P SCOR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 SCORE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 xml:space="preserve">3D. The cumulative ranking plot with the surface under the cumulative ranking curve (SUCRA) and P score for the outcome of </w:t>
      </w:r>
      <w:r>
        <w:rPr>
          <w:rFonts w:hint="eastAsia" w:cs="Times New Roman"/>
          <w:color w:val="auto"/>
          <w:sz w:val="24"/>
          <w:lang w:val="en-US" w:eastAsia="zh-CN"/>
        </w:rPr>
        <w:t>S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AEs</w:t>
      </w:r>
    </w:p>
    <w:p>
      <w:pPr>
        <w:jc w:val="center"/>
        <w:rPr>
          <w:rFonts w:hint="eastAsia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2920" cy="3137535"/>
            <wp:effectExtent l="0" t="0" r="1905" b="5715"/>
            <wp:docPr id="1" name="图片 1" descr="漏斗图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漏斗图o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Egger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s  p=0.372</w:t>
      </w: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>Supplementary Figure</w:t>
      </w:r>
      <w:r>
        <w:rPr>
          <w:rFonts w:hint="eastAsia" w:cs="Times New Roman" w:eastAsiaTheme="minorEastAsia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4A. the funnel plot for OS</w:t>
      </w:r>
    </w:p>
    <w:p>
      <w:pPr>
        <w:jc w:val="center"/>
        <w:rPr>
          <w:rFonts w:hint="eastAsia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drawing>
          <wp:inline distT="0" distB="0" distL="114300" distR="114300">
            <wp:extent cx="4420235" cy="3215640"/>
            <wp:effectExtent l="0" t="0" r="8890" b="3810"/>
            <wp:docPr id="2" name="图片 2" descr="漏斗图pfs t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漏斗图pfs tt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Egger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s  p=0.565</w:t>
      </w:r>
    </w:p>
    <w:p>
      <w:pPr>
        <w:jc w:val="center"/>
        <w:rPr>
          <w:rFonts w:hint="eastAsia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>Supplementary Figure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 xml:space="preserve"> 4B. the funnel plot for PFS</w:t>
      </w:r>
    </w:p>
    <w:p>
      <w:pPr>
        <w:jc w:val="center"/>
        <w:rPr>
          <w:rFonts w:hint="eastAsia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drawing>
          <wp:inline distT="0" distB="0" distL="114300" distR="114300">
            <wp:extent cx="4496435" cy="3270885"/>
            <wp:effectExtent l="0" t="0" r="8890" b="5715"/>
            <wp:docPr id="6" name="图片 6" descr="漏斗A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漏斗AEs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Egger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s  p=0.163</w:t>
      </w: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>Supplementary Figure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 xml:space="preserve"> 4C. the funnel plot for AEs</w:t>
      </w: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drawing>
          <wp:inline distT="0" distB="0" distL="114300" distR="114300">
            <wp:extent cx="4252595" cy="3093085"/>
            <wp:effectExtent l="0" t="0" r="5080" b="2540"/>
            <wp:docPr id="8" name="图片 8" descr="漏斗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漏斗3-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Egger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s  p=0.533</w:t>
      </w:r>
    </w:p>
    <w:p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>Supplementary Figure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 xml:space="preserve"> 4D. the funnel plot for grade 3-5 AEs</w:t>
      </w:r>
    </w:p>
    <w:p>
      <w:pPr>
        <w:keepNext w:val="0"/>
        <w:keepLines w:val="0"/>
        <w:widowControl/>
        <w:suppressLineNumbers w:val="0"/>
        <w:spacing w:line="140" w:lineRule="atLeast"/>
        <w:jc w:val="center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</w:pP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Supplementary Table1 Certainty of Evidence Table (GRADE). First line treatment - Overall survival</w:t>
      </w: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759"/>
        <w:gridCol w:w="2"/>
        <w:gridCol w:w="14"/>
        <w:gridCol w:w="12"/>
        <w:gridCol w:w="14"/>
        <w:gridCol w:w="14"/>
        <w:gridCol w:w="951"/>
        <w:gridCol w:w="764"/>
        <w:gridCol w:w="1031"/>
        <w:gridCol w:w="1034"/>
        <w:gridCol w:w="1031"/>
        <w:gridCol w:w="1248"/>
        <w:gridCol w:w="637"/>
        <w:gridCol w:w="1378"/>
        <w:gridCol w:w="969"/>
        <w:gridCol w:w="790"/>
        <w:gridCol w:w="2113"/>
        <w:gridCol w:w="23"/>
        <w:gridCol w:w="23"/>
        <w:gridCol w:w="9"/>
        <w:gridCol w:w="15"/>
        <w:gridCol w:w="16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cantSplit/>
          <w:tblHeader/>
        </w:trPr>
        <w:tc>
          <w:tcPr>
            <w:tcW w:w="2374" w:type="pct"/>
            <w:gridSpan w:val="1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Certainty assessment</w:t>
            </w:r>
          </w:p>
        </w:tc>
        <w:tc>
          <w:tcPr>
            <w:tcW w:w="695" w:type="pct"/>
            <w:gridSpan w:val="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№ of patients</w:t>
            </w:r>
          </w:p>
        </w:tc>
        <w:tc>
          <w:tcPr>
            <w:tcW w:w="607" w:type="pct"/>
            <w:gridSpan w:val="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Effect</w:t>
            </w:r>
          </w:p>
        </w:tc>
        <w:tc>
          <w:tcPr>
            <w:tcW w:w="729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Certainty</w:t>
            </w:r>
          </w:p>
        </w:tc>
        <w:tc>
          <w:tcPr>
            <w:tcW w:w="592" w:type="pct"/>
            <w:gridSpan w:val="5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Importance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blHeader/>
        </w:trPr>
        <w:tc>
          <w:tcPr>
            <w:tcW w:w="262" w:type="pct"/>
            <w:gridSpan w:val="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№ of studies</w:t>
            </w:r>
          </w:p>
        </w:tc>
        <w:tc>
          <w:tcPr>
            <w:tcW w:w="347" w:type="pct"/>
            <w:gridSpan w:val="5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Study design</w:t>
            </w:r>
          </w:p>
        </w:tc>
        <w:tc>
          <w:tcPr>
            <w:tcW w:w="263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Risk of bias</w:t>
            </w:r>
          </w:p>
        </w:tc>
        <w:tc>
          <w:tcPr>
            <w:tcW w:w="356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Inconsistency</w:t>
            </w:r>
          </w:p>
        </w:tc>
        <w:tc>
          <w:tcPr>
            <w:tcW w:w="357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Indirectness</w:t>
            </w:r>
          </w:p>
        </w:tc>
        <w:tc>
          <w:tcPr>
            <w:tcW w:w="356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Imprecision</w:t>
            </w:r>
          </w:p>
        </w:tc>
        <w:tc>
          <w:tcPr>
            <w:tcW w:w="431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Other considerations</w:t>
            </w:r>
          </w:p>
        </w:tc>
        <w:tc>
          <w:tcPr>
            <w:tcW w:w="220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First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 xml:space="preserve"> line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OS</w:t>
            </w:r>
            <w:r>
              <w:rPr>
                <w:rFonts w:hint="eastAsia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  <w:tc>
          <w:tcPr>
            <w:tcW w:w="475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Risk of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Death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Control</w:t>
            </w:r>
          </w:p>
        </w:tc>
        <w:tc>
          <w:tcPr>
            <w:tcW w:w="334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Relative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(95% CI)</w:t>
            </w:r>
          </w:p>
        </w:tc>
        <w:tc>
          <w:tcPr>
            <w:tcW w:w="27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Absolute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(95% CI)</w:t>
            </w:r>
          </w:p>
        </w:tc>
        <w:tc>
          <w:tcPr>
            <w:tcW w:w="729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</w:p>
        </w:tc>
        <w:tc>
          <w:tcPr>
            <w:tcW w:w="592" w:type="pct"/>
            <w:gridSpan w:val="5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2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Atezolizumab + Bevacizumab vs Sorafenib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619" w:hRule="atLeast"/>
        </w:trPr>
        <w:tc>
          <w:tcPr>
            <w:tcW w:w="262" w:type="pct"/>
            <w:gridSpan w:val="2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5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bCs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bCs/>
                <w:i w:val="0"/>
                <w:kern w:val="0"/>
                <w:sz w:val="18"/>
                <w:szCs w:val="18"/>
                <w:lang w:val="en-US" w:eastAsia="zh-CN" w:bidi="ar"/>
              </w:rPr>
              <w:t>58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42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0.79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92" w:type="pct"/>
            <w:gridSpan w:val="5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2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Donafenib vs Sorafenib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56" w:hRule="atLeast"/>
        </w:trPr>
        <w:tc>
          <w:tcPr>
            <w:tcW w:w="26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0.83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(0.69 to 0.98)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92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Erlotinib + Sorafenib vs Sorafenib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0.9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(0.7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1.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92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Lenvatinib vs Sorafenib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0.92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(0.79 to 1.0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92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Linifanib  vs Sorafenib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HR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1.05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0.90 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to 1.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8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Nivolumab vs Sorafenib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85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(0.7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1.0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8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Resminostat + Sorafenib vs Sorafenib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98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68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1.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41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8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Sintilimab + Bevacizumab vs Sorafenib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7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3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57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43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0.75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7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 + Doxorubicin vs Sorafenib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76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HR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1.05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(0.7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1.0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7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vs Brivanib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81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HR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1.07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94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1.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8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7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 vs Placebo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65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53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0.78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54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Sunitinib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vs Sorafenib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HR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1.30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1.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54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Tigatuzumab + Sorafenib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vs Sorafenib - Overall survival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HR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1.03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0.72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1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.46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54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hd w:val="clear" w:fill="FFFFFF"/>
        <w:spacing w:line="10" w:lineRule="atLeast"/>
        <w:ind w:left="0" w:firstLine="0"/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>OS: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kern w:val="0"/>
          <w:sz w:val="18"/>
          <w:szCs w:val="18"/>
          <w:lang w:val="en-US" w:eastAsia="zh-CN" w:bidi="ar"/>
        </w:rPr>
        <w:t xml:space="preserve"> o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kern w:val="0"/>
          <w:sz w:val="18"/>
          <w:szCs w:val="18"/>
          <w:lang w:val="en-US" w:eastAsia="zh-CN" w:bidi="ar"/>
        </w:rPr>
        <w:t>verall survival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kern w:val="0"/>
          <w:sz w:val="18"/>
          <w:szCs w:val="18"/>
          <w:lang w:val="en-US" w:eastAsia="zh-CN" w:bidi="ar"/>
        </w:rPr>
        <w:t xml:space="preserve">; 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sz w:val="18"/>
          <w:szCs w:val="18"/>
        </w:rPr>
        <w:t>CI:</w:t>
      </w:r>
      <w:r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  <w:t xml:space="preserve"> confidence interval; 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sz w:val="18"/>
          <w:szCs w:val="18"/>
        </w:rPr>
        <w:t>HR:</w:t>
      </w:r>
      <w:r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  <w:t xml:space="preserve"> hazard </w:t>
      </w:r>
      <w:r>
        <w:rPr>
          <w:rFonts w:hint="eastAsia" w:ascii="Times New Roman" w:hAnsi="Times New Roman" w:eastAsia="宋体" w:cs="Times New Roman"/>
          <w:i w:val="0"/>
          <w:color w:val="000000"/>
          <w:spacing w:val="0"/>
          <w:sz w:val="18"/>
          <w:szCs w:val="18"/>
          <w:lang w:val="en-US" w:eastAsia="zh-CN"/>
        </w:rPr>
        <w:t>r</w:t>
      </w:r>
      <w:r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  <w:t>atio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10" w:lineRule="atLeast"/>
        <w:ind w:left="0" w:firstLine="0"/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line="10" w:lineRule="atLeast"/>
        <w:ind w:left="0" w:firstLine="0"/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pStyle w:val="5"/>
        <w:keepNext w:val="0"/>
        <w:keepLines w:val="0"/>
        <w:widowControl/>
        <w:suppressLineNumbers w:val="0"/>
        <w:spacing w:line="140" w:lineRule="atLeast"/>
      </w:pPr>
    </w:p>
    <w:p>
      <w:pPr>
        <w:pStyle w:val="5"/>
        <w:keepNext w:val="0"/>
        <w:keepLines w:val="0"/>
        <w:widowControl/>
        <w:suppressLineNumbers w:val="0"/>
        <w:spacing w:line="140" w:lineRule="atLeast"/>
      </w:pPr>
    </w:p>
    <w:p>
      <w:pPr>
        <w:pStyle w:val="5"/>
        <w:keepNext w:val="0"/>
        <w:keepLines w:val="0"/>
        <w:widowControl/>
        <w:suppressLineNumbers w:val="0"/>
        <w:spacing w:line="140" w:lineRule="atLeast"/>
      </w:pPr>
    </w:p>
    <w:p>
      <w:pPr>
        <w:pStyle w:val="5"/>
        <w:keepNext w:val="0"/>
        <w:keepLines w:val="0"/>
        <w:widowControl/>
        <w:suppressLineNumbers w:val="0"/>
        <w:spacing w:line="140" w:lineRule="atLeast"/>
      </w:pPr>
    </w:p>
    <w:p>
      <w:pPr>
        <w:pStyle w:val="5"/>
        <w:keepNext w:val="0"/>
        <w:keepLines w:val="0"/>
        <w:widowControl/>
        <w:suppressLineNumbers w:val="0"/>
        <w:spacing w:line="140" w:lineRule="atLeast"/>
      </w:pPr>
    </w:p>
    <w:p>
      <w:pPr>
        <w:pStyle w:val="5"/>
        <w:keepNext w:val="0"/>
        <w:keepLines w:val="0"/>
        <w:widowControl/>
        <w:suppressLineNumbers w:val="0"/>
        <w:spacing w:line="140" w:lineRule="atLeast"/>
      </w:pPr>
    </w:p>
    <w:p>
      <w:pPr>
        <w:pStyle w:val="5"/>
        <w:keepNext w:val="0"/>
        <w:keepLines w:val="0"/>
        <w:widowControl/>
        <w:suppressLineNumbers w:val="0"/>
        <w:spacing w:line="140" w:lineRule="atLeast"/>
      </w:pPr>
    </w:p>
    <w:p>
      <w:pPr>
        <w:pStyle w:val="5"/>
        <w:keepNext w:val="0"/>
        <w:keepLines w:val="0"/>
        <w:widowControl/>
        <w:suppressLineNumbers w:val="0"/>
        <w:spacing w:line="140" w:lineRule="atLeast"/>
      </w:pPr>
    </w:p>
    <w:p>
      <w:pPr>
        <w:pStyle w:val="5"/>
        <w:keepNext w:val="0"/>
        <w:keepLines w:val="0"/>
        <w:widowControl/>
        <w:suppressLineNumbers w:val="0"/>
        <w:spacing w:line="140" w:lineRule="atLeast"/>
      </w:pPr>
    </w:p>
    <w:p>
      <w:pPr>
        <w:pStyle w:val="5"/>
        <w:keepNext w:val="0"/>
        <w:keepLines w:val="0"/>
        <w:widowControl/>
        <w:suppressLineNumbers w:val="0"/>
        <w:spacing w:line="140" w:lineRule="atLeast"/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</w:pP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Supplementary Table</w:t>
      </w:r>
      <w:r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2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Certainty of Evidence Table (GRADE). First line treatment - Progression</w:t>
      </w:r>
      <w:r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f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ree</w:t>
      </w:r>
      <w:r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s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urvival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</w:t>
      </w: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759"/>
        <w:gridCol w:w="2"/>
        <w:gridCol w:w="14"/>
        <w:gridCol w:w="12"/>
        <w:gridCol w:w="14"/>
        <w:gridCol w:w="14"/>
        <w:gridCol w:w="951"/>
        <w:gridCol w:w="764"/>
        <w:gridCol w:w="1031"/>
        <w:gridCol w:w="1034"/>
        <w:gridCol w:w="1031"/>
        <w:gridCol w:w="1248"/>
        <w:gridCol w:w="637"/>
        <w:gridCol w:w="1378"/>
        <w:gridCol w:w="969"/>
        <w:gridCol w:w="790"/>
        <w:gridCol w:w="2113"/>
        <w:gridCol w:w="23"/>
        <w:gridCol w:w="23"/>
        <w:gridCol w:w="9"/>
        <w:gridCol w:w="15"/>
        <w:gridCol w:w="16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blHeader/>
        </w:trPr>
        <w:tc>
          <w:tcPr>
            <w:tcW w:w="2374" w:type="pct"/>
            <w:gridSpan w:val="1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Certainty assessment</w:t>
            </w:r>
          </w:p>
        </w:tc>
        <w:tc>
          <w:tcPr>
            <w:tcW w:w="695" w:type="pct"/>
            <w:gridSpan w:val="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№ of patients</w:t>
            </w:r>
          </w:p>
        </w:tc>
        <w:tc>
          <w:tcPr>
            <w:tcW w:w="607" w:type="pct"/>
            <w:gridSpan w:val="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Effect</w:t>
            </w:r>
          </w:p>
        </w:tc>
        <w:tc>
          <w:tcPr>
            <w:tcW w:w="729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Certainty</w:t>
            </w:r>
          </w:p>
        </w:tc>
        <w:tc>
          <w:tcPr>
            <w:tcW w:w="592" w:type="pct"/>
            <w:gridSpan w:val="5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Importance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blHeader/>
        </w:trPr>
        <w:tc>
          <w:tcPr>
            <w:tcW w:w="262" w:type="pct"/>
            <w:gridSpan w:val="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№ of studies</w:t>
            </w:r>
          </w:p>
        </w:tc>
        <w:tc>
          <w:tcPr>
            <w:tcW w:w="347" w:type="pct"/>
            <w:gridSpan w:val="5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Study design</w:t>
            </w:r>
          </w:p>
        </w:tc>
        <w:tc>
          <w:tcPr>
            <w:tcW w:w="263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Risk of bias</w:t>
            </w:r>
          </w:p>
        </w:tc>
        <w:tc>
          <w:tcPr>
            <w:tcW w:w="356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Inconsistency</w:t>
            </w:r>
          </w:p>
        </w:tc>
        <w:tc>
          <w:tcPr>
            <w:tcW w:w="357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Indirectness</w:t>
            </w:r>
          </w:p>
        </w:tc>
        <w:tc>
          <w:tcPr>
            <w:tcW w:w="356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Imprecision</w:t>
            </w:r>
          </w:p>
        </w:tc>
        <w:tc>
          <w:tcPr>
            <w:tcW w:w="431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Other considerations</w:t>
            </w:r>
          </w:p>
        </w:tc>
        <w:tc>
          <w:tcPr>
            <w:tcW w:w="220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First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 xml:space="preserve"> line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eastAsia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 xml:space="preserve">PFS </w:t>
            </w:r>
          </w:p>
        </w:tc>
        <w:tc>
          <w:tcPr>
            <w:tcW w:w="475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Risk of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Death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Control</w:t>
            </w:r>
          </w:p>
        </w:tc>
        <w:tc>
          <w:tcPr>
            <w:tcW w:w="334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Relative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(95% CI)</w:t>
            </w:r>
          </w:p>
        </w:tc>
        <w:tc>
          <w:tcPr>
            <w:tcW w:w="27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Absolute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(95% CI)</w:t>
            </w:r>
          </w:p>
        </w:tc>
        <w:tc>
          <w:tcPr>
            <w:tcW w:w="729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</w:p>
        </w:tc>
        <w:tc>
          <w:tcPr>
            <w:tcW w:w="592" w:type="pct"/>
            <w:gridSpan w:val="5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2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Atezolizumab + Bevacizumab vs Sorafenib 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619" w:hRule="atLeast"/>
        </w:trPr>
        <w:tc>
          <w:tcPr>
            <w:tcW w:w="262" w:type="pct"/>
            <w:gridSpan w:val="2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5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bCs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bCs/>
                <w:i w:val="0"/>
                <w:kern w:val="0"/>
                <w:sz w:val="18"/>
                <w:szCs w:val="18"/>
                <w:lang w:val="en-US" w:eastAsia="zh-CN" w:bidi="ar"/>
              </w:rPr>
              <w:t>59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47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0.76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92" w:type="pct"/>
            <w:gridSpan w:val="5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2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Donafenib vs Sorafenib 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56" w:hRule="atLeast"/>
        </w:trPr>
        <w:tc>
          <w:tcPr>
            <w:tcW w:w="26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91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76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1.08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92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Erlotinib + Sorafenib vs Sorafenib 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HR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1.14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94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1.37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92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Lenvatinib vs Sorafenib 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66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57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0.77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92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Linifanib  vs Sorafenib 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HR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0.76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0.64 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90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8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Sintilimab + Bevacizumab vs Sorafenib 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56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46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0.70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8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 + Doxorubicin vs Sorafenib</w:t>
            </w: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93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75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1.16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8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vs Brivanib 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7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3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HR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1.01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88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1.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7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 vs GEMOX+Sorafenib</w:t>
            </w: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76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97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62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1.51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7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 vs Placebo</w:t>
            </w: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81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HR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95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81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1.12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8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7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Sunitinib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vs Sorafenib 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HR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1.13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99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1.30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54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Tigatuzumab + Sorafenib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vs Sorafenib -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Progression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f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ree</w:t>
            </w:r>
            <w:r>
              <w:rPr>
                <w:rFonts w:hint="eastAsia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s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urvival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HR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1.09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76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1.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55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54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hd w:val="clear" w:fill="FFFFFF"/>
        <w:spacing w:line="10" w:lineRule="atLeast"/>
        <w:ind w:left="0" w:firstLine="0"/>
        <w:rPr>
          <w:rFonts w:hint="default" w:ascii="Arial Narrow" w:hAnsi="Arial Narrow" w:eastAsia="Arial Narrow" w:cs="Arial Narrow"/>
          <w:b/>
          <w:i w:val="0"/>
          <w:color w:val="000000"/>
          <w:spacing w:val="0"/>
          <w:sz w:val="14"/>
          <w:szCs w:val="14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line="10" w:lineRule="atLeast"/>
        <w:ind w:left="0" w:firstLine="0"/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</w:pPr>
      <w:r>
        <w:rPr>
          <w:rFonts w:hint="eastAsia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 xml:space="preserve">PFS: 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p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rogression</w:t>
      </w:r>
      <w:r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f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ree</w:t>
      </w:r>
      <w:r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s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urvival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; 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sz w:val="18"/>
          <w:szCs w:val="18"/>
        </w:rPr>
        <w:t>CI:</w:t>
      </w:r>
      <w:r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  <w:t xml:space="preserve"> confidence interval; 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sz w:val="18"/>
          <w:szCs w:val="18"/>
        </w:rPr>
        <w:t>HR:</w:t>
      </w:r>
      <w:r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  <w:t xml:space="preserve"> hazard </w:t>
      </w:r>
      <w:r>
        <w:rPr>
          <w:rFonts w:hint="eastAsia" w:ascii="Times New Roman" w:hAnsi="Times New Roman" w:eastAsia="宋体" w:cs="Times New Roman"/>
          <w:i w:val="0"/>
          <w:color w:val="000000"/>
          <w:spacing w:val="0"/>
          <w:sz w:val="18"/>
          <w:szCs w:val="18"/>
          <w:lang w:val="en-US" w:eastAsia="zh-CN"/>
        </w:rPr>
        <w:t>r</w:t>
      </w:r>
      <w:r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  <w:t>atio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10" w:lineRule="atLeast"/>
        <w:ind w:left="0" w:firstLine="0"/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line="10" w:lineRule="atLeast"/>
        <w:ind w:left="0" w:firstLine="0"/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rPr>
          <w:rFonts w:hint="default" w:ascii="Arial Narrow" w:hAnsi="Arial Narrow" w:eastAsia="Arial Narrow" w:cs="Arial Narrow"/>
          <w:i w:val="0"/>
          <w:color w:val="000000"/>
          <w:spacing w:val="0"/>
          <w:sz w:val="14"/>
          <w:szCs w:val="14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</w:pP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Supplementary Table</w:t>
      </w:r>
      <w:r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3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Certainty of Evidence Table (GRADE). First line treatment - 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A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dverse events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</w:t>
      </w: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761"/>
        <w:gridCol w:w="14"/>
        <w:gridCol w:w="12"/>
        <w:gridCol w:w="14"/>
        <w:gridCol w:w="965"/>
        <w:gridCol w:w="764"/>
        <w:gridCol w:w="1031"/>
        <w:gridCol w:w="1034"/>
        <w:gridCol w:w="1031"/>
        <w:gridCol w:w="1248"/>
        <w:gridCol w:w="637"/>
        <w:gridCol w:w="1378"/>
        <w:gridCol w:w="969"/>
        <w:gridCol w:w="790"/>
        <w:gridCol w:w="2113"/>
        <w:gridCol w:w="23"/>
        <w:gridCol w:w="23"/>
        <w:gridCol w:w="16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blHeader/>
        </w:trPr>
        <w:tc>
          <w:tcPr>
            <w:tcW w:w="2374" w:type="pct"/>
            <w:gridSpan w:val="10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Certainty assessment</w:t>
            </w:r>
          </w:p>
        </w:tc>
        <w:tc>
          <w:tcPr>
            <w:tcW w:w="695" w:type="pct"/>
            <w:gridSpan w:val="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№ of patients</w:t>
            </w:r>
          </w:p>
        </w:tc>
        <w:tc>
          <w:tcPr>
            <w:tcW w:w="607" w:type="pct"/>
            <w:gridSpan w:val="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Effect</w:t>
            </w:r>
          </w:p>
        </w:tc>
        <w:tc>
          <w:tcPr>
            <w:tcW w:w="729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Certainty</w:t>
            </w:r>
          </w:p>
        </w:tc>
        <w:tc>
          <w:tcPr>
            <w:tcW w:w="592" w:type="pct"/>
            <w:gridSpan w:val="3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Importance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blHeader/>
        </w:trPr>
        <w:tc>
          <w:tcPr>
            <w:tcW w:w="26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№ of studies</w:t>
            </w:r>
          </w:p>
        </w:tc>
        <w:tc>
          <w:tcPr>
            <w:tcW w:w="347" w:type="pct"/>
            <w:gridSpan w:val="4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Study design</w:t>
            </w:r>
          </w:p>
        </w:tc>
        <w:tc>
          <w:tcPr>
            <w:tcW w:w="263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Risk of bias</w:t>
            </w:r>
          </w:p>
        </w:tc>
        <w:tc>
          <w:tcPr>
            <w:tcW w:w="356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Inconsistency</w:t>
            </w:r>
          </w:p>
        </w:tc>
        <w:tc>
          <w:tcPr>
            <w:tcW w:w="357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Indirectness</w:t>
            </w:r>
          </w:p>
        </w:tc>
        <w:tc>
          <w:tcPr>
            <w:tcW w:w="356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Imprecision</w:t>
            </w:r>
          </w:p>
        </w:tc>
        <w:tc>
          <w:tcPr>
            <w:tcW w:w="431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Other considerations</w:t>
            </w:r>
          </w:p>
        </w:tc>
        <w:tc>
          <w:tcPr>
            <w:tcW w:w="220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First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 xml:space="preserve"> line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eastAsia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 xml:space="preserve">AEs </w:t>
            </w:r>
          </w:p>
        </w:tc>
        <w:tc>
          <w:tcPr>
            <w:tcW w:w="475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Risk of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Death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Control</w:t>
            </w:r>
          </w:p>
        </w:tc>
        <w:tc>
          <w:tcPr>
            <w:tcW w:w="334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Relative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(95% CI)</w:t>
            </w:r>
          </w:p>
        </w:tc>
        <w:tc>
          <w:tcPr>
            <w:tcW w:w="27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Absolute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(95% CI)</w:t>
            </w:r>
          </w:p>
        </w:tc>
        <w:tc>
          <w:tcPr>
            <w:tcW w:w="729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</w:p>
        </w:tc>
        <w:tc>
          <w:tcPr>
            <w:tcW w:w="592" w:type="pct"/>
            <w:gridSpan w:val="3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2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Atezolizumab + Bevacizumab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619" w:hRule="atLeast"/>
        </w:trPr>
        <w:tc>
          <w:tcPr>
            <w:tcW w:w="262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4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bCs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bCs/>
                <w:i w:val="0"/>
                <w:kern w:val="0"/>
                <w:sz w:val="18"/>
                <w:szCs w:val="18"/>
                <w:lang w:val="en-US" w:eastAsia="zh-CN" w:bidi="ar"/>
              </w:rPr>
              <w:t>R 0.</w:t>
            </w:r>
            <w:r>
              <w:rPr>
                <w:rFonts w:hint="eastAsia" w:eastAsia="Arial Narrow" w:cs="Times New Roman"/>
                <w:b/>
                <w:bCs/>
                <w:i w:val="0"/>
                <w:kern w:val="0"/>
                <w:sz w:val="18"/>
                <w:szCs w:val="18"/>
                <w:lang w:val="en-US" w:eastAsia="zh-CN" w:bidi="ar"/>
              </w:rPr>
              <w:t>70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3.50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92" w:type="pct"/>
            <w:gridSpan w:val="3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2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Donafenib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56" w:hRule="atLeast"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3.03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31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29.25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9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Erlotinib + Sorafenib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1.00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99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1.01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9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Lenvatinib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50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2.00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9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Linifanib 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3.97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0.84 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18.82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Sintilimab + Bevacizumab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2.08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.51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8.40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  vs GEMOX + Sorafenib</w:t>
            </w: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R 0.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98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93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1.02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vs Brivanib</w:t>
            </w: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7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3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2.43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85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6.95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Sorafenib vs Placebo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76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3.57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99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11.11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hd w:val="clear" w:fill="FFFFFF"/>
        <w:spacing w:line="10" w:lineRule="atLeast"/>
        <w:ind w:left="0" w:firstLine="0"/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line="10" w:lineRule="atLeast"/>
        <w:ind w:left="0" w:firstLine="0"/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 xml:space="preserve">AEs: 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a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dverse events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; </w:t>
      </w:r>
      <w: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 xml:space="preserve">CI: confidence interval; </w:t>
      </w:r>
      <w:r>
        <w:rPr>
          <w:rFonts w:hint="eastAsia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 xml:space="preserve">R: </w:t>
      </w:r>
      <w:r>
        <w:rPr>
          <w:rFonts w:hint="eastAsia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 xml:space="preserve">odd </w:t>
      </w:r>
      <w: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>ratios</w:t>
      </w: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140" w:lineRule="atLeast"/>
        <w:jc w:val="left"/>
        <w:rPr>
          <w:rFonts w:hint="default" w:ascii="Times New Roman" w:hAnsi="Times New Roman" w:eastAsia="Arial Narrow" w:cs="Times New Roman"/>
          <w:i w:val="0"/>
          <w:color w:val="000000"/>
          <w:spacing w:val="0"/>
          <w:sz w:val="18"/>
          <w:szCs w:val="18"/>
        </w:rPr>
      </w:pP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Supplementary Table</w:t>
      </w:r>
      <w:r>
        <w:rPr>
          <w:rFonts w:hint="eastAsia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4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Certainty of Evidence Table (GRADE). First line treatment - 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Serious a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dverse events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 </w:t>
      </w: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75" w:type="dxa"/>
          <w:left w:w="75" w:type="dxa"/>
          <w:bottom w:w="75" w:type="dxa"/>
          <w:right w:w="75" w:type="dxa"/>
        </w:tblCellMar>
      </w:tblPr>
      <w:tblGrid>
        <w:gridCol w:w="761"/>
        <w:gridCol w:w="14"/>
        <w:gridCol w:w="12"/>
        <w:gridCol w:w="14"/>
        <w:gridCol w:w="965"/>
        <w:gridCol w:w="764"/>
        <w:gridCol w:w="1031"/>
        <w:gridCol w:w="1034"/>
        <w:gridCol w:w="1031"/>
        <w:gridCol w:w="1248"/>
        <w:gridCol w:w="637"/>
        <w:gridCol w:w="1378"/>
        <w:gridCol w:w="969"/>
        <w:gridCol w:w="790"/>
        <w:gridCol w:w="2113"/>
        <w:gridCol w:w="23"/>
        <w:gridCol w:w="23"/>
        <w:gridCol w:w="16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cantSplit/>
          <w:tblHeader/>
        </w:trPr>
        <w:tc>
          <w:tcPr>
            <w:tcW w:w="2374" w:type="pct"/>
            <w:gridSpan w:val="10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Certainty assessment</w:t>
            </w:r>
          </w:p>
        </w:tc>
        <w:tc>
          <w:tcPr>
            <w:tcW w:w="695" w:type="pct"/>
            <w:gridSpan w:val="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№ of patients</w:t>
            </w:r>
          </w:p>
        </w:tc>
        <w:tc>
          <w:tcPr>
            <w:tcW w:w="607" w:type="pct"/>
            <w:gridSpan w:val="2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Effect</w:t>
            </w:r>
          </w:p>
        </w:tc>
        <w:tc>
          <w:tcPr>
            <w:tcW w:w="729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Certainty</w:t>
            </w:r>
          </w:p>
        </w:tc>
        <w:tc>
          <w:tcPr>
            <w:tcW w:w="592" w:type="pct"/>
            <w:gridSpan w:val="3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Importance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blHeader/>
        </w:trPr>
        <w:tc>
          <w:tcPr>
            <w:tcW w:w="26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№ of studies</w:t>
            </w:r>
          </w:p>
        </w:tc>
        <w:tc>
          <w:tcPr>
            <w:tcW w:w="347" w:type="pct"/>
            <w:gridSpan w:val="4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Study design</w:t>
            </w:r>
          </w:p>
        </w:tc>
        <w:tc>
          <w:tcPr>
            <w:tcW w:w="263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Risk of bias</w:t>
            </w:r>
          </w:p>
        </w:tc>
        <w:tc>
          <w:tcPr>
            <w:tcW w:w="356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Inconsistency</w:t>
            </w:r>
          </w:p>
        </w:tc>
        <w:tc>
          <w:tcPr>
            <w:tcW w:w="357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Indirectness</w:t>
            </w:r>
          </w:p>
        </w:tc>
        <w:tc>
          <w:tcPr>
            <w:tcW w:w="356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Imprecision</w:t>
            </w:r>
          </w:p>
        </w:tc>
        <w:tc>
          <w:tcPr>
            <w:tcW w:w="431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Other considerations</w:t>
            </w:r>
          </w:p>
        </w:tc>
        <w:tc>
          <w:tcPr>
            <w:tcW w:w="220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First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 xml:space="preserve"> line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eastAsia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 xml:space="preserve">SAEs </w:t>
            </w:r>
          </w:p>
        </w:tc>
        <w:tc>
          <w:tcPr>
            <w:tcW w:w="475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Risk of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Death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in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Control</w:t>
            </w:r>
          </w:p>
        </w:tc>
        <w:tc>
          <w:tcPr>
            <w:tcW w:w="334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Relative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(95% CI)</w:t>
            </w:r>
          </w:p>
        </w:tc>
        <w:tc>
          <w:tcPr>
            <w:tcW w:w="27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2F5496"/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Absolute</w:t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Arial Narrow" w:hAnsi="Arial Narrow" w:eastAsia="Arial Narrow" w:cs="Arial Narrow"/>
                <w:b/>
                <w:i w:val="0"/>
                <w:color w:val="FFFFFF"/>
                <w:kern w:val="0"/>
                <w:sz w:val="18"/>
                <w:szCs w:val="18"/>
                <w:lang w:val="en-US" w:eastAsia="zh-CN" w:bidi="ar"/>
              </w:rPr>
              <w:t>(95% CI)</w:t>
            </w:r>
          </w:p>
        </w:tc>
        <w:tc>
          <w:tcPr>
            <w:tcW w:w="729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</w:p>
        </w:tc>
        <w:tc>
          <w:tcPr>
            <w:tcW w:w="592" w:type="pct"/>
            <w:gridSpan w:val="3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2F5496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>
            <w:pPr>
              <w:jc w:val="center"/>
              <w:rPr>
                <w:rFonts w:hint="default" w:ascii="Arial Narrow" w:hAnsi="Arial Narrow" w:eastAsia="Arial Narrow" w:cs="Arial Narrow"/>
                <w:b/>
                <w:i w:val="0"/>
                <w:color w:val="FFFFFF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2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Atezolizumab + Bevacizumab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Serious 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619" w:hRule="atLeast"/>
        </w:trPr>
        <w:tc>
          <w:tcPr>
            <w:tcW w:w="262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4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bCs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bCs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bCs/>
                <w:i w:val="0"/>
                <w:kern w:val="0"/>
                <w:sz w:val="18"/>
                <w:szCs w:val="18"/>
                <w:lang w:val="en-US" w:eastAsia="zh-CN" w:bidi="ar"/>
              </w:rPr>
              <w:t>1.01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68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1.17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92" w:type="pct"/>
            <w:gridSpan w:val="3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2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Donafenib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Serious 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56" w:hRule="atLeast"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0.65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47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0.89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9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Erlotinib + Sorafenib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Serious 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1.28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85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1.95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9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Lenvatinib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Serious 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1.51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1.13 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2.00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9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Linifanib 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Serious 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1.94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1.41 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2.66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Nivolumab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Serious 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0.30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.21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0.41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Sintilimab + Bevacizumab vs Sorafenib</w:t>
            </w: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Serious 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4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1.32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93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1.88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3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8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  vs GEMOX + Sorafenib</w:t>
            </w: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Serious 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7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3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R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0.69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.25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1.91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 vs Brivanib</w:t>
            </w: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Serious 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76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R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0.91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71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1.16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Sorafenib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vs Placebo</w:t>
            </w: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Serious 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7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3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1.10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(0.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63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1.92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⨁⨁⨁◯</w:t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Moderate</w:t>
            </w:r>
          </w:p>
        </w:tc>
        <w:tc>
          <w:tcPr>
            <w:tcW w:w="5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314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>Sunitinib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vs Sorafenib - 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Serious a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>dverse events</w:t>
            </w:r>
            <w:r>
              <w:rPr>
                <w:rFonts w:hint="eastAsia" w:ascii="Times New Roman" w:hAnsi="Times New Roman" w:eastAsia="Arial Narrow" w:cs="Times New Roman"/>
                <w:b/>
                <w:i w:val="0"/>
                <w:color w:val="000000"/>
                <w:spacing w:val="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cantSplit/>
          <w:trHeight w:val="726" w:hRule="atLeast"/>
        </w:trPr>
        <w:tc>
          <w:tcPr>
            <w:tcW w:w="276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randomised trials</w:t>
            </w:r>
          </w:p>
        </w:tc>
        <w:tc>
          <w:tcPr>
            <w:tcW w:w="2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3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not serious</w:t>
            </w:r>
          </w:p>
        </w:tc>
        <w:tc>
          <w:tcPr>
            <w:tcW w:w="4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none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 xml:space="preserve">R </w:t>
            </w:r>
            <w:r>
              <w:rPr>
                <w:rFonts w:hint="eastAsia" w:eastAsia="Arial Narrow" w:cs="Times New Roman"/>
                <w:b/>
                <w:i w:val="0"/>
                <w:kern w:val="0"/>
                <w:sz w:val="18"/>
                <w:szCs w:val="18"/>
                <w:lang w:val="en-US" w:eastAsia="zh-CN" w:bidi="ar"/>
              </w:rPr>
              <w:t>1.10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1.07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 xml:space="preserve"> to </w:t>
            </w:r>
            <w:r>
              <w:rPr>
                <w:rFonts w:hint="eastAsia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1.13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</w:p>
        </w:tc>
        <w:tc>
          <w:tcPr>
            <w:tcW w:w="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</w:rPr>
            </w:pPr>
          </w:p>
        </w:tc>
        <w:tc>
          <w:tcPr>
            <w:tcW w:w="745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GRADE-quality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⨁⨁⨁⨁</w:t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High</w:t>
            </w:r>
          </w:p>
        </w:tc>
        <w:tc>
          <w:tcPr>
            <w:tcW w:w="5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Arial Narrow" w:cs="Times New Roman"/>
                <w:i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Arial Narrow" w:cs="Times New Roman"/>
                <w:i w:val="0"/>
                <w:kern w:val="0"/>
                <w:sz w:val="18"/>
                <w:szCs w:val="18"/>
                <w:lang w:val="en-US" w:eastAsia="zh-CN" w:bidi="ar"/>
              </w:rPr>
              <w:t>CRITICAL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hd w:val="clear" w:fill="FFFFFF"/>
        <w:spacing w:line="10" w:lineRule="atLeast"/>
        <w:ind w:left="0" w:firstLine="0"/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line="10" w:lineRule="atLeast"/>
        <w:ind w:left="0" w:firstLine="0"/>
        <w:rPr>
          <w:rFonts w:hint="eastAsia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SAEs: serious a</w:t>
      </w:r>
      <w:r>
        <w:rPr>
          <w:rFonts w:hint="default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>dverse events</w:t>
      </w:r>
      <w:r>
        <w:rPr>
          <w:rFonts w:hint="eastAsia" w:ascii="Times New Roman" w:hAnsi="Times New Roman" w:eastAsia="Arial Narrow" w:cs="Times New Roman"/>
          <w:b/>
          <w:i w:val="0"/>
          <w:color w:val="000000"/>
          <w:spacing w:val="0"/>
          <w:kern w:val="0"/>
          <w:sz w:val="18"/>
          <w:szCs w:val="18"/>
          <w:lang w:val="en-US" w:eastAsia="zh-CN" w:bidi="ar"/>
        </w:rPr>
        <w:t xml:space="preserve">; </w:t>
      </w:r>
      <w: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 xml:space="preserve">CI: confidence interval; </w:t>
      </w:r>
      <w:r>
        <w:rPr>
          <w:rFonts w:hint="eastAsia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 xml:space="preserve">R: </w:t>
      </w:r>
      <w:r>
        <w:rPr>
          <w:rFonts w:hint="eastAsia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 xml:space="preserve">odd </w:t>
      </w:r>
      <w:r>
        <w:rPr>
          <w:rFonts w:hint="default" w:ascii="Times New Roman" w:hAnsi="Times New Roman" w:eastAsia="宋体" w:cs="Times New Roman"/>
          <w:b/>
          <w:i w:val="0"/>
          <w:color w:val="000000"/>
          <w:spacing w:val="0"/>
          <w:sz w:val="18"/>
          <w:szCs w:val="18"/>
          <w:lang w:val="en-US" w:eastAsia="zh-CN"/>
        </w:rPr>
        <w:t>ratios</w:t>
      </w:r>
    </w:p>
    <w:p>
      <w:pPr>
        <w:pStyle w:val="5"/>
        <w:keepNext w:val="0"/>
        <w:keepLines w:val="0"/>
        <w:widowControl/>
        <w:suppressLineNumbers w:val="0"/>
        <w:spacing w:line="140" w:lineRule="atLeast"/>
      </w:pPr>
      <w:bookmarkStart w:id="0" w:name="_GoBack"/>
      <w:bookmarkEnd w:id="0"/>
    </w:p>
    <w:sectPr>
      <w:headerReference r:id="rId3" w:type="default"/>
      <w:footerReference r:id="rId4" w:type="default"/>
      <w:pgSz w:w="15840" w:h="12240" w:orient="landscape"/>
      <w:pgMar w:top="720" w:right="720" w:bottom="720" w:left="72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GRADE-qualit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F7676"/>
    <w:rsid w:val="020C7163"/>
    <w:rsid w:val="043262C2"/>
    <w:rsid w:val="04E94BE0"/>
    <w:rsid w:val="055943E7"/>
    <w:rsid w:val="07BB2838"/>
    <w:rsid w:val="086A166B"/>
    <w:rsid w:val="0F9C0A9D"/>
    <w:rsid w:val="0FE60DDB"/>
    <w:rsid w:val="17B51BB8"/>
    <w:rsid w:val="1E9C486E"/>
    <w:rsid w:val="207101C9"/>
    <w:rsid w:val="222D7049"/>
    <w:rsid w:val="23DC5645"/>
    <w:rsid w:val="2E986820"/>
    <w:rsid w:val="313122F7"/>
    <w:rsid w:val="3866452F"/>
    <w:rsid w:val="386B622E"/>
    <w:rsid w:val="3B00583C"/>
    <w:rsid w:val="3C015DFD"/>
    <w:rsid w:val="3DB57445"/>
    <w:rsid w:val="40CE0B04"/>
    <w:rsid w:val="40E93F47"/>
    <w:rsid w:val="44D20A27"/>
    <w:rsid w:val="4B9B7289"/>
    <w:rsid w:val="4C06577C"/>
    <w:rsid w:val="50EA69DC"/>
    <w:rsid w:val="571F4C4C"/>
    <w:rsid w:val="605F18ED"/>
    <w:rsid w:val="60D5144A"/>
    <w:rsid w:val="62E36F77"/>
    <w:rsid w:val="685E542A"/>
    <w:rsid w:val="76DD7601"/>
    <w:rsid w:val="7A521608"/>
    <w:rsid w:val="7AF66E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TOC Heading"/>
    <w:basedOn w:val="2"/>
    <w:next w:val="1"/>
    <w:unhideWhenUsed/>
    <w:qFormat/>
    <w:uiPriority w:val="39"/>
    <w:pPr>
      <w:spacing w:before="480" w:line="276" w:lineRule="auto"/>
      <w:outlineLvl w:val="9"/>
    </w:pPr>
    <w:rPr>
      <w:rFonts w:asciiTheme="majorHAnsi" w:hAnsiTheme="majorHAnsi"/>
      <w:bCs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tiff"/><Relationship Id="rId14" Type="http://schemas.openxmlformats.org/officeDocument/2006/relationships/image" Target="media/image9.tiff"/><Relationship Id="rId13" Type="http://schemas.openxmlformats.org/officeDocument/2006/relationships/image" Target="media/image8.tiff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Office_11.1.0.9192_F1E327BC-269C-435d-A152-05C5408002CA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2021-11-19T13:45:00Z</dcterms:created>
  <dc:creator>Wenfeng Liu</dc:creator>
  <cp:lastModifiedBy>author</cp:lastModifiedBy>
  <dcterms:modified xsi:type="dcterms:W3CDTF">2021-11-24T08:50:33Z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