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1CD5" w14:textId="77777777" w:rsidR="00B145AD" w:rsidRPr="002E420C" w:rsidRDefault="00B145AD" w:rsidP="00B145AD">
      <w:r>
        <w:rPr>
          <w:b/>
          <w:bCs/>
        </w:rPr>
        <w:t>Supplement Table 1: Results from two-sample F-tests for equal variance</w:t>
      </w:r>
      <w:r>
        <w:t>. Before running unpaired t-tests, the samples to be compared were first assessed to determine if the t-test should be adjusted for equal or unequal variance. All comparisons in which this analysis was necessary are listed here. The “Test” column indicates which comparison is being assessed, the “DF” column indicates the degrees of freedom for the analysis, the “F value” column provides the F-statistic from the test, and the “P value” column indicates the p-value of the analysis. A p-value of less than 0.05 indicates unequal variance, while greater than 0.05 indicates equal variance. Note that this p-value indicates whether the listed comparison should be made with an equal or unequal variance t-test, and does not indicate the significance of that t-test.</w:t>
      </w:r>
    </w:p>
    <w:p w14:paraId="7487F07C" w14:textId="77777777" w:rsidR="00B145AD" w:rsidRDefault="00B145AD"/>
    <w:tbl>
      <w:tblPr>
        <w:tblStyle w:val="TableGrid"/>
        <w:tblW w:w="9198" w:type="dxa"/>
        <w:tblLook w:val="04A0" w:firstRow="1" w:lastRow="0" w:firstColumn="1" w:lastColumn="0" w:noHBand="0" w:noVBand="1"/>
      </w:tblPr>
      <w:tblGrid>
        <w:gridCol w:w="3675"/>
        <w:gridCol w:w="1786"/>
        <w:gridCol w:w="1794"/>
        <w:gridCol w:w="1943"/>
      </w:tblGrid>
      <w:tr w:rsidR="00E01C31" w14:paraId="3545A664" w14:textId="77777777" w:rsidTr="00B145AD">
        <w:trPr>
          <w:trHeight w:val="384"/>
        </w:trPr>
        <w:tc>
          <w:tcPr>
            <w:tcW w:w="3675" w:type="dxa"/>
          </w:tcPr>
          <w:p w14:paraId="6501C33E" w14:textId="2688D8D4" w:rsidR="00E01C31" w:rsidRPr="00E01C31" w:rsidRDefault="00E01C31">
            <w:pPr>
              <w:rPr>
                <w:b/>
                <w:bCs/>
              </w:rPr>
            </w:pPr>
            <w:r w:rsidRPr="00E01C31">
              <w:rPr>
                <w:b/>
                <w:bCs/>
              </w:rPr>
              <w:t>Test</w:t>
            </w:r>
          </w:p>
        </w:tc>
        <w:tc>
          <w:tcPr>
            <w:tcW w:w="1786" w:type="dxa"/>
          </w:tcPr>
          <w:p w14:paraId="0FAC0AE0" w14:textId="31CA2BF4" w:rsidR="00E01C31" w:rsidRPr="00E01C31" w:rsidRDefault="00E01C31" w:rsidP="00E01C31">
            <w:pPr>
              <w:jc w:val="center"/>
              <w:rPr>
                <w:b/>
                <w:bCs/>
              </w:rPr>
            </w:pPr>
            <w:r w:rsidRPr="00E01C31">
              <w:rPr>
                <w:b/>
                <w:bCs/>
              </w:rPr>
              <w:t>DF</w:t>
            </w:r>
          </w:p>
        </w:tc>
        <w:tc>
          <w:tcPr>
            <w:tcW w:w="1794" w:type="dxa"/>
          </w:tcPr>
          <w:p w14:paraId="5629F5AF" w14:textId="555120EF" w:rsidR="00E01C31" w:rsidRPr="00E01C31" w:rsidRDefault="00E01C31" w:rsidP="00E01C31">
            <w:pPr>
              <w:jc w:val="center"/>
              <w:rPr>
                <w:b/>
                <w:bCs/>
              </w:rPr>
            </w:pPr>
            <w:r w:rsidRPr="00E01C31">
              <w:rPr>
                <w:b/>
                <w:bCs/>
              </w:rPr>
              <w:t>F</w:t>
            </w:r>
            <w:r w:rsidR="001E1D7C">
              <w:rPr>
                <w:b/>
                <w:bCs/>
              </w:rPr>
              <w:t xml:space="preserve"> value</w:t>
            </w:r>
          </w:p>
        </w:tc>
        <w:tc>
          <w:tcPr>
            <w:tcW w:w="1943" w:type="dxa"/>
          </w:tcPr>
          <w:p w14:paraId="22C33143" w14:textId="1CA02D3E" w:rsidR="00E01C31" w:rsidRPr="00E01C31" w:rsidRDefault="00E01C31" w:rsidP="00E01C31">
            <w:pPr>
              <w:jc w:val="center"/>
              <w:rPr>
                <w:b/>
                <w:bCs/>
              </w:rPr>
            </w:pPr>
            <w:r w:rsidRPr="00E01C31">
              <w:rPr>
                <w:b/>
                <w:bCs/>
              </w:rPr>
              <w:t>P</w:t>
            </w:r>
            <w:r w:rsidR="001E1D7C">
              <w:rPr>
                <w:b/>
                <w:bCs/>
              </w:rPr>
              <w:t xml:space="preserve"> value</w:t>
            </w:r>
          </w:p>
        </w:tc>
      </w:tr>
      <w:tr w:rsidR="00E01C31" w14:paraId="3EBD2210" w14:textId="77777777" w:rsidTr="00B145AD">
        <w:trPr>
          <w:trHeight w:val="792"/>
        </w:trPr>
        <w:tc>
          <w:tcPr>
            <w:tcW w:w="3675" w:type="dxa"/>
            <w:vAlign w:val="center"/>
          </w:tcPr>
          <w:p w14:paraId="4C0D1601" w14:textId="0718AD1C" w:rsidR="00E01C31" w:rsidRDefault="00E01C31" w:rsidP="00B145AD">
            <w:r>
              <w:t>SA Cohort,</w:t>
            </w:r>
            <w:r w:rsidR="009262AB">
              <w:t xml:space="preserve"> </w:t>
            </w:r>
            <w:r>
              <w:t>Pre-training, Intact field vs Blind field thresholds</w:t>
            </w:r>
          </w:p>
        </w:tc>
        <w:tc>
          <w:tcPr>
            <w:tcW w:w="1786" w:type="dxa"/>
            <w:vAlign w:val="center"/>
          </w:tcPr>
          <w:p w14:paraId="2D120FBD" w14:textId="6B7DAA93" w:rsidR="00E01C31" w:rsidRDefault="00E01C31" w:rsidP="00E01C31">
            <w:pPr>
              <w:jc w:val="center"/>
            </w:pPr>
            <w:r>
              <w:t>4,9</w:t>
            </w:r>
          </w:p>
        </w:tc>
        <w:tc>
          <w:tcPr>
            <w:tcW w:w="1794" w:type="dxa"/>
            <w:vAlign w:val="center"/>
          </w:tcPr>
          <w:p w14:paraId="28F2844D" w14:textId="5F7EBABA" w:rsidR="00E01C31" w:rsidRDefault="00E01C31" w:rsidP="00E01C31">
            <w:pPr>
              <w:jc w:val="center"/>
            </w:pPr>
            <w:r>
              <w:t>0.0</w:t>
            </w:r>
            <w:r w:rsidR="00E909DD">
              <w:t>14</w:t>
            </w:r>
          </w:p>
        </w:tc>
        <w:tc>
          <w:tcPr>
            <w:tcW w:w="1943" w:type="dxa"/>
            <w:vAlign w:val="center"/>
          </w:tcPr>
          <w:p w14:paraId="7ACA521D" w14:textId="612C9432" w:rsidR="00E01C31" w:rsidRDefault="00E01C31" w:rsidP="00E01C31">
            <w:pPr>
              <w:jc w:val="center"/>
            </w:pPr>
            <w:r>
              <w:t>0.000</w:t>
            </w:r>
            <w:r w:rsidR="00B86822">
              <w:t>97</w:t>
            </w:r>
          </w:p>
        </w:tc>
      </w:tr>
      <w:tr w:rsidR="00E01C31" w14:paraId="4FA6F235" w14:textId="77777777" w:rsidTr="00B145AD">
        <w:trPr>
          <w:trHeight w:val="769"/>
        </w:trPr>
        <w:tc>
          <w:tcPr>
            <w:tcW w:w="3675" w:type="dxa"/>
            <w:vAlign w:val="center"/>
          </w:tcPr>
          <w:p w14:paraId="78D09FA5" w14:textId="0E4DC70B" w:rsidR="00E01C31" w:rsidRDefault="00E01C31" w:rsidP="00B145AD">
            <w:r>
              <w:t>SA Cohort, Pre-training, Intact field vs Blind field MDP</w:t>
            </w:r>
          </w:p>
        </w:tc>
        <w:tc>
          <w:tcPr>
            <w:tcW w:w="1786" w:type="dxa"/>
            <w:vAlign w:val="center"/>
          </w:tcPr>
          <w:p w14:paraId="768962FE" w14:textId="1F0D21EF" w:rsidR="00E01C31" w:rsidRDefault="00E01C31" w:rsidP="00E01C31">
            <w:pPr>
              <w:jc w:val="center"/>
            </w:pPr>
            <w:r>
              <w:t>4,9</w:t>
            </w:r>
          </w:p>
        </w:tc>
        <w:tc>
          <w:tcPr>
            <w:tcW w:w="1794" w:type="dxa"/>
            <w:vAlign w:val="center"/>
          </w:tcPr>
          <w:p w14:paraId="0FA79367" w14:textId="4CCA9786" w:rsidR="00E01C31" w:rsidRDefault="00E01C31" w:rsidP="00E01C31">
            <w:pPr>
              <w:jc w:val="center"/>
            </w:pPr>
            <w:r>
              <w:t>0.4</w:t>
            </w:r>
          </w:p>
        </w:tc>
        <w:tc>
          <w:tcPr>
            <w:tcW w:w="1943" w:type="dxa"/>
            <w:vAlign w:val="center"/>
          </w:tcPr>
          <w:p w14:paraId="2ACE83E7" w14:textId="07016F30" w:rsidR="00E01C31" w:rsidRDefault="00E01C31" w:rsidP="00E01C31">
            <w:pPr>
              <w:jc w:val="center"/>
            </w:pPr>
            <w:r>
              <w:t>0.4</w:t>
            </w:r>
          </w:p>
        </w:tc>
      </w:tr>
      <w:tr w:rsidR="00E01C31" w14:paraId="53858340" w14:textId="77777777" w:rsidTr="00B145AD">
        <w:trPr>
          <w:trHeight w:val="1177"/>
        </w:trPr>
        <w:tc>
          <w:tcPr>
            <w:tcW w:w="3675" w:type="dxa"/>
            <w:vAlign w:val="center"/>
          </w:tcPr>
          <w:p w14:paraId="52A6CB6C" w14:textId="7BAD0248" w:rsidR="00E01C31" w:rsidRDefault="00E01C31" w:rsidP="00B145AD">
            <w:r>
              <w:t>Neutral Cohort, Pre-training, Intact field vs Blind field thresholds</w:t>
            </w:r>
          </w:p>
        </w:tc>
        <w:tc>
          <w:tcPr>
            <w:tcW w:w="1786" w:type="dxa"/>
            <w:vAlign w:val="center"/>
          </w:tcPr>
          <w:p w14:paraId="63D6C4DA" w14:textId="27D8D5A3" w:rsidR="00E01C31" w:rsidRDefault="00E01C31" w:rsidP="00E01C31">
            <w:pPr>
              <w:jc w:val="center"/>
            </w:pPr>
            <w:r>
              <w:t>3,7</w:t>
            </w:r>
          </w:p>
        </w:tc>
        <w:tc>
          <w:tcPr>
            <w:tcW w:w="1794" w:type="dxa"/>
            <w:vAlign w:val="center"/>
          </w:tcPr>
          <w:p w14:paraId="414AB823" w14:textId="1C80FF8B" w:rsidR="00E01C31" w:rsidRDefault="00E01C31" w:rsidP="00E01C31">
            <w:pPr>
              <w:jc w:val="center"/>
            </w:pPr>
            <w:r>
              <w:t>0.00022</w:t>
            </w:r>
          </w:p>
        </w:tc>
        <w:tc>
          <w:tcPr>
            <w:tcW w:w="1943" w:type="dxa"/>
            <w:vAlign w:val="center"/>
          </w:tcPr>
          <w:p w14:paraId="6A86E17E" w14:textId="3D8EB732" w:rsidR="00E01C31" w:rsidRDefault="00E01C31" w:rsidP="00E01C31">
            <w:pPr>
              <w:jc w:val="center"/>
            </w:pPr>
            <w:r>
              <w:t>0.00001</w:t>
            </w:r>
          </w:p>
        </w:tc>
      </w:tr>
      <w:tr w:rsidR="00E01C31" w14:paraId="34EF0711" w14:textId="77777777" w:rsidTr="00B145AD">
        <w:trPr>
          <w:trHeight w:val="792"/>
        </w:trPr>
        <w:tc>
          <w:tcPr>
            <w:tcW w:w="3675" w:type="dxa"/>
            <w:vAlign w:val="center"/>
          </w:tcPr>
          <w:p w14:paraId="44091E58" w14:textId="0DAD5C00" w:rsidR="00E01C31" w:rsidRDefault="00E01C31" w:rsidP="00B145AD">
            <w:r>
              <w:t>Neutral Cohort, Pre-training, Intact field vs Blind field MDP</w:t>
            </w:r>
          </w:p>
        </w:tc>
        <w:tc>
          <w:tcPr>
            <w:tcW w:w="1786" w:type="dxa"/>
            <w:vAlign w:val="center"/>
          </w:tcPr>
          <w:p w14:paraId="2CDDE59E" w14:textId="0280D196" w:rsidR="00E01C31" w:rsidRDefault="00E01C31" w:rsidP="00E01C31">
            <w:pPr>
              <w:jc w:val="center"/>
            </w:pPr>
            <w:r>
              <w:t>3,7</w:t>
            </w:r>
          </w:p>
        </w:tc>
        <w:tc>
          <w:tcPr>
            <w:tcW w:w="1794" w:type="dxa"/>
            <w:vAlign w:val="center"/>
          </w:tcPr>
          <w:p w14:paraId="57BEBB75" w14:textId="5BB71728" w:rsidR="00E01C31" w:rsidRDefault="00E01C31" w:rsidP="00E01C31">
            <w:pPr>
              <w:jc w:val="center"/>
            </w:pPr>
            <w:r>
              <w:t>0.0</w:t>
            </w:r>
          </w:p>
        </w:tc>
        <w:tc>
          <w:tcPr>
            <w:tcW w:w="1943" w:type="dxa"/>
            <w:vAlign w:val="center"/>
          </w:tcPr>
          <w:p w14:paraId="4B2A6845" w14:textId="03308C77" w:rsidR="00E01C31" w:rsidRDefault="00E01C31" w:rsidP="00E01C31">
            <w:pPr>
              <w:jc w:val="center"/>
            </w:pPr>
            <w:r>
              <w:t>0.0</w:t>
            </w:r>
          </w:p>
        </w:tc>
      </w:tr>
      <w:tr w:rsidR="00487343" w14:paraId="2F6ADD2C" w14:textId="77777777" w:rsidTr="00B145AD">
        <w:trPr>
          <w:trHeight w:val="1177"/>
        </w:trPr>
        <w:tc>
          <w:tcPr>
            <w:tcW w:w="3675" w:type="dxa"/>
            <w:vAlign w:val="center"/>
          </w:tcPr>
          <w:p w14:paraId="39C489F9" w14:textId="57729DDE" w:rsidR="00487343" w:rsidRDefault="00487343" w:rsidP="00B145AD">
            <w:r>
              <w:t>SA Cohort, Pre-training Blind field vs Neutral Cohort</w:t>
            </w:r>
            <w:r w:rsidR="00411E1F">
              <w:t xml:space="preserve">, Pre-training </w:t>
            </w:r>
            <w:r>
              <w:t>Blind field t</w:t>
            </w:r>
            <w:r w:rsidR="00411E1F">
              <w:t>hresholds</w:t>
            </w:r>
          </w:p>
        </w:tc>
        <w:tc>
          <w:tcPr>
            <w:tcW w:w="1786" w:type="dxa"/>
            <w:vAlign w:val="center"/>
          </w:tcPr>
          <w:p w14:paraId="43EDF717" w14:textId="62E8C86D" w:rsidR="00487343" w:rsidRDefault="00487343" w:rsidP="00E01C31">
            <w:pPr>
              <w:jc w:val="center"/>
            </w:pPr>
            <w:r>
              <w:t>9,7</w:t>
            </w:r>
          </w:p>
        </w:tc>
        <w:tc>
          <w:tcPr>
            <w:tcW w:w="1794" w:type="dxa"/>
            <w:vAlign w:val="center"/>
          </w:tcPr>
          <w:p w14:paraId="1B2CFAD5" w14:textId="00856463" w:rsidR="00487343" w:rsidRDefault="00411E1F" w:rsidP="00E01C31">
            <w:pPr>
              <w:jc w:val="center"/>
            </w:pPr>
            <w:r>
              <w:t>0.76</w:t>
            </w:r>
          </w:p>
        </w:tc>
        <w:tc>
          <w:tcPr>
            <w:tcW w:w="1943" w:type="dxa"/>
            <w:vAlign w:val="center"/>
          </w:tcPr>
          <w:p w14:paraId="279F902D" w14:textId="3FEE8E17" w:rsidR="00487343" w:rsidRDefault="00411E1F" w:rsidP="00E01C31">
            <w:pPr>
              <w:jc w:val="center"/>
            </w:pPr>
            <w:r>
              <w:t>0.69</w:t>
            </w:r>
          </w:p>
        </w:tc>
      </w:tr>
      <w:tr w:rsidR="00411E1F" w14:paraId="23BCDDD5" w14:textId="77777777" w:rsidTr="00B145AD">
        <w:trPr>
          <w:trHeight w:val="1177"/>
        </w:trPr>
        <w:tc>
          <w:tcPr>
            <w:tcW w:w="3675" w:type="dxa"/>
            <w:vAlign w:val="center"/>
          </w:tcPr>
          <w:p w14:paraId="2A022A3F" w14:textId="7A3F4949" w:rsidR="00411E1F" w:rsidRDefault="00411E1F" w:rsidP="00B145AD">
            <w:r>
              <w:t>SA Cohort, Pre-training Blind field vs Neutral Cohort, Pre-training Blind field MDP</w:t>
            </w:r>
          </w:p>
        </w:tc>
        <w:tc>
          <w:tcPr>
            <w:tcW w:w="1786" w:type="dxa"/>
            <w:vAlign w:val="center"/>
          </w:tcPr>
          <w:p w14:paraId="301B81DD" w14:textId="2BAF12C6" w:rsidR="00411E1F" w:rsidRDefault="00411E1F" w:rsidP="00E01C31">
            <w:pPr>
              <w:jc w:val="center"/>
            </w:pPr>
            <w:r>
              <w:t>9,7</w:t>
            </w:r>
          </w:p>
        </w:tc>
        <w:tc>
          <w:tcPr>
            <w:tcW w:w="1794" w:type="dxa"/>
            <w:vAlign w:val="center"/>
          </w:tcPr>
          <w:p w14:paraId="2A51BFFF" w14:textId="6A7E1B67" w:rsidR="00411E1F" w:rsidRDefault="00411E1F" w:rsidP="00E01C31">
            <w:pPr>
              <w:jc w:val="center"/>
            </w:pPr>
            <w:r>
              <w:t>0.89</w:t>
            </w:r>
          </w:p>
        </w:tc>
        <w:tc>
          <w:tcPr>
            <w:tcW w:w="1943" w:type="dxa"/>
            <w:vAlign w:val="center"/>
          </w:tcPr>
          <w:p w14:paraId="1D3F62C5" w14:textId="2816C549" w:rsidR="00411E1F" w:rsidRDefault="00411E1F" w:rsidP="00E01C31">
            <w:pPr>
              <w:jc w:val="center"/>
            </w:pPr>
            <w:r>
              <w:t>0.85</w:t>
            </w:r>
          </w:p>
        </w:tc>
      </w:tr>
      <w:tr w:rsidR="00E01C31" w14:paraId="669508F9" w14:textId="77777777" w:rsidTr="00B145AD">
        <w:trPr>
          <w:trHeight w:val="1177"/>
        </w:trPr>
        <w:tc>
          <w:tcPr>
            <w:tcW w:w="3675" w:type="dxa"/>
            <w:vAlign w:val="center"/>
          </w:tcPr>
          <w:p w14:paraId="50EEF583" w14:textId="1D5F658B" w:rsidR="00E01C31" w:rsidRDefault="00E01C31" w:rsidP="00B145AD">
            <w:r>
              <w:t>SA Cohort, Post-training, Intact field vs Blind field thresholds</w:t>
            </w:r>
          </w:p>
        </w:tc>
        <w:tc>
          <w:tcPr>
            <w:tcW w:w="1786" w:type="dxa"/>
            <w:vAlign w:val="center"/>
          </w:tcPr>
          <w:p w14:paraId="7A4D705D" w14:textId="17043330" w:rsidR="00E01C31" w:rsidRDefault="00E01C31" w:rsidP="00E01C31">
            <w:pPr>
              <w:jc w:val="center"/>
            </w:pPr>
            <w:r>
              <w:t>4,9</w:t>
            </w:r>
          </w:p>
        </w:tc>
        <w:tc>
          <w:tcPr>
            <w:tcW w:w="1794" w:type="dxa"/>
            <w:vAlign w:val="center"/>
          </w:tcPr>
          <w:p w14:paraId="07DC8E75" w14:textId="11F452F6" w:rsidR="00E01C31" w:rsidRDefault="00E01C31" w:rsidP="00E01C31">
            <w:pPr>
              <w:jc w:val="center"/>
            </w:pPr>
            <w:r>
              <w:t>0.013</w:t>
            </w:r>
          </w:p>
        </w:tc>
        <w:tc>
          <w:tcPr>
            <w:tcW w:w="1943" w:type="dxa"/>
            <w:vAlign w:val="center"/>
          </w:tcPr>
          <w:p w14:paraId="3351DCEC" w14:textId="7AEF4983" w:rsidR="00E01C31" w:rsidRDefault="00E01C31" w:rsidP="00E01C31">
            <w:pPr>
              <w:jc w:val="center"/>
            </w:pPr>
            <w:r>
              <w:t>0.0008</w:t>
            </w:r>
            <w:r w:rsidR="00411E1F">
              <w:t>5</w:t>
            </w:r>
          </w:p>
        </w:tc>
      </w:tr>
      <w:tr w:rsidR="00E01C31" w14:paraId="5338C409" w14:textId="77777777" w:rsidTr="00B145AD">
        <w:trPr>
          <w:trHeight w:val="792"/>
        </w:trPr>
        <w:tc>
          <w:tcPr>
            <w:tcW w:w="3675" w:type="dxa"/>
            <w:vAlign w:val="center"/>
          </w:tcPr>
          <w:p w14:paraId="7E861DFB" w14:textId="5F9F9081" w:rsidR="00E01C31" w:rsidRDefault="00E01C31" w:rsidP="00B145AD">
            <w:r>
              <w:t>SA Cohort, Post-training, Intact field vs Blind field MDP</w:t>
            </w:r>
          </w:p>
        </w:tc>
        <w:tc>
          <w:tcPr>
            <w:tcW w:w="1786" w:type="dxa"/>
            <w:vAlign w:val="center"/>
          </w:tcPr>
          <w:p w14:paraId="7A392B1A" w14:textId="0A3AD5BC" w:rsidR="00E01C31" w:rsidRDefault="00E01C31" w:rsidP="00E01C31">
            <w:pPr>
              <w:jc w:val="center"/>
            </w:pPr>
            <w:r>
              <w:t>4,9</w:t>
            </w:r>
          </w:p>
        </w:tc>
        <w:tc>
          <w:tcPr>
            <w:tcW w:w="1794" w:type="dxa"/>
            <w:vAlign w:val="center"/>
          </w:tcPr>
          <w:p w14:paraId="7E378DA3" w14:textId="74354173" w:rsidR="00E01C31" w:rsidRDefault="00E01C31" w:rsidP="00E01C31">
            <w:pPr>
              <w:jc w:val="center"/>
            </w:pPr>
            <w:r>
              <w:t>0.57</w:t>
            </w:r>
          </w:p>
        </w:tc>
        <w:tc>
          <w:tcPr>
            <w:tcW w:w="1943" w:type="dxa"/>
            <w:vAlign w:val="center"/>
          </w:tcPr>
          <w:p w14:paraId="34419689" w14:textId="37147D9A" w:rsidR="00E01C31" w:rsidRDefault="00E01C31" w:rsidP="00E01C31">
            <w:pPr>
              <w:jc w:val="center"/>
            </w:pPr>
            <w:r>
              <w:t>0.62</w:t>
            </w:r>
          </w:p>
        </w:tc>
      </w:tr>
      <w:tr w:rsidR="00E01C31" w14:paraId="32415ADC" w14:textId="77777777" w:rsidTr="00B145AD">
        <w:trPr>
          <w:trHeight w:val="1177"/>
        </w:trPr>
        <w:tc>
          <w:tcPr>
            <w:tcW w:w="3675" w:type="dxa"/>
            <w:vAlign w:val="center"/>
          </w:tcPr>
          <w:p w14:paraId="43C564F0" w14:textId="1CF87C6A" w:rsidR="00E01C31" w:rsidRDefault="00E01C31" w:rsidP="00B145AD">
            <w:r>
              <w:t>Neutral Cohort, Post-training, Intact field vs Blind field thresholds</w:t>
            </w:r>
          </w:p>
        </w:tc>
        <w:tc>
          <w:tcPr>
            <w:tcW w:w="1786" w:type="dxa"/>
            <w:vAlign w:val="center"/>
          </w:tcPr>
          <w:p w14:paraId="06BE1299" w14:textId="26D38E6B" w:rsidR="00E01C31" w:rsidRDefault="00E01C31" w:rsidP="00E01C31">
            <w:pPr>
              <w:jc w:val="center"/>
            </w:pPr>
            <w:r>
              <w:t>3,7</w:t>
            </w:r>
          </w:p>
        </w:tc>
        <w:tc>
          <w:tcPr>
            <w:tcW w:w="1794" w:type="dxa"/>
            <w:vAlign w:val="center"/>
          </w:tcPr>
          <w:p w14:paraId="44DC2F07" w14:textId="25EE255B" w:rsidR="00E01C31" w:rsidRDefault="00E01C31" w:rsidP="00E01C31">
            <w:pPr>
              <w:jc w:val="center"/>
            </w:pPr>
            <w:r>
              <w:t>0.00027</w:t>
            </w:r>
          </w:p>
        </w:tc>
        <w:tc>
          <w:tcPr>
            <w:tcW w:w="1943" w:type="dxa"/>
            <w:vAlign w:val="center"/>
          </w:tcPr>
          <w:p w14:paraId="4E050944" w14:textId="7AC7A5E6" w:rsidR="00E01C31" w:rsidRDefault="00E01C31" w:rsidP="00E01C31">
            <w:pPr>
              <w:jc w:val="center"/>
            </w:pPr>
            <w:r>
              <w:t>0.00014</w:t>
            </w:r>
          </w:p>
        </w:tc>
      </w:tr>
      <w:tr w:rsidR="00E01C31" w14:paraId="3927B38E" w14:textId="77777777" w:rsidTr="00B145AD">
        <w:trPr>
          <w:trHeight w:val="769"/>
        </w:trPr>
        <w:tc>
          <w:tcPr>
            <w:tcW w:w="3675" w:type="dxa"/>
            <w:vAlign w:val="center"/>
          </w:tcPr>
          <w:p w14:paraId="6652DAAE" w14:textId="3442F31B" w:rsidR="00E01C31" w:rsidRDefault="00E01C31" w:rsidP="00B145AD">
            <w:r>
              <w:lastRenderedPageBreak/>
              <w:t>Neutral Cohort, Post-training, Intact field vs Blind field MDP</w:t>
            </w:r>
          </w:p>
        </w:tc>
        <w:tc>
          <w:tcPr>
            <w:tcW w:w="1786" w:type="dxa"/>
            <w:vAlign w:val="center"/>
          </w:tcPr>
          <w:p w14:paraId="139C2C9D" w14:textId="2F6B5478" w:rsidR="00E01C31" w:rsidRDefault="00E01C31" w:rsidP="00E01C31">
            <w:pPr>
              <w:jc w:val="center"/>
            </w:pPr>
            <w:r>
              <w:t>3,7</w:t>
            </w:r>
          </w:p>
        </w:tc>
        <w:tc>
          <w:tcPr>
            <w:tcW w:w="1794" w:type="dxa"/>
            <w:vAlign w:val="center"/>
          </w:tcPr>
          <w:p w14:paraId="69684FFC" w14:textId="2CF1C606" w:rsidR="00E01C31" w:rsidRDefault="00E01C31" w:rsidP="00E01C31">
            <w:pPr>
              <w:jc w:val="center"/>
            </w:pPr>
            <w:r>
              <w:t>0.0</w:t>
            </w:r>
          </w:p>
        </w:tc>
        <w:tc>
          <w:tcPr>
            <w:tcW w:w="1943" w:type="dxa"/>
            <w:vAlign w:val="center"/>
          </w:tcPr>
          <w:p w14:paraId="61D1654A" w14:textId="24B0D0BE" w:rsidR="00E01C31" w:rsidRDefault="00E01C31" w:rsidP="00E01C31">
            <w:pPr>
              <w:jc w:val="center"/>
            </w:pPr>
            <w:r>
              <w:t>0.0</w:t>
            </w:r>
          </w:p>
        </w:tc>
      </w:tr>
      <w:tr w:rsidR="00EF6961" w14:paraId="22E8768E" w14:textId="77777777" w:rsidTr="00B145AD">
        <w:trPr>
          <w:trHeight w:val="792"/>
        </w:trPr>
        <w:tc>
          <w:tcPr>
            <w:tcW w:w="3675" w:type="dxa"/>
            <w:vAlign w:val="center"/>
          </w:tcPr>
          <w:p w14:paraId="3326CDC6" w14:textId="583B2662" w:rsidR="00EF6961" w:rsidRDefault="00EF6961" w:rsidP="00B145AD">
            <w:r>
              <w:t>SA Cohort, P</w:t>
            </w:r>
            <w:r>
              <w:t>ost</w:t>
            </w:r>
            <w:r>
              <w:t>-training Blind field vs Neutral Cohort, P</w:t>
            </w:r>
            <w:r>
              <w:t>ost</w:t>
            </w:r>
            <w:r>
              <w:t>-training Blind field thresholds</w:t>
            </w:r>
          </w:p>
        </w:tc>
        <w:tc>
          <w:tcPr>
            <w:tcW w:w="1786" w:type="dxa"/>
            <w:vAlign w:val="center"/>
          </w:tcPr>
          <w:p w14:paraId="72B0FC38" w14:textId="50421E22" w:rsidR="00EF6961" w:rsidRDefault="00EF6961" w:rsidP="008448BA">
            <w:pPr>
              <w:jc w:val="center"/>
            </w:pPr>
            <w:r>
              <w:t>9,7</w:t>
            </w:r>
          </w:p>
        </w:tc>
        <w:tc>
          <w:tcPr>
            <w:tcW w:w="1794" w:type="dxa"/>
            <w:vAlign w:val="center"/>
          </w:tcPr>
          <w:p w14:paraId="0AC8E1A4" w14:textId="60111813" w:rsidR="00EF6961" w:rsidRDefault="00EF6961" w:rsidP="008448BA">
            <w:pPr>
              <w:jc w:val="center"/>
            </w:pPr>
            <w:r>
              <w:t>1.00</w:t>
            </w:r>
          </w:p>
        </w:tc>
        <w:tc>
          <w:tcPr>
            <w:tcW w:w="1943" w:type="dxa"/>
            <w:vAlign w:val="center"/>
          </w:tcPr>
          <w:p w14:paraId="5784F644" w14:textId="24A81F66" w:rsidR="00EF6961" w:rsidRDefault="00EF6961" w:rsidP="008448BA">
            <w:pPr>
              <w:jc w:val="center"/>
            </w:pPr>
            <w:r>
              <w:t>0.98</w:t>
            </w:r>
          </w:p>
        </w:tc>
      </w:tr>
      <w:tr w:rsidR="00C120C0" w14:paraId="455E3822" w14:textId="77777777" w:rsidTr="00B145AD">
        <w:trPr>
          <w:trHeight w:val="792"/>
        </w:trPr>
        <w:tc>
          <w:tcPr>
            <w:tcW w:w="3675" w:type="dxa"/>
            <w:vAlign w:val="center"/>
          </w:tcPr>
          <w:p w14:paraId="29409368" w14:textId="0C640995" w:rsidR="00C120C0" w:rsidRDefault="00C120C0" w:rsidP="00B145AD">
            <w:r>
              <w:t xml:space="preserve">SA Cohort, Post-training Blind field vs Neutral Cohort, Post-training Blind field </w:t>
            </w:r>
            <w:r>
              <w:t>MDP</w:t>
            </w:r>
          </w:p>
        </w:tc>
        <w:tc>
          <w:tcPr>
            <w:tcW w:w="1786" w:type="dxa"/>
            <w:vAlign w:val="center"/>
          </w:tcPr>
          <w:p w14:paraId="2D63D1FA" w14:textId="6326F699" w:rsidR="00C120C0" w:rsidRDefault="00C120C0" w:rsidP="008448BA">
            <w:pPr>
              <w:jc w:val="center"/>
            </w:pPr>
            <w:r>
              <w:t>9,7</w:t>
            </w:r>
          </w:p>
        </w:tc>
        <w:tc>
          <w:tcPr>
            <w:tcW w:w="1794" w:type="dxa"/>
            <w:vAlign w:val="center"/>
          </w:tcPr>
          <w:p w14:paraId="697B2B73" w14:textId="31AC56DC" w:rsidR="00C120C0" w:rsidRDefault="00C120C0" w:rsidP="008448BA">
            <w:pPr>
              <w:jc w:val="center"/>
            </w:pPr>
            <w:r>
              <w:t>1.70</w:t>
            </w:r>
          </w:p>
        </w:tc>
        <w:tc>
          <w:tcPr>
            <w:tcW w:w="1943" w:type="dxa"/>
            <w:vAlign w:val="center"/>
          </w:tcPr>
          <w:p w14:paraId="353ECD7E" w14:textId="0F74DE57" w:rsidR="00C120C0" w:rsidRDefault="00C120C0" w:rsidP="008448BA">
            <w:pPr>
              <w:jc w:val="center"/>
            </w:pPr>
            <w:r>
              <w:t>0.49</w:t>
            </w:r>
          </w:p>
        </w:tc>
      </w:tr>
      <w:tr w:rsidR="00E01C31" w14:paraId="6A2A14AC" w14:textId="77777777" w:rsidTr="00B145AD">
        <w:trPr>
          <w:trHeight w:val="792"/>
        </w:trPr>
        <w:tc>
          <w:tcPr>
            <w:tcW w:w="3675" w:type="dxa"/>
            <w:vAlign w:val="center"/>
          </w:tcPr>
          <w:p w14:paraId="15A0BD16" w14:textId="4ADDDE28" w:rsidR="00E01C31" w:rsidRDefault="00E01C31" w:rsidP="00B145AD">
            <w:r>
              <w:t>SA vs Neutral Cohort number of training trials</w:t>
            </w:r>
          </w:p>
        </w:tc>
        <w:tc>
          <w:tcPr>
            <w:tcW w:w="1786" w:type="dxa"/>
            <w:vAlign w:val="center"/>
          </w:tcPr>
          <w:p w14:paraId="5282A7F1" w14:textId="2EE28599" w:rsidR="00E01C31" w:rsidRDefault="00E01C31" w:rsidP="008448BA">
            <w:pPr>
              <w:jc w:val="center"/>
            </w:pPr>
            <w:r>
              <w:t>4,3</w:t>
            </w:r>
          </w:p>
        </w:tc>
        <w:tc>
          <w:tcPr>
            <w:tcW w:w="1794" w:type="dxa"/>
            <w:vAlign w:val="center"/>
          </w:tcPr>
          <w:p w14:paraId="7971B62B" w14:textId="3CF0D4E6" w:rsidR="00E01C31" w:rsidRDefault="00E01C31" w:rsidP="008448BA">
            <w:pPr>
              <w:jc w:val="center"/>
            </w:pPr>
            <w:r>
              <w:t>6.23</w:t>
            </w:r>
          </w:p>
        </w:tc>
        <w:tc>
          <w:tcPr>
            <w:tcW w:w="1943" w:type="dxa"/>
            <w:vAlign w:val="center"/>
          </w:tcPr>
          <w:p w14:paraId="1A6685DC" w14:textId="697C1DD8" w:rsidR="00E01C31" w:rsidRDefault="00E01C31" w:rsidP="008448BA">
            <w:pPr>
              <w:jc w:val="center"/>
            </w:pPr>
            <w:r>
              <w:t>0.16</w:t>
            </w:r>
          </w:p>
        </w:tc>
      </w:tr>
      <w:tr w:rsidR="00E01C31" w14:paraId="072D8074" w14:textId="77777777" w:rsidTr="00B145AD">
        <w:trPr>
          <w:trHeight w:val="769"/>
        </w:trPr>
        <w:tc>
          <w:tcPr>
            <w:tcW w:w="3675" w:type="dxa"/>
            <w:vAlign w:val="center"/>
          </w:tcPr>
          <w:p w14:paraId="7E9C9F02" w14:textId="3785AF2F" w:rsidR="00E01C31" w:rsidRDefault="008448BA" w:rsidP="00B145AD">
            <w:r>
              <w:t>SA vs Neutral Cohort number of training sessions</w:t>
            </w:r>
          </w:p>
        </w:tc>
        <w:tc>
          <w:tcPr>
            <w:tcW w:w="1786" w:type="dxa"/>
            <w:vAlign w:val="center"/>
          </w:tcPr>
          <w:p w14:paraId="598D1074" w14:textId="3F369D31" w:rsidR="00E01C31" w:rsidRDefault="008448BA" w:rsidP="008448BA">
            <w:pPr>
              <w:jc w:val="center"/>
            </w:pPr>
            <w:r>
              <w:t>4,3</w:t>
            </w:r>
          </w:p>
        </w:tc>
        <w:tc>
          <w:tcPr>
            <w:tcW w:w="1794" w:type="dxa"/>
            <w:vAlign w:val="center"/>
          </w:tcPr>
          <w:p w14:paraId="13BD0E61" w14:textId="1522BD2A" w:rsidR="00E01C31" w:rsidRDefault="008448BA" w:rsidP="008448BA">
            <w:pPr>
              <w:jc w:val="center"/>
            </w:pPr>
            <w:r>
              <w:t>6.23</w:t>
            </w:r>
          </w:p>
        </w:tc>
        <w:tc>
          <w:tcPr>
            <w:tcW w:w="1943" w:type="dxa"/>
            <w:vAlign w:val="center"/>
          </w:tcPr>
          <w:p w14:paraId="56DD69B7" w14:textId="10BFE50A" w:rsidR="00E01C31" w:rsidRDefault="008448BA" w:rsidP="008448BA">
            <w:pPr>
              <w:jc w:val="center"/>
            </w:pPr>
            <w:r>
              <w:t>0.16</w:t>
            </w:r>
          </w:p>
        </w:tc>
      </w:tr>
    </w:tbl>
    <w:p w14:paraId="4858B2C4" w14:textId="22D3146C" w:rsidR="00411E1F" w:rsidRDefault="00411E1F"/>
    <w:p w14:paraId="16C33759" w14:textId="30F70C14" w:rsidR="002E420C" w:rsidRPr="002E420C" w:rsidRDefault="002E420C"/>
    <w:sectPr w:rsidR="002E420C" w:rsidRPr="002E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31"/>
    <w:rsid w:val="0017149E"/>
    <w:rsid w:val="001915F3"/>
    <w:rsid w:val="001E1D7C"/>
    <w:rsid w:val="002433D4"/>
    <w:rsid w:val="002E420C"/>
    <w:rsid w:val="0038132D"/>
    <w:rsid w:val="003F3168"/>
    <w:rsid w:val="00406295"/>
    <w:rsid w:val="00411E1F"/>
    <w:rsid w:val="004800DE"/>
    <w:rsid w:val="00487343"/>
    <w:rsid w:val="004F6D87"/>
    <w:rsid w:val="00513ADD"/>
    <w:rsid w:val="005B072B"/>
    <w:rsid w:val="006F0A48"/>
    <w:rsid w:val="007164F8"/>
    <w:rsid w:val="007A377A"/>
    <w:rsid w:val="00833906"/>
    <w:rsid w:val="008448BA"/>
    <w:rsid w:val="009262AB"/>
    <w:rsid w:val="00960B26"/>
    <w:rsid w:val="00993D56"/>
    <w:rsid w:val="009C375D"/>
    <w:rsid w:val="009E3D40"/>
    <w:rsid w:val="00A43181"/>
    <w:rsid w:val="00B145AD"/>
    <w:rsid w:val="00B86822"/>
    <w:rsid w:val="00C10995"/>
    <w:rsid w:val="00C120C0"/>
    <w:rsid w:val="00CB7B12"/>
    <w:rsid w:val="00CE4184"/>
    <w:rsid w:val="00D24997"/>
    <w:rsid w:val="00D43406"/>
    <w:rsid w:val="00E01C31"/>
    <w:rsid w:val="00E36FE4"/>
    <w:rsid w:val="00E909DD"/>
    <w:rsid w:val="00E9363C"/>
    <w:rsid w:val="00E970AE"/>
    <w:rsid w:val="00EF6961"/>
    <w:rsid w:val="00FC449D"/>
    <w:rsid w:val="00FC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A8F50"/>
  <w15:docId w15:val="{5A97488D-6283-8B43-B417-BB9BCB0F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2021-08-31T20:16:00Z</dcterms:created>
  <dcterms:modified xsi:type="dcterms:W3CDTF">2022-02-10T18:12:00Z</dcterms:modified>
</cp:coreProperties>
</file>