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DB" w:rsidRPr="007A73DB" w:rsidRDefault="007A73DB" w:rsidP="007A73DB">
      <w:pPr>
        <w:spacing w:after="0" w:line="360" w:lineRule="auto"/>
        <w:jc w:val="both"/>
        <w:rPr>
          <w:rFonts w:ascii="Times New Roman" w:eastAsia="Times New Roman" w:hAnsi="Times New Roman" w:cs="Times New Roman"/>
          <w:b/>
          <w:sz w:val="24"/>
          <w:szCs w:val="24"/>
          <w:lang w:val="en-GB"/>
        </w:rPr>
      </w:pPr>
      <w:r w:rsidRPr="007A73DB">
        <w:rPr>
          <w:rFonts w:ascii="Times New Roman" w:eastAsia="Times New Roman" w:hAnsi="Times New Roman" w:cs="Times New Roman"/>
          <w:b/>
          <w:sz w:val="24"/>
          <w:szCs w:val="24"/>
          <w:lang w:val="en-GB"/>
        </w:rPr>
        <w:t>Appendix</w:t>
      </w:r>
    </w:p>
    <w:p w:rsidR="007A73DB" w:rsidRPr="007A73DB" w:rsidRDefault="007A73DB" w:rsidP="007A73DB">
      <w:pPr>
        <w:spacing w:after="0" w:line="360" w:lineRule="auto"/>
        <w:jc w:val="both"/>
        <w:rPr>
          <w:rFonts w:ascii="Times New Roman" w:eastAsia="Times New Roman" w:hAnsi="Times New Roman" w:cs="Times New Roman"/>
          <w:i/>
          <w:color w:val="000000" w:themeColor="text1"/>
          <w:sz w:val="24"/>
          <w:szCs w:val="24"/>
          <w:lang w:val="en-US"/>
        </w:rPr>
      </w:pPr>
    </w:p>
    <w:p w:rsidR="007A73DB" w:rsidRPr="007A73DB" w:rsidRDefault="007A73DB" w:rsidP="007A73DB">
      <w:pPr>
        <w:numPr>
          <w:ilvl w:val="0"/>
          <w:numId w:val="1"/>
        </w:numPr>
        <w:spacing w:after="0" w:line="360" w:lineRule="auto"/>
        <w:ind w:left="357" w:hanging="357"/>
        <w:contextualSpacing/>
        <w:jc w:val="both"/>
        <w:rPr>
          <w:rFonts w:ascii="Times New Roman" w:eastAsia="Times New Roman" w:hAnsi="Times New Roman" w:cs="Times New Roman"/>
          <w:i/>
          <w:color w:val="000000" w:themeColor="text1"/>
          <w:sz w:val="24"/>
          <w:szCs w:val="24"/>
          <w:lang w:val="en-US"/>
        </w:rPr>
      </w:pPr>
      <w:r w:rsidRPr="007A73DB">
        <w:rPr>
          <w:rFonts w:ascii="Times New Roman" w:eastAsia="Times New Roman" w:hAnsi="Times New Roman" w:cs="Times New Roman"/>
          <w:i/>
          <w:color w:val="000000" w:themeColor="text1"/>
          <w:sz w:val="24"/>
          <w:szCs w:val="24"/>
          <w:lang w:val="en-US"/>
        </w:rPr>
        <w:t>Assessment of whole cell flux analysis and mitochondrial function assays in leukocytes</w:t>
      </w:r>
    </w:p>
    <w:p w:rsidR="007A73DB" w:rsidRPr="007A73DB" w:rsidRDefault="007A73DB" w:rsidP="00FC78A5">
      <w:pPr>
        <w:spacing w:after="0" w:line="360" w:lineRule="auto"/>
        <w:jc w:val="both"/>
        <w:rPr>
          <w:rFonts w:ascii="Times New Roman" w:eastAsia="Times New Roman" w:hAnsi="Times New Roman" w:cs="Times New Roman"/>
          <w:color w:val="000000" w:themeColor="text1"/>
          <w:sz w:val="24"/>
          <w:szCs w:val="24"/>
          <w:lang w:val="en-US"/>
        </w:rPr>
      </w:pPr>
      <w:r w:rsidRPr="007A73DB">
        <w:rPr>
          <w:rFonts w:ascii="Times New Roman" w:eastAsia="Times New Roman" w:hAnsi="Times New Roman" w:cs="Times New Roman"/>
          <w:color w:val="000000" w:themeColor="text1"/>
          <w:sz w:val="24"/>
          <w:szCs w:val="24"/>
          <w:u w:val="single"/>
          <w:lang w:val="en-US"/>
        </w:rPr>
        <w:t>Background:</w:t>
      </w:r>
      <w:r w:rsidRPr="007A73DB">
        <w:rPr>
          <w:rFonts w:ascii="Times New Roman" w:eastAsia="Times New Roman" w:hAnsi="Times New Roman" w:cs="Times New Roman"/>
          <w:color w:val="000000" w:themeColor="text1"/>
          <w:sz w:val="24"/>
          <w:szCs w:val="24"/>
          <w:lang w:val="en-US"/>
        </w:rPr>
        <w:t xml:space="preserve"> Biolog’s PM-M1 and MitoPlate S-1 are assays based on</w:t>
      </w:r>
      <w:r w:rsidRPr="007A73DB">
        <w:rPr>
          <w:rFonts w:ascii="Times New Roman" w:eastAsiaTheme="majorEastAsia" w:hAnsi="Times New Roman" w:cs="Times New Roman"/>
          <w:color w:val="000000" w:themeColor="text1"/>
          <w:sz w:val="24"/>
          <w:szCs w:val="24"/>
          <w:lang w:val="en-US"/>
        </w:rPr>
        <w:t xml:space="preserve"> the production of NADH and FADH</w:t>
      </w:r>
      <w:r w:rsidRPr="007A73DB">
        <w:rPr>
          <w:rFonts w:ascii="Times New Roman" w:eastAsiaTheme="majorEastAsia" w:hAnsi="Times New Roman" w:cs="Times New Roman"/>
          <w:color w:val="000000" w:themeColor="text1"/>
          <w:sz w:val="24"/>
          <w:szCs w:val="24"/>
          <w:vertAlign w:val="subscript"/>
          <w:lang w:val="en-US"/>
        </w:rPr>
        <w:t xml:space="preserve">2 </w:t>
      </w:r>
      <w:r w:rsidRPr="007A73DB">
        <w:rPr>
          <w:rFonts w:ascii="Times New Roman" w:eastAsiaTheme="majorEastAsia" w:hAnsi="Times New Roman" w:cs="Times New Roman"/>
          <w:color w:val="000000" w:themeColor="text1"/>
          <w:sz w:val="24"/>
          <w:szCs w:val="24"/>
          <w:lang w:val="en-US"/>
        </w:rPr>
        <w:t xml:space="preserve">from various substrates, which feed electrons to the ETC. A tetrazolium-based redox dye acts as an electron acceptor at the distal end of the ETC and the color formation, which indicates the utilization of the substrate present in each well, is read kinetically. </w:t>
      </w:r>
      <w:r w:rsidRPr="007A73DB">
        <w:rPr>
          <w:rFonts w:ascii="Times New Roman" w:eastAsia="Times New Roman" w:hAnsi="Times New Roman" w:cs="Times New Roman"/>
          <w:color w:val="000000" w:themeColor="text1"/>
          <w:sz w:val="24"/>
          <w:szCs w:val="24"/>
          <w:lang w:val="en-US"/>
        </w:rPr>
        <w:t>PM-M1 plates can be used to phenotype multiple energy-producing pathways of the cells as previously described, such as glycolysis and pentose phosphate pathway.</w:t>
      </w:r>
      <w:r w:rsidR="00A57829">
        <w:rPr>
          <w:rStyle w:val="Refdenotaalpie"/>
          <w:rFonts w:ascii="Times New Roman" w:eastAsia="Times New Roman" w:hAnsi="Times New Roman" w:cs="Times New Roman"/>
          <w:color w:val="000000" w:themeColor="text1"/>
          <w:sz w:val="24"/>
          <w:szCs w:val="24"/>
          <w:lang w:val="en-US"/>
        </w:rPr>
        <w:fldChar w:fldCharType="begin" w:fldLock="1"/>
      </w:r>
      <w:r w:rsidR="00A57829">
        <w:rPr>
          <w:rFonts w:ascii="Times New Roman" w:eastAsia="Times New Roman" w:hAnsi="Times New Roman" w:cs="Times New Roman"/>
          <w:color w:val="000000" w:themeColor="text1"/>
          <w:sz w:val="24"/>
          <w:szCs w:val="24"/>
          <w:lang w:val="en-US"/>
        </w:rPr>
        <w:instrText>ADDIN CSL_CITATION {"citationItems":[{"id":"ITEM-1","itemData":{"DOI":"10.1371/journal.pone.0018147","ISSN":"19326203","PMID":"21455318","abstract":"Background: To elucidate metabolic changes that occur in diabetes, obesity, and cancer, it is important to understand cellular energy metabolism pathways and their alterations in various cells. Methodology and Principal Findings: Here we describe a technology for simultaneous assessment of cellular energy metabolism pathways. The technology employs a redox dye chemistry specifically coupled to catabolic energy-producing pathways. Using this colorimetric assay, we show that human cancer cell lines from different organ tissues produce distinct profiles of metabolic activity. Further, we show that murine white and brown adipocyte cell lines produce profiles that are distinct from each other as well as from precursor cells undergoing differentiation. Conclusions: This technology can be employed as a fundamental tool in genotype-phenotype studies to determine changes in cells from shared lineages due to differentiation or mutation. © 2011 Bochner et al.","author":[{"dropping-particle":"","family":"Bochner","given":"Barry R.","non-dropping-particle":"","parse-names":false,"suffix":""},{"dropping-particle":"","family":"Siri","given":"Mark","non-dropping-particle":"","parse-names":false,"suffix":""},{"dropping-particle":"","family":"Huang","given":"Richard H.","non-dropping-particle":"","parse-names":false,"suffix":""},{"dropping-particle":"","family":"Noble","given":"Shawn","non-dropping-particle":"","parse-names":false,"suffix":""},{"dropping-particle":"","family":"Lei","given":"Xiang He","non-dropping-particle":"","parse-names":false,"suffix":""},{"dropping-particle":"","family":"Clemons","given":"Paul A.","non-dropping-particle":"","parse-names":false,"suffix":""},{"dropping-particle":"","family":"Wagner","given":"Bridget K.","non-dropping-particle":"","parse-names":false,"suffix":""}],"container-title":"PLoS ONE","id":"ITEM-1","issue":"3","issued":{"date-parts":[["2011"]]},"page":"1-8","title":"Assay of the multiple energy-producing pathways of mammalian cells","type":"article-journal","volume":"6"},"uris":["http://www.mendeley.com/documents/?uuid=563be0fc-9eb0-400b-9082-55bf88ed280d"]}],"mendeley":{"formattedCitation":"&lt;sup&gt;1&lt;/sup&gt;","plainTextFormattedCitation":"1","previouslyFormattedCitation":"&lt;sup&gt;1&lt;/sup&gt;"},"properties":{"noteIndex":0},"schema":"https://github.com/citation-style-language/schema/raw/master/csl-citation.json"}</w:instrText>
      </w:r>
      <w:r w:rsidR="00A57829">
        <w:rPr>
          <w:rStyle w:val="Refdenotaalpie"/>
          <w:rFonts w:ascii="Times New Roman" w:eastAsia="Times New Roman" w:hAnsi="Times New Roman" w:cs="Times New Roman"/>
          <w:color w:val="000000" w:themeColor="text1"/>
          <w:sz w:val="24"/>
          <w:szCs w:val="24"/>
          <w:lang w:val="en-US"/>
        </w:rPr>
        <w:fldChar w:fldCharType="separate"/>
      </w:r>
      <w:r w:rsidR="00A57829" w:rsidRPr="00A57829">
        <w:rPr>
          <w:rFonts w:ascii="Times New Roman" w:eastAsia="Times New Roman" w:hAnsi="Times New Roman" w:cs="Times New Roman"/>
          <w:bCs/>
          <w:noProof/>
          <w:color w:val="000000" w:themeColor="text1"/>
          <w:sz w:val="24"/>
          <w:szCs w:val="24"/>
          <w:vertAlign w:val="superscript"/>
          <w:lang w:val="en-GB"/>
        </w:rPr>
        <w:t>1</w:t>
      </w:r>
      <w:r w:rsidR="00A57829">
        <w:rPr>
          <w:rStyle w:val="Refdenotaalpie"/>
          <w:rFonts w:ascii="Times New Roman" w:eastAsia="Times New Roman" w:hAnsi="Times New Roman" w:cs="Times New Roman"/>
          <w:color w:val="000000" w:themeColor="text1"/>
          <w:sz w:val="24"/>
          <w:szCs w:val="24"/>
          <w:lang w:val="en-US"/>
        </w:rPr>
        <w:fldChar w:fldCharType="end"/>
      </w:r>
      <w:r w:rsidRPr="007A73DB">
        <w:rPr>
          <w:rFonts w:ascii="Times New Roman" w:eastAsia="Times New Roman" w:hAnsi="Times New Roman" w:cs="Times New Roman"/>
          <w:color w:val="000000" w:themeColor="text1"/>
          <w:sz w:val="24"/>
          <w:szCs w:val="24"/>
          <w:lang w:val="en-US"/>
        </w:rPr>
        <w:t xml:space="preserve"> PM-M1 plates are provided as microplates in a 96-well format precoated with 91 carbon- and nitrogen sources </w:t>
      </w:r>
      <w:r w:rsidRPr="007A73DB">
        <w:rPr>
          <w:rFonts w:ascii="Times New Roman" w:eastAsiaTheme="majorEastAsia" w:hAnsi="Times New Roman" w:cs="Times New Roman"/>
          <w:color w:val="000000" w:themeColor="text1"/>
          <w:sz w:val="24"/>
          <w:szCs w:val="24"/>
          <w:lang w:val="en-US"/>
        </w:rPr>
        <w:t xml:space="preserve">in the low millimolar range (Biolog, Hayward, CA) (see </w:t>
      </w:r>
      <w:r w:rsidRPr="007A73DB">
        <w:rPr>
          <w:rFonts w:ascii="Times New Roman" w:eastAsiaTheme="majorEastAsia" w:hAnsi="Times New Roman" w:cs="Times New Roman"/>
          <w:b/>
          <w:bCs/>
          <w:color w:val="000000" w:themeColor="text1"/>
          <w:sz w:val="24"/>
          <w:szCs w:val="24"/>
          <w:lang w:val="en-US"/>
        </w:rPr>
        <w:t>Table S1</w:t>
      </w:r>
      <w:r w:rsidRPr="007A73DB">
        <w:rPr>
          <w:rFonts w:ascii="Times New Roman" w:eastAsiaTheme="majorEastAsia" w:hAnsi="Times New Roman" w:cs="Times New Roman"/>
          <w:color w:val="000000" w:themeColor="text1"/>
          <w:sz w:val="24"/>
          <w:szCs w:val="24"/>
          <w:lang w:val="en-US"/>
        </w:rPr>
        <w:t xml:space="preserve"> for a detailed list)</w:t>
      </w:r>
      <w:r w:rsidRPr="007A73DB">
        <w:rPr>
          <w:rFonts w:ascii="Times New Roman" w:eastAsia="Times New Roman" w:hAnsi="Times New Roman" w:cs="Times New Roman"/>
          <w:color w:val="000000" w:themeColor="text1"/>
          <w:sz w:val="24"/>
          <w:szCs w:val="24"/>
          <w:lang w:val="en-US"/>
        </w:rPr>
        <w:t xml:space="preserve">. </w:t>
      </w:r>
      <w:r w:rsidR="00FC78A5" w:rsidRPr="007A73DB">
        <w:rPr>
          <w:rFonts w:ascii="Times New Roman" w:eastAsia="Times New Roman" w:hAnsi="Times New Roman" w:cs="Times New Roman"/>
          <w:color w:val="000000" w:themeColor="text1"/>
          <w:sz w:val="24"/>
          <w:szCs w:val="24"/>
          <w:lang w:val="en-US"/>
        </w:rPr>
        <w:t xml:space="preserve">MitoPlate S-1 is suited to specifically phenotype the mitochondrial intermediate metabolism. It contains substrates exclusive to the tricarboxylic acid (TCA) cycle and amino acids in </w:t>
      </w:r>
      <w:r w:rsidR="00FC78A5" w:rsidRPr="007A73DB">
        <w:rPr>
          <w:rFonts w:ascii="Times New Roman" w:eastAsiaTheme="majorEastAsia" w:hAnsi="Times New Roman" w:cs="Times New Roman"/>
          <w:color w:val="000000" w:themeColor="text1"/>
          <w:sz w:val="24"/>
          <w:szCs w:val="24"/>
          <w:lang w:val="en-US"/>
        </w:rPr>
        <w:t xml:space="preserve">three technical replicates </w:t>
      </w:r>
      <w:r w:rsidR="00FC78A5" w:rsidRPr="007A73DB">
        <w:rPr>
          <w:rFonts w:ascii="Times New Roman" w:eastAsia="Times New Roman" w:hAnsi="Times New Roman" w:cs="Times New Roman"/>
          <w:color w:val="000000" w:themeColor="text1"/>
          <w:sz w:val="24"/>
          <w:szCs w:val="24"/>
          <w:lang w:val="en-US"/>
        </w:rPr>
        <w:t>(</w:t>
      </w:r>
      <w:r w:rsidR="00FC78A5" w:rsidRPr="007A73DB">
        <w:rPr>
          <w:rFonts w:ascii="Times New Roman" w:eastAsiaTheme="majorEastAsia" w:hAnsi="Times New Roman" w:cs="Times New Roman"/>
          <w:color w:val="000000" w:themeColor="text1"/>
          <w:sz w:val="24"/>
          <w:szCs w:val="24"/>
          <w:lang w:val="en-US"/>
        </w:rPr>
        <w:t xml:space="preserve">see </w:t>
      </w:r>
      <w:r w:rsidR="00FC78A5" w:rsidRPr="007A73DB">
        <w:rPr>
          <w:rFonts w:ascii="Times New Roman" w:eastAsiaTheme="majorEastAsia" w:hAnsi="Times New Roman" w:cs="Times New Roman"/>
          <w:b/>
          <w:bCs/>
          <w:color w:val="000000" w:themeColor="text1"/>
          <w:sz w:val="24"/>
          <w:szCs w:val="24"/>
          <w:lang w:val="en-US"/>
        </w:rPr>
        <w:t>Table S2</w:t>
      </w:r>
      <w:r w:rsidR="00FC78A5" w:rsidRPr="007A73DB">
        <w:rPr>
          <w:rFonts w:ascii="Times New Roman" w:eastAsiaTheme="majorEastAsia" w:hAnsi="Times New Roman" w:cs="Times New Roman"/>
          <w:color w:val="000000" w:themeColor="text1"/>
          <w:sz w:val="24"/>
          <w:szCs w:val="24"/>
          <w:lang w:val="en-US"/>
        </w:rPr>
        <w:t xml:space="preserve"> for a detailed list)</w:t>
      </w:r>
      <w:r w:rsidR="00FC78A5" w:rsidRPr="007A73DB">
        <w:rPr>
          <w:rFonts w:ascii="Times New Roman" w:eastAsia="Times New Roman" w:hAnsi="Times New Roman" w:cs="Times New Roman"/>
          <w:color w:val="000000" w:themeColor="text1"/>
          <w:sz w:val="24"/>
          <w:szCs w:val="24"/>
          <w:lang w:val="en-US"/>
        </w:rPr>
        <w:t>. Cytosolic substrates (D-glucose, glycogen, D-glucose 1-phosphate, D-glucose 6-phosphate, 6-phospho-D-gluconate, and lactate) are included in this assay and serve as negative controls in the MitoPlate S-1. Pyruvate and some mitochondrial substrates (L-leucine, α-aminobutyric acid, α-ketoisocaproic acid, acetylcarnitine, octanoylcarnitine and palmitoylcarnitine) are tested in the presence of sparker malate at 100 μM.</w:t>
      </w:r>
    </w:p>
    <w:p w:rsidR="007A73DB" w:rsidRPr="007A73DB" w:rsidRDefault="007A73DB" w:rsidP="007A73DB">
      <w:pPr>
        <w:spacing w:after="0" w:line="360" w:lineRule="auto"/>
        <w:jc w:val="both"/>
        <w:rPr>
          <w:rFonts w:ascii="Times New Roman" w:eastAsia="Times New Roman" w:hAnsi="Times New Roman" w:cs="Times New Roman"/>
          <w:color w:val="000000" w:themeColor="text1"/>
          <w:sz w:val="24"/>
          <w:szCs w:val="24"/>
          <w:lang w:val="en-US"/>
        </w:rPr>
      </w:pPr>
      <w:r w:rsidRPr="007A73DB">
        <w:rPr>
          <w:rFonts w:ascii="Times New Roman" w:eastAsia="Times New Roman" w:hAnsi="Times New Roman" w:cs="Times New Roman"/>
          <w:color w:val="000000" w:themeColor="text1"/>
          <w:sz w:val="24"/>
          <w:szCs w:val="24"/>
          <w:u w:val="single"/>
          <w:lang w:val="en-US"/>
        </w:rPr>
        <w:t>Procedure:</w:t>
      </w:r>
      <w:r w:rsidRPr="007A73DB">
        <w:rPr>
          <w:rFonts w:ascii="Times New Roman" w:eastAsia="Times New Roman" w:hAnsi="Times New Roman" w:cs="Times New Roman"/>
          <w:color w:val="000000" w:themeColor="text1"/>
          <w:sz w:val="24"/>
          <w:szCs w:val="24"/>
          <w:lang w:val="en-US"/>
        </w:rPr>
        <w:t xml:space="preserve"> For PM-M1 plates, the cells of interest are resuspended in IF-M1 medium supplemented with 5% FBS, penicillin/streptomycin and 0.3 mM glutamine</w:t>
      </w:r>
      <w:r w:rsidR="007C1FBD">
        <w:rPr>
          <w:rFonts w:ascii="Times New Roman" w:eastAsia="Times New Roman" w:hAnsi="Times New Roman" w:cs="Times New Roman"/>
          <w:color w:val="000000" w:themeColor="text1"/>
          <w:sz w:val="24"/>
          <w:szCs w:val="24"/>
          <w:lang w:val="en-US"/>
        </w:rPr>
        <w:t xml:space="preserve"> followed by inoculation of 120</w:t>
      </w:r>
      <w:r w:rsidRPr="007A73DB">
        <w:rPr>
          <w:rFonts w:ascii="Times New Roman" w:eastAsia="Times New Roman" w:hAnsi="Times New Roman" w:cs="Times New Roman"/>
          <w:color w:val="000000" w:themeColor="text1"/>
          <w:sz w:val="24"/>
          <w:szCs w:val="24"/>
          <w:lang w:val="en-US"/>
        </w:rPr>
        <w:t>000 (50 µl) leukocytes per well. After incubation for 24</w:t>
      </w:r>
      <w:r w:rsidR="00FC78A5">
        <w:rPr>
          <w:rFonts w:ascii="Times New Roman" w:eastAsia="Times New Roman" w:hAnsi="Times New Roman" w:cs="Times New Roman"/>
          <w:color w:val="000000" w:themeColor="text1"/>
          <w:sz w:val="24"/>
          <w:szCs w:val="24"/>
          <w:lang w:val="en-US"/>
        </w:rPr>
        <w:t xml:space="preserve"> </w:t>
      </w:r>
      <w:r w:rsidRPr="007A73DB">
        <w:rPr>
          <w:rFonts w:ascii="Times New Roman" w:eastAsia="Times New Roman" w:hAnsi="Times New Roman" w:cs="Times New Roman"/>
          <w:color w:val="000000" w:themeColor="text1"/>
          <w:sz w:val="24"/>
          <w:szCs w:val="24"/>
          <w:lang w:val="en-US"/>
        </w:rPr>
        <w:t>h at 37°C in a 5% CO</w:t>
      </w:r>
      <w:r w:rsidRPr="007A73DB">
        <w:rPr>
          <w:rFonts w:ascii="Times New Roman" w:eastAsia="Times New Roman" w:hAnsi="Times New Roman" w:cs="Times New Roman"/>
          <w:color w:val="000000" w:themeColor="text1"/>
          <w:sz w:val="24"/>
          <w:szCs w:val="24"/>
          <w:vertAlign w:val="subscript"/>
          <w:lang w:val="en-US"/>
        </w:rPr>
        <w:t>2</w:t>
      </w:r>
      <w:r w:rsidRPr="007A73DB">
        <w:rPr>
          <w:rFonts w:ascii="Times New Roman" w:eastAsia="Times New Roman" w:hAnsi="Times New Roman" w:cs="Times New Roman"/>
          <w:color w:val="000000" w:themeColor="text1"/>
          <w:sz w:val="24"/>
          <w:szCs w:val="24"/>
          <w:lang w:val="en-US"/>
        </w:rPr>
        <w:t xml:space="preserve"> incubator, 10 µl of Redox Dye MB is added to each well and the kinetic reading should be immediately carried out in an OmniLog instrument (Biolog Inc., Hayward, CA) which uses a CCD camera to capture the purple color formation every 5 min at 37°C, for a time period of up to 24 h, depending on the metabolic activity of the cells.</w:t>
      </w:r>
      <w:r w:rsidRPr="007A73DB">
        <w:rPr>
          <w:rFonts w:ascii="Times New Roman" w:eastAsiaTheme="majorEastAsia" w:hAnsi="Times New Roman" w:cs="Times New Roman"/>
          <w:color w:val="000000" w:themeColor="text1"/>
          <w:sz w:val="24"/>
          <w:szCs w:val="24"/>
          <w:lang w:val="en-US"/>
        </w:rPr>
        <w:t xml:space="preserve"> The background is corrected for the blank sample. The Biolog Data Analysis software can be used to calculate different parameters such as initial rate, plateau values or area under the curve. </w:t>
      </w:r>
    </w:p>
    <w:p w:rsidR="007A73DB" w:rsidRPr="007A73DB" w:rsidRDefault="007A73DB" w:rsidP="007A73DB">
      <w:pPr>
        <w:spacing w:after="0" w:line="360" w:lineRule="auto"/>
        <w:jc w:val="both"/>
        <w:rPr>
          <w:rFonts w:ascii="Times New Roman" w:eastAsia="Times New Roman" w:hAnsi="Times New Roman" w:cs="Times New Roman"/>
          <w:color w:val="000000" w:themeColor="text1"/>
          <w:sz w:val="24"/>
          <w:szCs w:val="24"/>
          <w:lang w:val="en-US"/>
        </w:rPr>
      </w:pPr>
      <w:r w:rsidRPr="007A73DB">
        <w:rPr>
          <w:rFonts w:ascii="Times New Roman" w:eastAsia="Times New Roman" w:hAnsi="Times New Roman" w:cs="Times New Roman"/>
          <w:color w:val="000000" w:themeColor="text1"/>
          <w:sz w:val="24"/>
          <w:szCs w:val="24"/>
          <w:lang w:val="en-US"/>
        </w:rPr>
        <w:t>The substrates on MitoPlate S-1 are first dissolved by incubating the plate with 30 µl of Assay Mix, consisting of 2x BMAS, 6x Redox Dye MC and saponin (30 µg/ml) necessary for cell permeabilization in a 5% CO</w:t>
      </w:r>
      <w:r w:rsidRPr="007A73DB">
        <w:rPr>
          <w:rFonts w:ascii="Times New Roman" w:eastAsia="Times New Roman" w:hAnsi="Times New Roman" w:cs="Times New Roman"/>
          <w:color w:val="000000" w:themeColor="text1"/>
          <w:sz w:val="24"/>
          <w:szCs w:val="24"/>
          <w:vertAlign w:val="subscript"/>
          <w:lang w:val="en-US"/>
        </w:rPr>
        <w:t>2</w:t>
      </w:r>
      <w:r w:rsidRPr="007A73DB">
        <w:rPr>
          <w:rFonts w:ascii="Times New Roman" w:eastAsia="Times New Roman" w:hAnsi="Times New Roman" w:cs="Times New Roman"/>
          <w:color w:val="000000" w:themeColor="text1"/>
          <w:sz w:val="24"/>
          <w:szCs w:val="24"/>
          <w:lang w:val="en-US"/>
        </w:rPr>
        <w:t xml:space="preserve"> incubator at 37°C for 1 h before inoculating </w:t>
      </w:r>
      <w:r w:rsidR="007C1FBD">
        <w:rPr>
          <w:rFonts w:ascii="Times New Roman" w:eastAsia="Times New Roman" w:hAnsi="Times New Roman" w:cs="Times New Roman"/>
          <w:color w:val="000000" w:themeColor="text1"/>
          <w:sz w:val="24"/>
          <w:szCs w:val="24"/>
          <w:lang w:val="en-US"/>
        </w:rPr>
        <w:t>100</w:t>
      </w:r>
      <w:r w:rsidRPr="007A73DB">
        <w:rPr>
          <w:rFonts w:ascii="Times New Roman" w:eastAsia="Times New Roman" w:hAnsi="Times New Roman" w:cs="Times New Roman"/>
          <w:color w:val="000000" w:themeColor="text1"/>
          <w:sz w:val="24"/>
          <w:szCs w:val="24"/>
          <w:lang w:val="en-US"/>
        </w:rPr>
        <w:t xml:space="preserve">000 </w:t>
      </w:r>
      <w:r w:rsidRPr="007A73DB">
        <w:rPr>
          <w:rFonts w:ascii="Times New Roman" w:eastAsia="Times New Roman" w:hAnsi="Times New Roman" w:cs="Times New Roman"/>
          <w:color w:val="000000" w:themeColor="text1"/>
          <w:sz w:val="24"/>
          <w:szCs w:val="24"/>
          <w:lang w:val="en-US"/>
        </w:rPr>
        <w:lastRenderedPageBreak/>
        <w:t>leukocytes per well in a volume of 30 µl. Alternatively, when working with hepatocytes, cells are previousl</w:t>
      </w:r>
      <w:r w:rsidR="007C1FBD">
        <w:rPr>
          <w:rFonts w:ascii="Times New Roman" w:eastAsia="Times New Roman" w:hAnsi="Times New Roman" w:cs="Times New Roman"/>
          <w:color w:val="000000" w:themeColor="text1"/>
          <w:sz w:val="24"/>
          <w:szCs w:val="24"/>
          <w:lang w:val="en-US"/>
        </w:rPr>
        <w:t>y seeded in a 96-well plate (40</w:t>
      </w:r>
      <w:r w:rsidRPr="007A73DB">
        <w:rPr>
          <w:rFonts w:ascii="Times New Roman" w:eastAsia="Times New Roman" w:hAnsi="Times New Roman" w:cs="Times New Roman"/>
          <w:color w:val="000000" w:themeColor="text1"/>
          <w:sz w:val="24"/>
          <w:szCs w:val="24"/>
          <w:lang w:val="en-US"/>
        </w:rPr>
        <w:t>000 per well) incubate</w:t>
      </w:r>
      <w:r w:rsidR="00FC78A5">
        <w:rPr>
          <w:rFonts w:ascii="Times New Roman" w:eastAsia="Times New Roman" w:hAnsi="Times New Roman" w:cs="Times New Roman"/>
          <w:color w:val="000000" w:themeColor="text1"/>
          <w:sz w:val="24"/>
          <w:szCs w:val="24"/>
          <w:lang w:val="en-US"/>
        </w:rPr>
        <w:t>d during 3 hours for attachment and</w:t>
      </w:r>
      <w:r w:rsidRPr="007A73DB">
        <w:rPr>
          <w:rFonts w:ascii="Times New Roman" w:eastAsia="Times New Roman" w:hAnsi="Times New Roman" w:cs="Times New Roman"/>
          <w:color w:val="000000" w:themeColor="text1"/>
          <w:sz w:val="24"/>
          <w:szCs w:val="24"/>
          <w:lang w:val="en-US"/>
        </w:rPr>
        <w:t xml:space="preserve"> washed</w:t>
      </w:r>
      <w:r w:rsidR="00FC78A5">
        <w:rPr>
          <w:rFonts w:ascii="Times New Roman" w:eastAsia="Times New Roman" w:hAnsi="Times New Roman" w:cs="Times New Roman"/>
          <w:color w:val="000000" w:themeColor="text1"/>
          <w:sz w:val="24"/>
          <w:szCs w:val="24"/>
          <w:lang w:val="en-US"/>
        </w:rPr>
        <w:t>.</w:t>
      </w:r>
      <w:r w:rsidRPr="007A73DB">
        <w:rPr>
          <w:rFonts w:ascii="Times New Roman" w:eastAsia="Times New Roman" w:hAnsi="Times New Roman" w:cs="Times New Roman"/>
          <w:color w:val="000000" w:themeColor="text1"/>
          <w:sz w:val="24"/>
          <w:szCs w:val="24"/>
          <w:lang w:val="en-US"/>
        </w:rPr>
        <w:t xml:space="preserve"> </w:t>
      </w:r>
      <w:r w:rsidR="00FC78A5">
        <w:rPr>
          <w:rFonts w:ascii="Times New Roman" w:eastAsia="Times New Roman" w:hAnsi="Times New Roman" w:cs="Times New Roman"/>
          <w:color w:val="000000" w:themeColor="text1"/>
          <w:sz w:val="24"/>
          <w:szCs w:val="24"/>
          <w:lang w:val="en-US"/>
        </w:rPr>
        <w:t>The</w:t>
      </w:r>
      <w:r w:rsidRPr="007A73DB">
        <w:rPr>
          <w:rFonts w:ascii="Times New Roman" w:eastAsia="Times New Roman" w:hAnsi="Times New Roman" w:cs="Times New Roman"/>
          <w:color w:val="000000" w:themeColor="text1"/>
          <w:sz w:val="24"/>
          <w:szCs w:val="24"/>
          <w:lang w:val="en-US"/>
        </w:rPr>
        <w:t xml:space="preserve"> </w:t>
      </w:r>
      <w:r w:rsidR="00FC78A5">
        <w:rPr>
          <w:rFonts w:ascii="Times New Roman" w:eastAsia="Times New Roman" w:hAnsi="Times New Roman" w:cs="Times New Roman"/>
          <w:color w:val="000000" w:themeColor="text1"/>
          <w:sz w:val="24"/>
          <w:szCs w:val="24"/>
          <w:lang w:val="en-US"/>
        </w:rPr>
        <w:t xml:space="preserve">substrates dissolved in </w:t>
      </w:r>
      <w:r w:rsidRPr="007A73DB">
        <w:rPr>
          <w:rFonts w:ascii="Times New Roman" w:eastAsia="Times New Roman" w:hAnsi="Times New Roman" w:cs="Times New Roman"/>
          <w:color w:val="000000" w:themeColor="text1"/>
          <w:sz w:val="24"/>
          <w:szCs w:val="24"/>
          <w:lang w:val="en-US"/>
        </w:rPr>
        <w:t xml:space="preserve">30 µl </w:t>
      </w:r>
      <w:r w:rsidR="00FC78A5">
        <w:rPr>
          <w:rFonts w:ascii="Times New Roman" w:eastAsia="Times New Roman" w:hAnsi="Times New Roman" w:cs="Times New Roman"/>
          <w:color w:val="000000" w:themeColor="text1"/>
          <w:sz w:val="24"/>
          <w:szCs w:val="24"/>
          <w:lang w:val="en-US"/>
        </w:rPr>
        <w:t>of Assay Mix are then transferred to the 96-well plate containing the attached hepatocytes</w:t>
      </w:r>
      <w:r w:rsidRPr="007A73DB">
        <w:rPr>
          <w:rFonts w:ascii="Times New Roman" w:eastAsia="Times New Roman" w:hAnsi="Times New Roman" w:cs="Times New Roman"/>
          <w:color w:val="000000" w:themeColor="text1"/>
          <w:sz w:val="24"/>
          <w:szCs w:val="24"/>
          <w:lang w:val="en-US"/>
        </w:rPr>
        <w:t xml:space="preserve">. The reading of the signals is immediately carried out as described above. </w:t>
      </w:r>
    </w:p>
    <w:p w:rsidR="007A73DB" w:rsidRPr="007A73DB" w:rsidRDefault="007A73DB" w:rsidP="007A73DB">
      <w:pPr>
        <w:spacing w:after="0" w:line="360" w:lineRule="auto"/>
        <w:jc w:val="both"/>
        <w:rPr>
          <w:rFonts w:ascii="Times New Roman" w:eastAsia="Times New Roman" w:hAnsi="Times New Roman" w:cs="Times New Roman"/>
          <w:color w:val="000000" w:themeColor="text1"/>
          <w:sz w:val="24"/>
          <w:szCs w:val="24"/>
          <w:lang w:val="en-US"/>
        </w:rPr>
      </w:pPr>
    </w:p>
    <w:p w:rsidR="007A73DB" w:rsidRPr="007A73DB" w:rsidRDefault="007A73DB" w:rsidP="007A73DB">
      <w:pPr>
        <w:jc w:val="both"/>
        <w:rPr>
          <w:rFonts w:ascii="Times New Roman" w:eastAsia="Times New Roman" w:hAnsi="Times New Roman" w:cs="Times New Roman"/>
          <w:color w:val="212121"/>
          <w:sz w:val="24"/>
          <w:szCs w:val="24"/>
          <w:u w:val="single"/>
          <w:shd w:val="clear" w:color="auto" w:fill="FFFFFF"/>
          <w:lang w:val="en-US"/>
        </w:rPr>
      </w:pPr>
    </w:p>
    <w:p w:rsidR="007A73DB" w:rsidRPr="007A73DB" w:rsidRDefault="007A73DB" w:rsidP="007A73DB">
      <w:pPr>
        <w:numPr>
          <w:ilvl w:val="0"/>
          <w:numId w:val="1"/>
        </w:numPr>
        <w:spacing w:after="0" w:line="360" w:lineRule="auto"/>
        <w:ind w:left="357" w:hanging="357"/>
        <w:contextualSpacing/>
        <w:jc w:val="both"/>
        <w:rPr>
          <w:rFonts w:ascii="Times New Roman" w:eastAsia="Times New Roman" w:hAnsi="Times New Roman" w:cs="Times New Roman"/>
          <w:i/>
          <w:color w:val="212121"/>
          <w:sz w:val="24"/>
          <w:szCs w:val="24"/>
          <w:shd w:val="clear" w:color="auto" w:fill="FFFFFF"/>
          <w:lang w:val="en-US"/>
        </w:rPr>
      </w:pPr>
      <w:r w:rsidRPr="007A73DB">
        <w:rPr>
          <w:rFonts w:ascii="Times New Roman" w:eastAsia="Times New Roman" w:hAnsi="Times New Roman" w:cs="Times New Roman"/>
          <w:i/>
          <w:color w:val="212121"/>
          <w:sz w:val="24"/>
          <w:szCs w:val="24"/>
          <w:shd w:val="clear" w:color="auto" w:fill="FFFFFF"/>
          <w:lang w:val="en-US"/>
        </w:rPr>
        <w:t>Polarographic oxygen sensor and traditional oxygraphy</w:t>
      </w:r>
    </w:p>
    <w:p w:rsidR="007A73DB" w:rsidRPr="007A73DB" w:rsidRDefault="007A73DB" w:rsidP="007A73DB">
      <w:pPr>
        <w:spacing w:after="0" w:line="360" w:lineRule="auto"/>
        <w:jc w:val="both"/>
        <w:rPr>
          <w:rFonts w:ascii="Times New Roman" w:eastAsia="Times New Roman" w:hAnsi="Times New Roman" w:cs="Times New Roman"/>
          <w:color w:val="212121"/>
          <w:sz w:val="24"/>
          <w:szCs w:val="24"/>
          <w:shd w:val="clear" w:color="auto" w:fill="FFFFFF"/>
          <w:lang w:val="en-US"/>
        </w:rPr>
      </w:pPr>
      <w:r w:rsidRPr="007A73DB">
        <w:rPr>
          <w:rFonts w:ascii="Times New Roman" w:eastAsia="Times New Roman" w:hAnsi="Times New Roman" w:cs="Times New Roman"/>
          <w:color w:val="212121"/>
          <w:sz w:val="24"/>
          <w:szCs w:val="24"/>
          <w:u w:val="single"/>
          <w:shd w:val="clear" w:color="auto" w:fill="FFFFFF"/>
          <w:lang w:val="en-US"/>
        </w:rPr>
        <w:t>Background:</w:t>
      </w:r>
      <w:r w:rsidRPr="007A73DB">
        <w:rPr>
          <w:rFonts w:ascii="Times New Roman" w:eastAsia="Times New Roman" w:hAnsi="Times New Roman" w:cs="Times New Roman"/>
          <w:color w:val="212121"/>
          <w:sz w:val="24"/>
          <w:szCs w:val="24"/>
          <w:shd w:val="clear" w:color="auto" w:fill="FFFFFF"/>
          <w:lang w:val="en-US"/>
        </w:rPr>
        <w:t xml:space="preserve"> The</w:t>
      </w:r>
      <w:r w:rsidRPr="007A73DB">
        <w:rPr>
          <w:rFonts w:ascii="Times New Roman" w:eastAsia="Times New Roman" w:hAnsi="Times New Roman" w:cs="Times New Roman"/>
          <w:sz w:val="24"/>
          <w:szCs w:val="24"/>
          <w:lang w:val="en-US"/>
        </w:rPr>
        <w:t xml:space="preserve"> </w:t>
      </w:r>
      <w:r w:rsidRPr="007A73DB">
        <w:rPr>
          <w:rFonts w:ascii="Times New Roman" w:eastAsia="Times New Roman" w:hAnsi="Times New Roman" w:cs="Times New Roman"/>
          <w:color w:val="212121"/>
          <w:sz w:val="24"/>
          <w:szCs w:val="24"/>
          <w:shd w:val="clear" w:color="auto" w:fill="FFFFFF"/>
          <w:lang w:val="en-US"/>
        </w:rPr>
        <w:t>polarographic oxygen electrode is the classic method for respirometry. Basically, the oxygen concentration is monitored in a closed chamber using a Clark electrode for the measurement of oxygen co</w:t>
      </w:r>
      <w:r w:rsidR="00A57829">
        <w:rPr>
          <w:rFonts w:ascii="Times New Roman" w:eastAsia="Times New Roman" w:hAnsi="Times New Roman" w:cs="Times New Roman"/>
          <w:color w:val="212121"/>
          <w:sz w:val="24"/>
          <w:szCs w:val="24"/>
          <w:shd w:val="clear" w:color="auto" w:fill="FFFFFF"/>
          <w:lang w:val="en-US"/>
        </w:rPr>
        <w:t>nsumption by biological samples.</w:t>
      </w:r>
      <w:r w:rsidR="00A57829">
        <w:rPr>
          <w:rStyle w:val="Refdenotaalpie"/>
          <w:rFonts w:ascii="Times New Roman" w:eastAsia="Times New Roman" w:hAnsi="Times New Roman" w:cs="Times New Roman"/>
          <w:color w:val="212121"/>
          <w:sz w:val="24"/>
          <w:szCs w:val="24"/>
          <w:shd w:val="clear" w:color="auto" w:fill="FFFFFF"/>
          <w:lang w:val="en-US"/>
        </w:rPr>
        <w:fldChar w:fldCharType="begin" w:fldLock="1"/>
      </w:r>
      <w:r w:rsidR="00A57829">
        <w:rPr>
          <w:rFonts w:ascii="Times New Roman" w:eastAsia="Times New Roman" w:hAnsi="Times New Roman" w:cs="Times New Roman"/>
          <w:color w:val="212121"/>
          <w:sz w:val="24"/>
          <w:szCs w:val="24"/>
          <w:shd w:val="clear" w:color="auto" w:fill="FFFFFF"/>
          <w:lang w:val="en-US"/>
        </w:rPr>
        <w:instrText>ADDIN CSL_CITATION {"citationItems":[{"id":"ITEM-1","itemData":{"author":[{"dropping-particle":"","family":"Gnaiger","given":"Erich","non-dropping-particle":"","parse-names":false,"suffix":""}],"container-title":"Drug-Induced Mitochondrial Dysfunction","id":"ITEM-1","issued":{"date-parts":[["2008"]]},"page":"327-348","title":"Polarographic Oxygen Sensors , the Oxygraph , Respirometry To Assess","type":"article-journal"},"uris":["http://www.mendeley.com/documents/?uuid=c533af0e-7fbd-4184-90a0-11d9d5f3688a"]}],"mendeley":{"formattedCitation":"&lt;sup&gt;2&lt;/sup&gt;","plainTextFormattedCitation":"2","previouslyFormattedCitation":"&lt;sup&gt;2&lt;/sup&gt;"},"properties":{"noteIndex":0},"schema":"https://github.com/citation-style-language/schema/raw/master/csl-citation.json"}</w:instrText>
      </w:r>
      <w:r w:rsidR="00A57829">
        <w:rPr>
          <w:rStyle w:val="Refdenotaalpie"/>
          <w:rFonts w:ascii="Times New Roman" w:eastAsia="Times New Roman" w:hAnsi="Times New Roman" w:cs="Times New Roman"/>
          <w:color w:val="212121"/>
          <w:sz w:val="24"/>
          <w:szCs w:val="24"/>
          <w:shd w:val="clear" w:color="auto" w:fill="FFFFFF"/>
          <w:lang w:val="en-US"/>
        </w:rPr>
        <w:fldChar w:fldCharType="separate"/>
      </w:r>
      <w:r w:rsidR="00A57829" w:rsidRPr="00A57829">
        <w:rPr>
          <w:rFonts w:ascii="Times New Roman" w:eastAsia="Times New Roman" w:hAnsi="Times New Roman" w:cs="Times New Roman"/>
          <w:noProof/>
          <w:color w:val="212121"/>
          <w:sz w:val="24"/>
          <w:szCs w:val="24"/>
          <w:shd w:val="clear" w:color="auto" w:fill="FFFFFF"/>
          <w:vertAlign w:val="superscript"/>
          <w:lang w:val="en-US"/>
        </w:rPr>
        <w:t>2</w:t>
      </w:r>
      <w:r w:rsidR="00A57829">
        <w:rPr>
          <w:rStyle w:val="Refdenotaalpie"/>
          <w:rFonts w:ascii="Times New Roman" w:eastAsia="Times New Roman" w:hAnsi="Times New Roman" w:cs="Times New Roman"/>
          <w:color w:val="212121"/>
          <w:sz w:val="24"/>
          <w:szCs w:val="24"/>
          <w:shd w:val="clear" w:color="auto" w:fill="FFFFFF"/>
          <w:lang w:val="en-US"/>
        </w:rPr>
        <w:fldChar w:fldCharType="end"/>
      </w:r>
      <w:r w:rsidR="00A57829">
        <w:rPr>
          <w:rFonts w:ascii="Times New Roman" w:eastAsia="Times New Roman" w:hAnsi="Times New Roman" w:cs="Times New Roman"/>
          <w:color w:val="212121"/>
          <w:sz w:val="24"/>
          <w:szCs w:val="24"/>
          <w:shd w:val="clear" w:color="auto" w:fill="FFFFFF"/>
          <w:lang w:val="en-US"/>
        </w:rPr>
        <w:t xml:space="preserve"> </w:t>
      </w:r>
      <w:r w:rsidR="005510F6">
        <w:rPr>
          <w:rFonts w:ascii="Times New Roman" w:eastAsia="Times New Roman" w:hAnsi="Times New Roman" w:cs="Times New Roman"/>
          <w:color w:val="212121"/>
          <w:sz w:val="24"/>
          <w:szCs w:val="24"/>
          <w:shd w:val="clear" w:color="auto" w:fill="FFFFFF"/>
          <w:lang w:val="en-US"/>
        </w:rPr>
        <w:t>The Clark electrode consists of</w:t>
      </w:r>
      <w:r w:rsidRPr="007A73DB">
        <w:rPr>
          <w:rFonts w:ascii="Times New Roman" w:eastAsia="Times New Roman" w:hAnsi="Times New Roman" w:cs="Times New Roman"/>
          <w:color w:val="212121"/>
          <w:sz w:val="24"/>
          <w:szCs w:val="24"/>
          <w:shd w:val="clear" w:color="auto" w:fill="FFFFFF"/>
          <w:lang w:val="en-US"/>
        </w:rPr>
        <w:t xml:space="preserve"> a gold or platinum cathode and Ag/AgCl anode sepa</w:t>
      </w:r>
      <w:r w:rsidR="005510F6">
        <w:rPr>
          <w:rFonts w:ascii="Times New Roman" w:eastAsia="Times New Roman" w:hAnsi="Times New Roman" w:cs="Times New Roman"/>
          <w:color w:val="212121"/>
          <w:sz w:val="24"/>
          <w:szCs w:val="24"/>
          <w:shd w:val="clear" w:color="auto" w:fill="FFFFFF"/>
          <w:lang w:val="en-US"/>
        </w:rPr>
        <w:t xml:space="preserve">rated by a KCl solution. When </w:t>
      </w:r>
      <w:r w:rsidRPr="007A73DB">
        <w:rPr>
          <w:rFonts w:ascii="Times New Roman" w:eastAsia="Times New Roman" w:hAnsi="Times New Roman" w:cs="Times New Roman"/>
          <w:color w:val="212121"/>
          <w:sz w:val="24"/>
          <w:szCs w:val="24"/>
          <w:shd w:val="clear" w:color="auto" w:fill="FFFFFF"/>
          <w:lang w:val="en-US"/>
        </w:rPr>
        <w:t>voltage is applied, the dissolved O</w:t>
      </w:r>
      <w:r w:rsidRPr="007A73DB">
        <w:rPr>
          <w:rFonts w:ascii="Times New Roman" w:eastAsia="Times New Roman" w:hAnsi="Times New Roman" w:cs="Times New Roman"/>
          <w:color w:val="212121"/>
          <w:sz w:val="24"/>
          <w:szCs w:val="24"/>
          <w:shd w:val="clear" w:color="auto" w:fill="FFFFFF"/>
          <w:vertAlign w:val="subscript"/>
          <w:lang w:val="en-US"/>
        </w:rPr>
        <w:t>2</w:t>
      </w:r>
      <w:r w:rsidRPr="007A73DB">
        <w:rPr>
          <w:rFonts w:ascii="Times New Roman" w:eastAsia="Times New Roman" w:hAnsi="Times New Roman" w:cs="Times New Roman"/>
          <w:color w:val="212121"/>
          <w:sz w:val="24"/>
          <w:szCs w:val="24"/>
          <w:shd w:val="clear" w:color="auto" w:fill="FFFFFF"/>
          <w:lang w:val="en-US"/>
        </w:rPr>
        <w:t xml:space="preserve"> diffuses from the solution through an O</w:t>
      </w:r>
      <w:r w:rsidRPr="007A73DB">
        <w:rPr>
          <w:rFonts w:ascii="Times New Roman" w:eastAsia="Times New Roman" w:hAnsi="Times New Roman" w:cs="Times New Roman"/>
          <w:color w:val="212121"/>
          <w:sz w:val="24"/>
          <w:szCs w:val="24"/>
          <w:shd w:val="clear" w:color="auto" w:fill="FFFFFF"/>
          <w:vertAlign w:val="subscript"/>
          <w:lang w:val="en-US"/>
        </w:rPr>
        <w:t>2</w:t>
      </w:r>
      <w:r w:rsidR="005510F6">
        <w:rPr>
          <w:rFonts w:ascii="Times New Roman" w:eastAsia="Times New Roman" w:hAnsi="Times New Roman" w:cs="Times New Roman"/>
          <w:color w:val="212121"/>
          <w:sz w:val="24"/>
          <w:szCs w:val="24"/>
          <w:shd w:val="clear" w:color="auto" w:fill="FFFFFF"/>
          <w:lang w:val="en-US"/>
        </w:rPr>
        <w:t>-permeable</w:t>
      </w:r>
      <w:r w:rsidRPr="007A73DB">
        <w:rPr>
          <w:rFonts w:ascii="Times New Roman" w:eastAsia="Times New Roman" w:hAnsi="Times New Roman" w:cs="Times New Roman"/>
          <w:color w:val="212121"/>
          <w:sz w:val="24"/>
          <w:szCs w:val="24"/>
          <w:shd w:val="clear" w:color="auto" w:fill="FFFFFF"/>
          <w:lang w:val="en-US"/>
        </w:rPr>
        <w:t xml:space="preserve"> membrane (usually Teflon) and is reduced to water by elec</w:t>
      </w:r>
      <w:r w:rsidR="005510F6">
        <w:rPr>
          <w:rFonts w:ascii="Times New Roman" w:eastAsia="Times New Roman" w:hAnsi="Times New Roman" w:cs="Times New Roman"/>
          <w:color w:val="212121"/>
          <w:sz w:val="24"/>
          <w:szCs w:val="24"/>
          <w:shd w:val="clear" w:color="auto" w:fill="FFFFFF"/>
          <w:lang w:val="en-US"/>
        </w:rPr>
        <w:t>trons at the cathode, yielding</w:t>
      </w:r>
      <w:r w:rsidRPr="007A73DB">
        <w:rPr>
          <w:rFonts w:ascii="Times New Roman" w:eastAsia="Times New Roman" w:hAnsi="Times New Roman" w:cs="Times New Roman"/>
          <w:color w:val="212121"/>
          <w:sz w:val="24"/>
          <w:szCs w:val="24"/>
          <w:shd w:val="clear" w:color="auto" w:fill="FFFFFF"/>
          <w:lang w:val="en-US"/>
        </w:rPr>
        <w:t xml:space="preserve"> hydroxide. The anode reaction is the oxidation of Ag precipitating at the Ag/AgCl anode yielding stream proportional to the O</w:t>
      </w:r>
      <w:r w:rsidRPr="005510F6">
        <w:rPr>
          <w:rFonts w:ascii="Times New Roman" w:eastAsia="Times New Roman" w:hAnsi="Times New Roman" w:cs="Times New Roman"/>
          <w:color w:val="212121"/>
          <w:sz w:val="24"/>
          <w:szCs w:val="24"/>
          <w:shd w:val="clear" w:color="auto" w:fill="FFFFFF"/>
          <w:vertAlign w:val="subscript"/>
          <w:lang w:val="en-US"/>
        </w:rPr>
        <w:t>2</w:t>
      </w:r>
      <w:r w:rsidR="005510F6">
        <w:rPr>
          <w:rFonts w:ascii="Times New Roman" w:eastAsia="Times New Roman" w:hAnsi="Times New Roman" w:cs="Times New Roman"/>
          <w:color w:val="212121"/>
          <w:sz w:val="24"/>
          <w:szCs w:val="24"/>
          <w:shd w:val="clear" w:color="auto" w:fill="FFFFFF"/>
          <w:lang w:val="en-US"/>
        </w:rPr>
        <w:t xml:space="preserve"> partial pressure which</w:t>
      </w:r>
      <w:r w:rsidRPr="007A73DB">
        <w:rPr>
          <w:rFonts w:ascii="Times New Roman" w:eastAsia="Times New Roman" w:hAnsi="Times New Roman" w:cs="Times New Roman"/>
          <w:color w:val="212121"/>
          <w:sz w:val="24"/>
          <w:szCs w:val="24"/>
          <w:shd w:val="clear" w:color="auto" w:fill="FFFFFF"/>
          <w:lang w:val="en-US"/>
        </w:rPr>
        <w:t xml:space="preserve"> is converted into oxygen concentration. Importantly, the temperature is regulated and maintained constantly throughout the experiment. </w:t>
      </w:r>
    </w:p>
    <w:p w:rsidR="007A73DB" w:rsidRPr="007A73DB" w:rsidRDefault="007A73DB" w:rsidP="007A73DB">
      <w:pPr>
        <w:spacing w:after="0" w:line="360" w:lineRule="auto"/>
        <w:jc w:val="both"/>
        <w:rPr>
          <w:rFonts w:ascii="Times New Roman" w:eastAsia="Times New Roman" w:hAnsi="Times New Roman" w:cs="Times New Roman"/>
          <w:color w:val="212121"/>
          <w:sz w:val="24"/>
          <w:szCs w:val="24"/>
          <w:shd w:val="clear" w:color="auto" w:fill="FFFFFF"/>
          <w:lang w:val="en-US"/>
        </w:rPr>
      </w:pPr>
      <w:r w:rsidRPr="007A73DB">
        <w:rPr>
          <w:rFonts w:ascii="Times New Roman" w:eastAsia="Times New Roman" w:hAnsi="Times New Roman" w:cs="Times New Roman"/>
          <w:color w:val="212121"/>
          <w:sz w:val="24"/>
          <w:szCs w:val="24"/>
          <w:shd w:val="clear" w:color="auto" w:fill="FFFFFF"/>
          <w:lang w:val="en-US"/>
        </w:rPr>
        <w:t>The oxygraph plots the oxygen concentration over time yielding a slope, but artefacts and</w:t>
      </w:r>
      <w:r w:rsidRPr="007A73DB">
        <w:rPr>
          <w:rFonts w:ascii="Times New Roman" w:eastAsia="Times New Roman" w:hAnsi="Times New Roman" w:cs="Times New Roman"/>
          <w:sz w:val="24"/>
          <w:szCs w:val="24"/>
          <w:lang w:val="en-US"/>
        </w:rPr>
        <w:t xml:space="preserve"> </w:t>
      </w:r>
      <w:r w:rsidRPr="007A73DB">
        <w:rPr>
          <w:rFonts w:ascii="Times New Roman" w:eastAsia="Times New Roman" w:hAnsi="Times New Roman" w:cs="Times New Roman"/>
          <w:color w:val="212121"/>
          <w:sz w:val="24"/>
          <w:szCs w:val="24"/>
          <w:shd w:val="clear" w:color="auto" w:fill="FFFFFF"/>
          <w:lang w:val="en-US"/>
        </w:rPr>
        <w:t xml:space="preserve">instrumental background noises cannot be discarded. Several issues can be found in traditional oxygraphy such as the signal instability due to irregular sensor behavior; the oxygen consumption of the sensor, although being smaller than respiration, is not quantified; the linearity of the slope is assumed whereas respiration capacity is nonlinear; limited time for titrations once oxygen is consumed; the oxygen back-diffusion could impede respiration measurements; and autoxidation of some substrates requires correction of respiration.  </w:t>
      </w:r>
    </w:p>
    <w:p w:rsidR="009154C1" w:rsidRPr="009154C1" w:rsidRDefault="007A73DB" w:rsidP="009154C1">
      <w:pPr>
        <w:spacing w:after="0" w:line="360" w:lineRule="auto"/>
        <w:jc w:val="both"/>
        <w:rPr>
          <w:rFonts w:ascii="Times New Roman" w:eastAsia="Times New Roman" w:hAnsi="Times New Roman" w:cs="Times New Roman"/>
          <w:color w:val="212121"/>
          <w:sz w:val="24"/>
          <w:szCs w:val="24"/>
          <w:shd w:val="clear" w:color="auto" w:fill="FFFFFF"/>
          <w:lang w:val="en-US"/>
        </w:rPr>
      </w:pPr>
      <w:r w:rsidRPr="007A73DB">
        <w:rPr>
          <w:rFonts w:ascii="Times New Roman" w:eastAsia="Times New Roman" w:hAnsi="Times New Roman" w:cs="Times New Roman"/>
          <w:color w:val="212121"/>
          <w:sz w:val="24"/>
          <w:szCs w:val="24"/>
          <w:shd w:val="clear" w:color="auto" w:fill="FFFFFF"/>
          <w:lang w:val="en-US"/>
        </w:rPr>
        <w:t xml:space="preserve">To date the analysis of mitochondrial function has </w:t>
      </w:r>
      <w:r w:rsidR="005510F6">
        <w:rPr>
          <w:rFonts w:ascii="Times New Roman" w:eastAsia="Times New Roman" w:hAnsi="Times New Roman" w:cs="Times New Roman"/>
          <w:color w:val="212121"/>
          <w:sz w:val="24"/>
          <w:szCs w:val="24"/>
          <w:shd w:val="clear" w:color="auto" w:fill="FFFFFF"/>
          <w:lang w:val="en-US"/>
        </w:rPr>
        <w:t>relied</w:t>
      </w:r>
      <w:r w:rsidRPr="007A73DB">
        <w:rPr>
          <w:rFonts w:ascii="Times New Roman" w:eastAsia="Times New Roman" w:hAnsi="Times New Roman" w:cs="Times New Roman"/>
          <w:color w:val="212121"/>
          <w:sz w:val="24"/>
          <w:szCs w:val="24"/>
          <w:shd w:val="clear" w:color="auto" w:fill="FFFFFF"/>
          <w:lang w:val="en-US"/>
        </w:rPr>
        <w:t xml:space="preserve"> on the classical oxygen electrode devices.</w:t>
      </w:r>
      <w:r w:rsidR="00A57829">
        <w:rPr>
          <w:rFonts w:ascii="Times New Roman" w:eastAsia="Times New Roman" w:hAnsi="Times New Roman" w:cs="Times New Roman"/>
          <w:color w:val="212121"/>
          <w:sz w:val="24"/>
          <w:szCs w:val="24"/>
          <w:shd w:val="clear" w:color="auto" w:fill="FFFFFF"/>
          <w:lang w:val="en-US"/>
        </w:rPr>
        <w:fldChar w:fldCharType="begin" w:fldLock="1"/>
      </w:r>
      <w:r w:rsidR="0017270D">
        <w:rPr>
          <w:rFonts w:ascii="Times New Roman" w:eastAsia="Times New Roman" w:hAnsi="Times New Roman" w:cs="Times New Roman"/>
          <w:color w:val="212121"/>
          <w:sz w:val="24"/>
          <w:szCs w:val="24"/>
          <w:shd w:val="clear" w:color="auto" w:fill="FFFFFF"/>
          <w:lang w:val="en-US"/>
        </w:rPr>
        <w:instrText>ADDIN CSL_CITATION {"citationItems":[{"id":"ITEM-1","itemData":{"DOI":"10.1016/S0021-9258(19)57189-7","ISSN":"00219258","PMID":"13271404","author":[{"dropping-particle":"","family":"CHANCE","given":"B.","non-dropping-particle":"","parse-names":false,"suffix":""},{"dropping-particle":"","family":"WILLIAMS","given":"G. R.","non-dropping-particle":"","parse-names":false,"suffix":""}],"container-title":"The Journal of biological chemistry","id":"ITEM-1","issue":"1","issued":{"date-parts":[["1955"]]},"page":"409-427","publisher":"Â© 1955 ASBMB. Currently published by Elsevier Inc; originally published by American Society for Biochemistry and Molecular Biology.","title":"Respiratory enzymes in oxidative phosphorylation. III. The steady state.","type":"article-journal","volume":"217"},"uris":["http://www.mendeley.com/documents/?uuid=34a89c2a-1705-4603-bd37-93c10254112c"]}],"mendeley":{"formattedCitation":"&lt;sup&gt;3&lt;/sup&gt;","plainTextFormattedCitation":"3","previouslyFormattedCitation":"&lt;sup&gt;3&lt;/sup&gt;"},"properties":{"noteIndex":0},"schema":"https://github.com/citation-style-language/schema/raw/master/csl-citation.json"}</w:instrText>
      </w:r>
      <w:r w:rsidR="00A57829">
        <w:rPr>
          <w:rFonts w:ascii="Times New Roman" w:eastAsia="Times New Roman" w:hAnsi="Times New Roman" w:cs="Times New Roman"/>
          <w:color w:val="212121"/>
          <w:sz w:val="24"/>
          <w:szCs w:val="24"/>
          <w:shd w:val="clear" w:color="auto" w:fill="FFFFFF"/>
          <w:lang w:val="en-US"/>
        </w:rPr>
        <w:fldChar w:fldCharType="separate"/>
      </w:r>
      <w:r w:rsidR="00A57829" w:rsidRPr="00A57829">
        <w:rPr>
          <w:rFonts w:ascii="Times New Roman" w:eastAsia="Times New Roman" w:hAnsi="Times New Roman" w:cs="Times New Roman"/>
          <w:noProof/>
          <w:color w:val="212121"/>
          <w:sz w:val="24"/>
          <w:szCs w:val="24"/>
          <w:shd w:val="clear" w:color="auto" w:fill="FFFFFF"/>
          <w:vertAlign w:val="superscript"/>
          <w:lang w:val="en-US"/>
        </w:rPr>
        <w:t>3</w:t>
      </w:r>
      <w:r w:rsidR="00A57829">
        <w:rPr>
          <w:rFonts w:ascii="Times New Roman" w:eastAsia="Times New Roman" w:hAnsi="Times New Roman" w:cs="Times New Roman"/>
          <w:color w:val="212121"/>
          <w:sz w:val="24"/>
          <w:szCs w:val="24"/>
          <w:shd w:val="clear" w:color="auto" w:fill="FFFFFF"/>
          <w:lang w:val="en-US"/>
        </w:rPr>
        <w:fldChar w:fldCharType="end"/>
      </w:r>
      <w:r w:rsidR="001B51FB">
        <w:rPr>
          <w:rFonts w:ascii="Times New Roman" w:eastAsia="Times New Roman" w:hAnsi="Times New Roman" w:cs="Times New Roman"/>
          <w:color w:val="212121"/>
          <w:sz w:val="24"/>
          <w:szCs w:val="24"/>
          <w:shd w:val="clear" w:color="auto" w:fill="FFFFFF"/>
          <w:lang w:val="en-US"/>
        </w:rPr>
        <w:t xml:space="preserve"> T</w:t>
      </w:r>
      <w:r w:rsidRPr="007A73DB">
        <w:rPr>
          <w:rFonts w:ascii="Times New Roman" w:eastAsia="Times New Roman" w:hAnsi="Times New Roman" w:cs="Times New Roman"/>
          <w:color w:val="212121"/>
          <w:sz w:val="24"/>
          <w:szCs w:val="24"/>
          <w:shd w:val="clear" w:color="auto" w:fill="FFFFFF"/>
          <w:lang w:val="en-US"/>
        </w:rPr>
        <w:t xml:space="preserve">he oxygen electrode method is inexpensive and </w:t>
      </w:r>
      <w:r w:rsidR="001B51FB">
        <w:rPr>
          <w:rFonts w:ascii="Times New Roman" w:eastAsia="Times New Roman" w:hAnsi="Times New Roman" w:cs="Times New Roman"/>
          <w:color w:val="212121"/>
          <w:sz w:val="24"/>
          <w:szCs w:val="24"/>
          <w:shd w:val="clear" w:color="auto" w:fill="FFFFFF"/>
          <w:lang w:val="en-US"/>
        </w:rPr>
        <w:t xml:space="preserve">a </w:t>
      </w:r>
      <w:r w:rsidRPr="007A73DB">
        <w:rPr>
          <w:rFonts w:ascii="Times New Roman" w:eastAsia="Times New Roman" w:hAnsi="Times New Roman" w:cs="Times New Roman"/>
          <w:color w:val="212121"/>
          <w:sz w:val="24"/>
          <w:szCs w:val="24"/>
          <w:shd w:val="clear" w:color="auto" w:fill="FFFFFF"/>
          <w:lang w:val="en-US"/>
        </w:rPr>
        <w:t>useful tool for the assessmen</w:t>
      </w:r>
      <w:r w:rsidR="001B51FB">
        <w:rPr>
          <w:rFonts w:ascii="Times New Roman" w:eastAsia="Times New Roman" w:hAnsi="Times New Roman" w:cs="Times New Roman"/>
          <w:color w:val="212121"/>
          <w:sz w:val="24"/>
          <w:szCs w:val="24"/>
          <w:shd w:val="clear" w:color="auto" w:fill="FFFFFF"/>
          <w:lang w:val="en-US"/>
        </w:rPr>
        <w:t>t of mitochondrial respiration. H</w:t>
      </w:r>
      <w:r w:rsidRPr="007A73DB">
        <w:rPr>
          <w:rFonts w:ascii="Times New Roman" w:eastAsia="Times New Roman" w:hAnsi="Times New Roman" w:cs="Times New Roman"/>
          <w:color w:val="212121"/>
          <w:sz w:val="24"/>
          <w:szCs w:val="24"/>
          <w:shd w:val="clear" w:color="auto" w:fill="FFFFFF"/>
          <w:lang w:val="en-US"/>
        </w:rPr>
        <w:t xml:space="preserve">owever, </w:t>
      </w:r>
      <w:r w:rsidR="001B51FB">
        <w:rPr>
          <w:rFonts w:ascii="Times New Roman" w:eastAsia="Times New Roman" w:hAnsi="Times New Roman" w:cs="Times New Roman"/>
          <w:color w:val="212121"/>
          <w:sz w:val="24"/>
          <w:szCs w:val="24"/>
          <w:shd w:val="clear" w:color="auto" w:fill="FFFFFF"/>
          <w:lang w:val="en-US"/>
        </w:rPr>
        <w:t xml:space="preserve">it </w:t>
      </w:r>
      <w:r w:rsidRPr="007A73DB">
        <w:rPr>
          <w:rFonts w:ascii="Times New Roman" w:eastAsia="Times New Roman" w:hAnsi="Times New Roman" w:cs="Times New Roman"/>
          <w:color w:val="212121"/>
          <w:sz w:val="24"/>
          <w:szCs w:val="24"/>
          <w:shd w:val="clear" w:color="auto" w:fill="FFFFFF"/>
          <w:lang w:val="en-US"/>
        </w:rPr>
        <w:t xml:space="preserve">has limitations </w:t>
      </w:r>
      <w:r w:rsidR="005510F6">
        <w:rPr>
          <w:rFonts w:ascii="Times New Roman" w:eastAsia="Times New Roman" w:hAnsi="Times New Roman" w:cs="Times New Roman"/>
          <w:color w:val="212121"/>
          <w:sz w:val="24"/>
          <w:szCs w:val="24"/>
          <w:shd w:val="clear" w:color="auto" w:fill="FFFFFF"/>
          <w:lang w:val="en-US"/>
        </w:rPr>
        <w:t xml:space="preserve">as </w:t>
      </w:r>
      <w:r w:rsidRPr="007A73DB">
        <w:rPr>
          <w:rFonts w:ascii="Times New Roman" w:eastAsia="Times New Roman" w:hAnsi="Times New Roman" w:cs="Times New Roman"/>
          <w:color w:val="212121"/>
          <w:sz w:val="24"/>
          <w:szCs w:val="24"/>
          <w:shd w:val="clear" w:color="auto" w:fill="FFFFFF"/>
          <w:lang w:val="en-US"/>
        </w:rPr>
        <w:t>mentione</w:t>
      </w:r>
      <w:r w:rsidR="001B51FB">
        <w:rPr>
          <w:rFonts w:ascii="Times New Roman" w:eastAsia="Times New Roman" w:hAnsi="Times New Roman" w:cs="Times New Roman"/>
          <w:color w:val="212121"/>
          <w:sz w:val="24"/>
          <w:szCs w:val="24"/>
          <w:shd w:val="clear" w:color="auto" w:fill="FFFFFF"/>
          <w:lang w:val="en-US"/>
        </w:rPr>
        <w:t>d above. Considering the need for more accurate</w:t>
      </w:r>
      <w:r w:rsidRPr="007A73DB">
        <w:rPr>
          <w:rFonts w:ascii="Times New Roman" w:eastAsia="Times New Roman" w:hAnsi="Times New Roman" w:cs="Times New Roman"/>
          <w:color w:val="212121"/>
          <w:sz w:val="24"/>
          <w:szCs w:val="24"/>
          <w:shd w:val="clear" w:color="auto" w:fill="FFFFFF"/>
          <w:lang w:val="en-US"/>
        </w:rPr>
        <w:t xml:space="preserve"> systems, new technologies have been generated such as the high-resolution Oxygraph-2k (O2k, Oroboros Instruments, Austria) and the sensitive high-throughput Seahorse XF Extracellular Flux Analyzer (Seahorse XF, Seahorse Bioscience Inc.).</w:t>
      </w:r>
      <w:r w:rsidR="009154C1">
        <w:rPr>
          <w:rFonts w:ascii="Times New Roman" w:eastAsia="Times New Roman" w:hAnsi="Times New Roman" w:cs="Times New Roman"/>
          <w:color w:val="212121"/>
          <w:sz w:val="24"/>
          <w:szCs w:val="24"/>
          <w:shd w:val="clear" w:color="auto" w:fill="FFFFFF"/>
          <w:lang w:val="en-US"/>
        </w:rPr>
        <w:t xml:space="preserve"> </w:t>
      </w:r>
    </w:p>
    <w:p w:rsidR="00AE45C0" w:rsidRDefault="00AE45C0" w:rsidP="007A73DB">
      <w:pPr>
        <w:shd w:val="clear" w:color="auto" w:fill="FFFFFF"/>
        <w:spacing w:after="0" w:line="360" w:lineRule="auto"/>
        <w:jc w:val="both"/>
        <w:rPr>
          <w:rFonts w:ascii="Times New Roman" w:eastAsia="Times New Roman" w:hAnsi="Times New Roman" w:cs="Times New Roman"/>
          <w:color w:val="212121"/>
          <w:sz w:val="24"/>
          <w:szCs w:val="24"/>
          <w:shd w:val="clear" w:color="auto" w:fill="FFFFFF"/>
          <w:lang w:val="en-US"/>
        </w:rPr>
      </w:pPr>
    </w:p>
    <w:p w:rsidR="003E77B8" w:rsidRPr="009154C1" w:rsidRDefault="003E77B8" w:rsidP="009154C1">
      <w:pPr>
        <w:pStyle w:val="Prrafodelista"/>
        <w:numPr>
          <w:ilvl w:val="1"/>
          <w:numId w:val="1"/>
        </w:numPr>
        <w:shd w:val="clear" w:color="auto" w:fill="FFFFFF"/>
        <w:spacing w:after="0" w:line="360" w:lineRule="auto"/>
        <w:ind w:left="357" w:hanging="357"/>
        <w:jc w:val="both"/>
        <w:rPr>
          <w:rFonts w:ascii="Times New Roman" w:eastAsia="Times New Roman" w:hAnsi="Times New Roman" w:cs="Times New Roman"/>
          <w:i/>
          <w:sz w:val="24"/>
          <w:szCs w:val="24"/>
          <w:lang w:val="en-GB"/>
        </w:rPr>
      </w:pPr>
      <w:r w:rsidRPr="009154C1">
        <w:rPr>
          <w:rFonts w:ascii="Times New Roman" w:eastAsia="Times New Roman" w:hAnsi="Times New Roman" w:cs="Times New Roman"/>
          <w:i/>
          <w:sz w:val="24"/>
          <w:szCs w:val="24"/>
          <w:lang w:val="en-GB"/>
        </w:rPr>
        <w:lastRenderedPageBreak/>
        <w:t xml:space="preserve">Oxygraph-2k, Oroboros </w:t>
      </w:r>
    </w:p>
    <w:p w:rsidR="00AE45C0" w:rsidRPr="00AE45C0" w:rsidRDefault="00AE45C0" w:rsidP="00AE45C0">
      <w:pPr>
        <w:spacing w:after="0" w:line="360" w:lineRule="auto"/>
        <w:jc w:val="both"/>
        <w:rPr>
          <w:rFonts w:ascii="Times New Roman" w:eastAsia="Times New Roman" w:hAnsi="Times New Roman" w:cs="Times New Roman"/>
          <w:color w:val="212121"/>
          <w:sz w:val="24"/>
          <w:szCs w:val="24"/>
          <w:shd w:val="clear" w:color="auto" w:fill="FFFFFF"/>
          <w:lang w:val="en-US"/>
        </w:rPr>
      </w:pPr>
      <w:r w:rsidRPr="00AE45C0">
        <w:rPr>
          <w:rFonts w:ascii="Times New Roman" w:eastAsia="Times New Roman" w:hAnsi="Times New Roman" w:cs="Times New Roman"/>
          <w:color w:val="212121"/>
          <w:sz w:val="24"/>
          <w:szCs w:val="24"/>
          <w:u w:val="single"/>
          <w:shd w:val="clear" w:color="auto" w:fill="FFFFFF"/>
          <w:lang w:val="en-US"/>
        </w:rPr>
        <w:t>Background:</w:t>
      </w:r>
      <w:r>
        <w:rPr>
          <w:rFonts w:ascii="Times New Roman" w:eastAsia="Times New Roman" w:hAnsi="Times New Roman" w:cs="Times New Roman"/>
          <w:color w:val="212121"/>
          <w:sz w:val="24"/>
          <w:szCs w:val="24"/>
          <w:shd w:val="clear" w:color="auto" w:fill="FFFFFF"/>
          <w:lang w:val="en-US"/>
        </w:rPr>
        <w:t xml:space="preserve"> </w:t>
      </w:r>
      <w:r w:rsidRPr="00AE45C0">
        <w:rPr>
          <w:rFonts w:ascii="Times New Roman" w:eastAsia="Times New Roman" w:hAnsi="Times New Roman" w:cs="Times New Roman"/>
          <w:color w:val="212121"/>
          <w:sz w:val="24"/>
          <w:szCs w:val="24"/>
          <w:shd w:val="clear" w:color="auto" w:fill="FFFFFF"/>
          <w:lang w:val="en-US"/>
        </w:rPr>
        <w:t xml:space="preserve">The O2K </w:t>
      </w:r>
      <w:r w:rsidR="00844EB4" w:rsidRPr="003E77B8">
        <w:rPr>
          <w:rFonts w:ascii="Times New Roman" w:eastAsia="Times New Roman" w:hAnsi="Times New Roman" w:cs="Times New Roman"/>
          <w:sz w:val="24"/>
          <w:szCs w:val="24"/>
          <w:lang w:val="en-GB"/>
        </w:rPr>
        <w:t xml:space="preserve">(Oxygraph-2k, Oroboros) </w:t>
      </w:r>
      <w:r w:rsidRPr="00AE45C0">
        <w:rPr>
          <w:rFonts w:ascii="Times New Roman" w:eastAsia="Times New Roman" w:hAnsi="Times New Roman" w:cs="Times New Roman"/>
          <w:color w:val="212121"/>
          <w:sz w:val="24"/>
          <w:szCs w:val="24"/>
          <w:shd w:val="clear" w:color="auto" w:fill="FFFFFF"/>
          <w:lang w:val="en-US"/>
        </w:rPr>
        <w:t xml:space="preserve">is an </w:t>
      </w:r>
      <w:r w:rsidRPr="00AE45C0">
        <w:rPr>
          <w:rFonts w:ascii="Times New Roman" w:eastAsia="Times New Roman" w:hAnsi="Times New Roman" w:cs="Times New Roman"/>
          <w:i/>
          <w:color w:val="212121"/>
          <w:sz w:val="24"/>
          <w:szCs w:val="24"/>
          <w:shd w:val="clear" w:color="auto" w:fill="FFFFFF"/>
          <w:lang w:val="en-US"/>
        </w:rPr>
        <w:t>in vitro</w:t>
      </w:r>
      <w:r w:rsidRPr="00AE45C0">
        <w:rPr>
          <w:rFonts w:ascii="Times New Roman" w:eastAsia="Times New Roman" w:hAnsi="Times New Roman" w:cs="Times New Roman"/>
          <w:color w:val="212121"/>
          <w:sz w:val="24"/>
          <w:szCs w:val="24"/>
          <w:shd w:val="clear" w:color="auto" w:fill="FFFFFF"/>
          <w:lang w:val="en-US"/>
        </w:rPr>
        <w:t xml:space="preserve"> assay device containing two separate 2 mL chambers equipped with polarographic oxygen sensors to monitor the oxygen concentration and calculate the OCR parameter. Substrates, uncouplers or inhibitors for mitochondrial activity are directly added into the injection ports of each chamber while sample suspensions (cells/isolated mitochondria) are continuously stirred</w:t>
      </w:r>
      <w:r w:rsidRPr="00AE45C0">
        <w:rPr>
          <w:rFonts w:ascii="Times New Roman" w:eastAsia="Times New Roman" w:hAnsi="Times New Roman" w:cs="Times New Roman"/>
          <w:sz w:val="24"/>
          <w:szCs w:val="24"/>
          <w:lang w:val="en-US"/>
        </w:rPr>
        <w:t xml:space="preserve">. </w:t>
      </w:r>
      <w:r w:rsidRPr="00AE45C0">
        <w:rPr>
          <w:rFonts w:ascii="Times New Roman" w:eastAsia="Times New Roman" w:hAnsi="Times New Roman" w:cs="Times New Roman"/>
          <w:color w:val="212121"/>
          <w:sz w:val="24"/>
          <w:szCs w:val="24"/>
          <w:shd w:val="clear" w:color="auto" w:fill="FFFFFF"/>
          <w:lang w:val="en-US"/>
        </w:rPr>
        <w:t>O2K integrates fluorometry and spectrophotometry technologies for the analysis of mitochondrial respiration and membrane potential.</w:t>
      </w:r>
      <w:r w:rsidRPr="00AE45C0">
        <w:rPr>
          <w:rStyle w:val="Refdenotaalpie"/>
          <w:rFonts w:ascii="Times New Roman" w:eastAsia="Times New Roman" w:hAnsi="Times New Roman" w:cs="Times New Roman"/>
          <w:color w:val="212121"/>
          <w:sz w:val="24"/>
          <w:szCs w:val="24"/>
          <w:shd w:val="clear" w:color="auto" w:fill="FFFFFF"/>
          <w:lang w:val="en-US"/>
        </w:rPr>
        <w:fldChar w:fldCharType="begin" w:fldLock="1"/>
      </w:r>
      <w:r w:rsidR="001852C1">
        <w:rPr>
          <w:rFonts w:ascii="Times New Roman" w:eastAsia="Times New Roman" w:hAnsi="Times New Roman" w:cs="Times New Roman"/>
          <w:color w:val="212121"/>
          <w:sz w:val="24"/>
          <w:szCs w:val="24"/>
          <w:shd w:val="clear" w:color="auto" w:fill="FFFFFF"/>
          <w:lang w:val="en-US"/>
        </w:rPr>
        <w:instrText>ADDIN CSL_CITATION {"citationItems":[{"id":"ITEM-1","itemData":{"ISBN":"9783950239966","abstract":"We live with mitochondrial physiology. Your OXPHOS capacity is essential for your quality of life, for brain and muscle function, resistance against preventable and age-related degenerative diseases. Genetic background and life style determine mitochondrial compentence, which is OXPHOS capacity and multiple mt-functions. Comprehensive OXPHOS analysis is vital for your cells, vital for our health care system, and vitally deserves reliability of experimental and diagnostic approaches. Application of SUIT protocols for real-time OXPHOS analysis is a component of metabolic phenotyping (Fig. 2). OXPHOS analysis extends conventional bioenergetics to the level of mitochondrial physiology for functional diagnosis in health and disease. The OROBOROS Oxygraph-2k (O2k) represents the unique instrument for HRR. No other platform is suited for application of SUIT protocols. The O2k overcomes restrictions of the number of titrations available in multiwell systems, or the insufficient signal stability and limited oxygen capacity in small chambers.","author":[{"dropping-particle":"","family":"Gnaiger","given":"Erich","non-dropping-particle":"","parse-names":false,"suffix":""}],"container-title":"Mitochondrial Physiology Network","id":"ITEM-1","issued":{"date-parts":[["2014"]]},"number-of-pages":"1-80","title":"Mitochondrial Pathways and Respiratory Control An Introduction to OXPHOS Analysis","type":"book"},"uris":["http://www.mendeley.com/documents/?uuid=8dd4ee94-9bbc-4472-af48-4d5dd0164cfd"]}],"mendeley":{"formattedCitation":"&lt;sup&gt;4&lt;/sup&gt;","plainTextFormattedCitation":"4","previouslyFormattedCitation":"&lt;sup&gt;4&lt;/sup&gt;"},"properties":{"noteIndex":0},"schema":"https://github.com/citation-style-language/schema/raw/master/csl-citation.json"}</w:instrText>
      </w:r>
      <w:r w:rsidRPr="00AE45C0">
        <w:rPr>
          <w:rStyle w:val="Refdenotaalpie"/>
          <w:rFonts w:ascii="Times New Roman" w:eastAsia="Times New Roman" w:hAnsi="Times New Roman" w:cs="Times New Roman"/>
          <w:color w:val="212121"/>
          <w:sz w:val="24"/>
          <w:szCs w:val="24"/>
          <w:shd w:val="clear" w:color="auto" w:fill="FFFFFF"/>
          <w:lang w:val="en-US"/>
        </w:rPr>
        <w:fldChar w:fldCharType="separate"/>
      </w:r>
      <w:r w:rsidRPr="00AE45C0">
        <w:rPr>
          <w:rFonts w:ascii="Times New Roman" w:eastAsia="Times New Roman" w:hAnsi="Times New Roman" w:cs="Times New Roman"/>
          <w:noProof/>
          <w:color w:val="212121"/>
          <w:sz w:val="24"/>
          <w:szCs w:val="24"/>
          <w:shd w:val="clear" w:color="auto" w:fill="FFFFFF"/>
          <w:vertAlign w:val="superscript"/>
          <w:lang w:val="en-US"/>
        </w:rPr>
        <w:t>4</w:t>
      </w:r>
      <w:r w:rsidRPr="00AE45C0">
        <w:rPr>
          <w:rStyle w:val="Refdenotaalpie"/>
          <w:rFonts w:ascii="Times New Roman" w:eastAsia="Times New Roman" w:hAnsi="Times New Roman" w:cs="Times New Roman"/>
          <w:color w:val="212121"/>
          <w:sz w:val="24"/>
          <w:szCs w:val="24"/>
          <w:shd w:val="clear" w:color="auto" w:fill="FFFFFF"/>
          <w:lang w:val="en-US"/>
        </w:rPr>
        <w:fldChar w:fldCharType="end"/>
      </w:r>
    </w:p>
    <w:p w:rsidR="003E77B8" w:rsidRPr="003E77B8" w:rsidRDefault="003E77B8" w:rsidP="009154C1">
      <w:pPr>
        <w:spacing w:after="0" w:line="360" w:lineRule="auto"/>
        <w:jc w:val="both"/>
        <w:rPr>
          <w:rFonts w:ascii="Times New Roman" w:eastAsia="Times New Roman" w:hAnsi="Times New Roman" w:cs="Times New Roman"/>
          <w:color w:val="212121"/>
          <w:sz w:val="24"/>
          <w:szCs w:val="24"/>
          <w:u w:val="single"/>
          <w:shd w:val="clear" w:color="auto" w:fill="FFFFFF"/>
          <w:lang w:val="en-US"/>
        </w:rPr>
      </w:pPr>
      <w:r w:rsidRPr="003E77B8">
        <w:rPr>
          <w:rFonts w:ascii="Times New Roman" w:eastAsia="Times New Roman" w:hAnsi="Times New Roman" w:cs="Times New Roman"/>
          <w:sz w:val="24"/>
          <w:szCs w:val="24"/>
          <w:u w:val="single"/>
          <w:lang w:val="en-GB"/>
        </w:rPr>
        <w:t>Procedure in permeabilized hepatocytes:</w:t>
      </w:r>
      <w:r w:rsidRPr="003E77B8">
        <w:rPr>
          <w:rFonts w:ascii="Times New Roman" w:eastAsia="Times New Roman" w:hAnsi="Times New Roman" w:cs="Times New Roman"/>
          <w:sz w:val="24"/>
          <w:szCs w:val="24"/>
          <w:lang w:val="en-GB"/>
        </w:rPr>
        <w:t xml:space="preserve"> Mitochondrial respiration is measured by high-resolution respirometry at 37ºC. Hepatocytes are seeded in </w:t>
      </w:r>
      <w:r w:rsidR="008E5145">
        <w:rPr>
          <w:rFonts w:ascii="Times New Roman" w:eastAsia="Times New Roman" w:hAnsi="Times New Roman" w:cs="Times New Roman"/>
          <w:sz w:val="24"/>
          <w:szCs w:val="24"/>
          <w:lang w:val="en-GB"/>
        </w:rPr>
        <w:t xml:space="preserve">a </w:t>
      </w:r>
      <w:r w:rsidRPr="003E77B8">
        <w:rPr>
          <w:rFonts w:ascii="Times New Roman" w:eastAsia="Times New Roman" w:hAnsi="Times New Roman" w:cs="Times New Roman"/>
          <w:sz w:val="24"/>
          <w:szCs w:val="24"/>
          <w:lang w:val="en-GB"/>
        </w:rPr>
        <w:t xml:space="preserve">6-well plate and after the </w:t>
      </w:r>
      <w:r w:rsidR="008E5145">
        <w:rPr>
          <w:rFonts w:ascii="Times New Roman" w:eastAsia="Times New Roman" w:hAnsi="Times New Roman" w:cs="Times New Roman"/>
          <w:sz w:val="24"/>
          <w:szCs w:val="24"/>
          <w:lang w:val="en-GB"/>
        </w:rPr>
        <w:t>corresponding stimuli, are</w:t>
      </w:r>
      <w:r w:rsidRPr="003E77B8">
        <w:rPr>
          <w:rFonts w:ascii="Times New Roman" w:eastAsia="Times New Roman" w:hAnsi="Times New Roman" w:cs="Times New Roman"/>
          <w:sz w:val="24"/>
          <w:szCs w:val="24"/>
          <w:lang w:val="en-GB"/>
        </w:rPr>
        <w:t xml:space="preserve"> trypsinized and resuspended in MiR05 respiration buffer (20</w:t>
      </w:r>
      <w:r w:rsidR="007C1FBD">
        <w:rPr>
          <w:rFonts w:ascii="Times New Roman" w:eastAsia="Times New Roman" w:hAnsi="Times New Roman" w:cs="Times New Roman"/>
          <w:sz w:val="24"/>
          <w:szCs w:val="24"/>
          <w:lang w:val="en-GB"/>
        </w:rPr>
        <w:t xml:space="preserve"> </w:t>
      </w:r>
      <w:r w:rsidRPr="003E77B8">
        <w:rPr>
          <w:rFonts w:ascii="Times New Roman" w:eastAsia="Times New Roman" w:hAnsi="Times New Roman" w:cs="Times New Roman"/>
          <w:sz w:val="24"/>
          <w:szCs w:val="24"/>
          <w:lang w:val="en-GB"/>
        </w:rPr>
        <w:t>mM Taurine, 0.5</w:t>
      </w:r>
      <w:r w:rsidR="007C1FBD">
        <w:rPr>
          <w:rFonts w:ascii="Times New Roman" w:eastAsia="Times New Roman" w:hAnsi="Times New Roman" w:cs="Times New Roman"/>
          <w:sz w:val="24"/>
          <w:szCs w:val="24"/>
          <w:lang w:val="en-GB"/>
        </w:rPr>
        <w:t xml:space="preserve"> </w:t>
      </w:r>
      <w:r w:rsidRPr="003E77B8">
        <w:rPr>
          <w:rFonts w:ascii="Times New Roman" w:eastAsia="Times New Roman" w:hAnsi="Times New Roman" w:cs="Times New Roman"/>
          <w:sz w:val="24"/>
          <w:szCs w:val="24"/>
          <w:lang w:val="en-GB"/>
        </w:rPr>
        <w:t>mM EGTA, 3 mM MgCl</w:t>
      </w:r>
      <w:r w:rsidRPr="003E77B8">
        <w:rPr>
          <w:rFonts w:ascii="Times New Roman" w:eastAsia="Times New Roman" w:hAnsi="Times New Roman" w:cs="Times New Roman"/>
          <w:sz w:val="24"/>
          <w:szCs w:val="24"/>
          <w:vertAlign w:val="subscript"/>
          <w:lang w:val="en-GB"/>
        </w:rPr>
        <w:t>2</w:t>
      </w:r>
      <w:r w:rsidRPr="003E77B8">
        <w:rPr>
          <w:rFonts w:ascii="Times New Roman" w:eastAsia="Times New Roman" w:hAnsi="Times New Roman" w:cs="Times New Roman"/>
          <w:sz w:val="24"/>
          <w:szCs w:val="24"/>
          <w:lang w:val="en-GB"/>
        </w:rPr>
        <w:t>-6H2O, 60 mM K-lactobionate, 10 mM KH</w:t>
      </w:r>
      <w:r w:rsidRPr="003E77B8">
        <w:rPr>
          <w:rFonts w:ascii="Times New Roman" w:eastAsia="Times New Roman" w:hAnsi="Times New Roman" w:cs="Times New Roman"/>
          <w:sz w:val="24"/>
          <w:szCs w:val="24"/>
          <w:vertAlign w:val="subscript"/>
          <w:lang w:val="en-GB"/>
        </w:rPr>
        <w:t>2</w:t>
      </w:r>
      <w:r w:rsidRPr="003E77B8">
        <w:rPr>
          <w:rFonts w:ascii="Times New Roman" w:eastAsia="Times New Roman" w:hAnsi="Times New Roman" w:cs="Times New Roman"/>
          <w:sz w:val="24"/>
          <w:szCs w:val="24"/>
          <w:lang w:val="en-GB"/>
        </w:rPr>
        <w:t>PO</w:t>
      </w:r>
      <w:r w:rsidRPr="003E77B8">
        <w:rPr>
          <w:rFonts w:ascii="Times New Roman" w:eastAsia="Times New Roman" w:hAnsi="Times New Roman" w:cs="Times New Roman"/>
          <w:sz w:val="24"/>
          <w:szCs w:val="24"/>
          <w:vertAlign w:val="subscript"/>
          <w:lang w:val="en-GB"/>
        </w:rPr>
        <w:t>4</w:t>
      </w:r>
      <w:r w:rsidRPr="003E77B8">
        <w:rPr>
          <w:rFonts w:ascii="Times New Roman" w:eastAsia="Times New Roman" w:hAnsi="Times New Roman" w:cs="Times New Roman"/>
          <w:sz w:val="24"/>
          <w:szCs w:val="24"/>
          <w:lang w:val="en-GB"/>
        </w:rPr>
        <w:t xml:space="preserve">, 20 mM HEPES, 110 mM </w:t>
      </w:r>
      <w:r w:rsidR="008E5145">
        <w:rPr>
          <w:rFonts w:ascii="Times New Roman" w:eastAsia="Times New Roman" w:hAnsi="Times New Roman" w:cs="Times New Roman"/>
          <w:sz w:val="24"/>
          <w:szCs w:val="24"/>
          <w:lang w:val="en-GB"/>
        </w:rPr>
        <w:t>D-sucrose, and 1 g/L fatty acid-</w:t>
      </w:r>
      <w:r w:rsidRPr="003E77B8">
        <w:rPr>
          <w:rFonts w:ascii="Times New Roman" w:eastAsia="Times New Roman" w:hAnsi="Times New Roman" w:cs="Times New Roman"/>
          <w:sz w:val="24"/>
          <w:szCs w:val="24"/>
          <w:lang w:val="en-GB"/>
        </w:rPr>
        <w:t xml:space="preserve">free </w:t>
      </w:r>
      <w:r w:rsidR="008E5145">
        <w:rPr>
          <w:rFonts w:ascii="Times New Roman" w:eastAsia="Times New Roman" w:hAnsi="Times New Roman" w:cs="Times New Roman"/>
          <w:sz w:val="24"/>
          <w:szCs w:val="24"/>
          <w:lang w:val="en-GB"/>
        </w:rPr>
        <w:t>bovine serum albumin (</w:t>
      </w:r>
      <w:r w:rsidRPr="003E77B8">
        <w:rPr>
          <w:rFonts w:ascii="Times New Roman" w:eastAsia="Times New Roman" w:hAnsi="Times New Roman" w:cs="Times New Roman"/>
          <w:sz w:val="24"/>
          <w:szCs w:val="24"/>
          <w:lang w:val="en-GB"/>
        </w:rPr>
        <w:t>BSA</w:t>
      </w:r>
      <w:r w:rsidR="008E5145">
        <w:rPr>
          <w:rFonts w:ascii="Times New Roman" w:eastAsia="Times New Roman" w:hAnsi="Times New Roman" w:cs="Times New Roman"/>
          <w:sz w:val="24"/>
          <w:szCs w:val="24"/>
          <w:lang w:val="en-GB"/>
        </w:rPr>
        <w:t>)</w:t>
      </w:r>
      <w:r w:rsidR="00B3017C">
        <w:rPr>
          <w:rFonts w:ascii="Times New Roman" w:eastAsia="Times New Roman" w:hAnsi="Times New Roman" w:cs="Times New Roman"/>
          <w:sz w:val="24"/>
          <w:szCs w:val="24"/>
          <w:lang w:val="en-GB"/>
        </w:rPr>
        <w:t>). Cells are</w:t>
      </w:r>
      <w:r w:rsidRPr="003E77B8">
        <w:rPr>
          <w:rFonts w:ascii="Times New Roman" w:eastAsia="Times New Roman" w:hAnsi="Times New Roman" w:cs="Times New Roman"/>
          <w:sz w:val="24"/>
          <w:szCs w:val="24"/>
          <w:lang w:val="en-GB"/>
        </w:rPr>
        <w:t xml:space="preserve"> counted before adding 200 uL into the respiration chamber (final volume 2 mL). In order to assess the functionality of the </w:t>
      </w:r>
      <w:r w:rsidR="00C31D1F">
        <w:rPr>
          <w:rFonts w:ascii="Times New Roman" w:eastAsia="Times New Roman" w:hAnsi="Times New Roman" w:cs="Times New Roman"/>
          <w:sz w:val="24"/>
          <w:szCs w:val="24"/>
          <w:lang w:val="en-GB"/>
        </w:rPr>
        <w:t>ETC</w:t>
      </w:r>
      <w:r w:rsidRPr="003E77B8">
        <w:rPr>
          <w:rFonts w:ascii="Times New Roman" w:eastAsia="Times New Roman" w:hAnsi="Times New Roman" w:cs="Times New Roman"/>
          <w:sz w:val="24"/>
          <w:szCs w:val="24"/>
          <w:lang w:val="en-GB"/>
        </w:rPr>
        <w:t xml:space="preserve">, ATP synthase </w:t>
      </w:r>
      <w:r w:rsidR="00C31D1F">
        <w:rPr>
          <w:rFonts w:ascii="Times New Roman" w:eastAsia="Times New Roman" w:hAnsi="Times New Roman" w:cs="Times New Roman"/>
          <w:sz w:val="24"/>
          <w:szCs w:val="24"/>
          <w:lang w:val="en-GB"/>
        </w:rPr>
        <w:t xml:space="preserve">inhibitor oligomycin (2 µM) is </w:t>
      </w:r>
      <w:r w:rsidRPr="003E77B8">
        <w:rPr>
          <w:rFonts w:ascii="Times New Roman" w:eastAsia="Times New Roman" w:hAnsi="Times New Roman" w:cs="Times New Roman"/>
          <w:sz w:val="24"/>
          <w:szCs w:val="24"/>
          <w:lang w:val="en-GB"/>
        </w:rPr>
        <w:t>added to measure the respiration</w:t>
      </w:r>
      <w:r w:rsidR="00C31D1F">
        <w:rPr>
          <w:rFonts w:ascii="Times New Roman" w:eastAsia="Times New Roman" w:hAnsi="Times New Roman" w:cs="Times New Roman"/>
          <w:sz w:val="24"/>
          <w:szCs w:val="24"/>
          <w:lang w:val="en-GB"/>
        </w:rPr>
        <w:t xml:space="preserve"> not related to ATP </w:t>
      </w:r>
      <w:r w:rsidR="00C31D1F" w:rsidRPr="00C134E6">
        <w:rPr>
          <w:rFonts w:ascii="Times New Roman" w:eastAsia="Times New Roman" w:hAnsi="Times New Roman" w:cs="Times New Roman"/>
          <w:sz w:val="24"/>
          <w:szCs w:val="24"/>
          <w:lang w:val="en-GB"/>
        </w:rPr>
        <w:t>production. Next</w:t>
      </w:r>
      <w:r w:rsidRPr="00C134E6">
        <w:rPr>
          <w:rFonts w:ascii="Times New Roman" w:eastAsia="Times New Roman" w:hAnsi="Times New Roman" w:cs="Times New Roman"/>
          <w:sz w:val="24"/>
          <w:szCs w:val="24"/>
          <w:lang w:val="en-GB"/>
        </w:rPr>
        <w:t>, mitochond</w:t>
      </w:r>
      <w:r w:rsidR="00C31D1F" w:rsidRPr="00C134E6">
        <w:rPr>
          <w:rFonts w:ascii="Times New Roman" w:eastAsia="Times New Roman" w:hAnsi="Times New Roman" w:cs="Times New Roman"/>
          <w:sz w:val="24"/>
          <w:szCs w:val="24"/>
          <w:lang w:val="en-GB"/>
        </w:rPr>
        <w:t>rial uncoupler</w:t>
      </w:r>
      <w:r w:rsidR="00C134E6" w:rsidRPr="00C134E6">
        <w:rPr>
          <w:rFonts w:ascii="Times New Roman" w:eastAsia="Times New Roman" w:hAnsi="Times New Roman" w:cs="Times New Roman"/>
          <w:sz w:val="24"/>
          <w:szCs w:val="24"/>
          <w:lang w:val="en-GB"/>
        </w:rPr>
        <w:t xml:space="preserve"> </w:t>
      </w:r>
      <w:r w:rsidR="00C134E6" w:rsidRPr="00C134E6">
        <w:rPr>
          <w:rFonts w:ascii="Times New Roman" w:hAnsi="Times New Roman" w:cs="Times New Roman"/>
          <w:bCs/>
          <w:color w:val="202122"/>
          <w:sz w:val="24"/>
          <w:szCs w:val="24"/>
          <w:shd w:val="clear" w:color="auto" w:fill="FFFFFF"/>
          <w:lang w:val="en-GB"/>
        </w:rPr>
        <w:t>carbonyl cyanide </w:t>
      </w:r>
      <w:r w:rsidR="00C134E6" w:rsidRPr="00C134E6">
        <w:rPr>
          <w:rFonts w:ascii="Times New Roman" w:hAnsi="Times New Roman" w:cs="Times New Roman"/>
          <w:bCs/>
          <w:i/>
          <w:iCs/>
          <w:color w:val="202122"/>
          <w:sz w:val="24"/>
          <w:szCs w:val="24"/>
          <w:shd w:val="clear" w:color="auto" w:fill="FFFFFF"/>
          <w:lang w:val="en-GB"/>
        </w:rPr>
        <w:t>m</w:t>
      </w:r>
      <w:r w:rsidR="00C134E6" w:rsidRPr="00C134E6">
        <w:rPr>
          <w:rFonts w:ascii="Times New Roman" w:hAnsi="Times New Roman" w:cs="Times New Roman"/>
          <w:bCs/>
          <w:color w:val="202122"/>
          <w:sz w:val="24"/>
          <w:szCs w:val="24"/>
          <w:shd w:val="clear" w:color="auto" w:fill="FFFFFF"/>
          <w:lang w:val="en-GB"/>
        </w:rPr>
        <w:t xml:space="preserve">-chlorophenyl </w:t>
      </w:r>
      <w:r w:rsidR="00C134E6">
        <w:rPr>
          <w:rFonts w:ascii="Times New Roman" w:hAnsi="Times New Roman" w:cs="Times New Roman"/>
          <w:bCs/>
          <w:color w:val="202122"/>
          <w:sz w:val="24"/>
          <w:szCs w:val="24"/>
          <w:shd w:val="clear" w:color="auto" w:fill="FFFFFF"/>
          <w:lang w:val="en-GB"/>
        </w:rPr>
        <w:t>hydrazine</w:t>
      </w:r>
      <w:r w:rsidR="00C134E6">
        <w:rPr>
          <w:rFonts w:ascii="Times New Roman" w:eastAsia="Times New Roman" w:hAnsi="Times New Roman" w:cs="Times New Roman"/>
          <w:sz w:val="24"/>
          <w:szCs w:val="24"/>
          <w:lang w:val="en-GB"/>
        </w:rPr>
        <w:t xml:space="preserve"> (</w:t>
      </w:r>
      <w:r w:rsidR="00C31D1F" w:rsidRPr="00C134E6">
        <w:rPr>
          <w:rFonts w:ascii="Times New Roman" w:eastAsia="Times New Roman" w:hAnsi="Times New Roman" w:cs="Times New Roman"/>
          <w:sz w:val="24"/>
          <w:szCs w:val="24"/>
          <w:lang w:val="en-GB"/>
        </w:rPr>
        <w:t>CCCP</w:t>
      </w:r>
      <w:r w:rsidR="00C134E6">
        <w:rPr>
          <w:rFonts w:ascii="Times New Roman" w:eastAsia="Times New Roman" w:hAnsi="Times New Roman" w:cs="Times New Roman"/>
          <w:sz w:val="24"/>
          <w:szCs w:val="24"/>
          <w:lang w:val="en-GB"/>
        </w:rPr>
        <w:t>)</w:t>
      </w:r>
      <w:r w:rsidR="00C31D1F">
        <w:rPr>
          <w:rFonts w:ascii="Times New Roman" w:eastAsia="Times New Roman" w:hAnsi="Times New Roman" w:cs="Times New Roman"/>
          <w:sz w:val="24"/>
          <w:szCs w:val="24"/>
          <w:lang w:val="en-GB"/>
        </w:rPr>
        <w:t xml:space="preserve"> (0.7 µM) is</w:t>
      </w:r>
      <w:r w:rsidRPr="003E77B8">
        <w:rPr>
          <w:rFonts w:ascii="Times New Roman" w:eastAsia="Times New Roman" w:hAnsi="Times New Roman" w:cs="Times New Roman"/>
          <w:sz w:val="24"/>
          <w:szCs w:val="24"/>
          <w:lang w:val="en-GB"/>
        </w:rPr>
        <w:t xml:space="preserve"> added until the maximum OCR is reached, and finally complex I inhibitor rotenone (1 µM) and complex III inhibitor antimyicin A (1 µM) </w:t>
      </w:r>
      <w:r w:rsidR="00C31D1F">
        <w:rPr>
          <w:rFonts w:ascii="Times New Roman" w:eastAsia="Times New Roman" w:hAnsi="Times New Roman" w:cs="Times New Roman"/>
          <w:sz w:val="24"/>
          <w:szCs w:val="24"/>
          <w:lang w:val="en-GB"/>
        </w:rPr>
        <w:t>are injected</w:t>
      </w:r>
      <w:r w:rsidRPr="003E77B8">
        <w:rPr>
          <w:rFonts w:ascii="Times New Roman" w:eastAsia="Times New Roman" w:hAnsi="Times New Roman" w:cs="Times New Roman"/>
          <w:sz w:val="24"/>
          <w:szCs w:val="24"/>
          <w:lang w:val="en-GB"/>
        </w:rPr>
        <w:t xml:space="preserve"> to measure the non-mitochondrial respiration.</w:t>
      </w:r>
    </w:p>
    <w:p w:rsidR="003E77B8" w:rsidRPr="003E77B8" w:rsidRDefault="003E77B8" w:rsidP="003E77B8">
      <w:pPr>
        <w:shd w:val="clear" w:color="auto" w:fill="FFFFFF"/>
        <w:spacing w:after="0" w:line="360" w:lineRule="auto"/>
        <w:jc w:val="both"/>
        <w:rPr>
          <w:rFonts w:ascii="Times New Roman" w:eastAsia="Times New Roman" w:hAnsi="Times New Roman" w:cs="Times New Roman"/>
          <w:sz w:val="24"/>
          <w:szCs w:val="24"/>
          <w:lang w:val="en-GB"/>
        </w:rPr>
      </w:pPr>
      <w:r w:rsidRPr="003E77B8">
        <w:rPr>
          <w:rFonts w:ascii="Times New Roman" w:eastAsia="Times New Roman" w:hAnsi="Times New Roman" w:cs="Times New Roman"/>
          <w:sz w:val="24"/>
          <w:szCs w:val="24"/>
          <w:u w:val="single"/>
          <w:lang w:val="en-GB"/>
        </w:rPr>
        <w:t>Procedure in isolated mitochondria from liver tissue:</w:t>
      </w:r>
      <w:r w:rsidRPr="003E77B8">
        <w:rPr>
          <w:rFonts w:ascii="Times New Roman" w:eastAsia="Times New Roman" w:hAnsi="Times New Roman" w:cs="Times New Roman"/>
          <w:sz w:val="24"/>
          <w:szCs w:val="24"/>
          <w:lang w:val="en-GB"/>
        </w:rPr>
        <w:t xml:space="preserve"> </w:t>
      </w:r>
      <w:r w:rsidR="00FE2FEC">
        <w:rPr>
          <w:rFonts w:ascii="Times New Roman" w:eastAsia="Times New Roman" w:hAnsi="Times New Roman" w:cs="Times New Roman"/>
          <w:sz w:val="24"/>
          <w:szCs w:val="24"/>
          <w:lang w:val="en-GB"/>
        </w:rPr>
        <w:t xml:space="preserve">500 </w:t>
      </w:r>
      <w:r w:rsidRPr="003E77B8">
        <w:rPr>
          <w:rFonts w:ascii="Times New Roman" w:eastAsia="Times New Roman" w:hAnsi="Times New Roman" w:cs="Times New Roman"/>
          <w:sz w:val="24"/>
          <w:szCs w:val="24"/>
          <w:lang w:val="en-GB"/>
        </w:rPr>
        <w:t>mg of liver tissue are homogenized using a polytetrafluorethy</w:t>
      </w:r>
      <w:r w:rsidR="00FE2FEC">
        <w:rPr>
          <w:rFonts w:ascii="Times New Roman" w:eastAsia="Times New Roman" w:hAnsi="Times New Roman" w:cs="Times New Roman"/>
          <w:sz w:val="24"/>
          <w:szCs w:val="24"/>
          <w:lang w:val="en-GB"/>
        </w:rPr>
        <w:t>lene</w:t>
      </w:r>
      <w:r w:rsidRPr="003E77B8">
        <w:rPr>
          <w:rFonts w:ascii="Times New Roman" w:eastAsia="Times New Roman" w:hAnsi="Times New Roman" w:cs="Times New Roman"/>
          <w:sz w:val="24"/>
          <w:szCs w:val="24"/>
          <w:lang w:val="en-GB"/>
        </w:rPr>
        <w:t xml:space="preserve"> pestle in ice-cold buffer (250 mM sucrose, 50 mM KCl, 5 mM EDTA, 5 mM MgCl</w:t>
      </w:r>
      <w:r w:rsidRPr="003E77B8">
        <w:rPr>
          <w:rFonts w:ascii="Times New Roman" w:eastAsia="Times New Roman" w:hAnsi="Times New Roman" w:cs="Times New Roman"/>
          <w:sz w:val="24"/>
          <w:szCs w:val="24"/>
          <w:vertAlign w:val="subscript"/>
          <w:lang w:val="en-GB"/>
        </w:rPr>
        <w:t>2</w:t>
      </w:r>
      <w:r w:rsidRPr="003E77B8">
        <w:rPr>
          <w:rFonts w:ascii="Times New Roman" w:eastAsia="Times New Roman" w:hAnsi="Times New Roman" w:cs="Times New Roman"/>
          <w:sz w:val="24"/>
          <w:szCs w:val="24"/>
          <w:lang w:val="en-GB"/>
        </w:rPr>
        <w:t>, 1 mM Na</w:t>
      </w:r>
      <w:r w:rsidRPr="003E77B8">
        <w:rPr>
          <w:rFonts w:ascii="Times New Roman" w:eastAsia="Times New Roman" w:hAnsi="Times New Roman" w:cs="Times New Roman"/>
          <w:sz w:val="24"/>
          <w:szCs w:val="24"/>
          <w:vertAlign w:val="subscript"/>
          <w:lang w:val="en-GB"/>
        </w:rPr>
        <w:t>4</w:t>
      </w:r>
      <w:r w:rsidRPr="003E77B8">
        <w:rPr>
          <w:rFonts w:ascii="Times New Roman" w:eastAsia="Times New Roman" w:hAnsi="Times New Roman" w:cs="Times New Roman"/>
          <w:sz w:val="24"/>
          <w:szCs w:val="24"/>
          <w:lang w:val="en-GB"/>
        </w:rPr>
        <w:t>P</w:t>
      </w:r>
      <w:r w:rsidRPr="003E77B8">
        <w:rPr>
          <w:rFonts w:ascii="Times New Roman" w:eastAsia="Times New Roman" w:hAnsi="Times New Roman" w:cs="Times New Roman"/>
          <w:sz w:val="24"/>
          <w:szCs w:val="24"/>
          <w:vertAlign w:val="subscript"/>
          <w:lang w:val="en-GB"/>
        </w:rPr>
        <w:t>2</w:t>
      </w:r>
      <w:r w:rsidRPr="003E77B8">
        <w:rPr>
          <w:rFonts w:ascii="Times New Roman" w:eastAsia="Times New Roman" w:hAnsi="Times New Roman" w:cs="Times New Roman"/>
          <w:sz w:val="24"/>
          <w:szCs w:val="24"/>
          <w:lang w:val="en-GB"/>
        </w:rPr>
        <w:t>O</w:t>
      </w:r>
      <w:r w:rsidRPr="003E77B8">
        <w:rPr>
          <w:rFonts w:ascii="Times New Roman" w:eastAsia="Times New Roman" w:hAnsi="Times New Roman" w:cs="Times New Roman"/>
          <w:sz w:val="24"/>
          <w:szCs w:val="24"/>
          <w:vertAlign w:val="subscript"/>
          <w:lang w:val="en-GB"/>
        </w:rPr>
        <w:t>7</w:t>
      </w:r>
      <w:r w:rsidRPr="003E77B8">
        <w:rPr>
          <w:rFonts w:ascii="Times New Roman" w:eastAsia="Times New Roman" w:hAnsi="Times New Roman" w:cs="Times New Roman"/>
          <w:sz w:val="24"/>
          <w:szCs w:val="24"/>
          <w:lang w:val="en-GB"/>
        </w:rPr>
        <w:t>, protease inhibitor (Complete Mini; Roche,</w:t>
      </w:r>
      <w:r w:rsidR="00C134E6">
        <w:rPr>
          <w:rFonts w:ascii="Times New Roman" w:eastAsia="Times New Roman" w:hAnsi="Times New Roman" w:cs="Times New Roman"/>
          <w:sz w:val="24"/>
          <w:szCs w:val="24"/>
          <w:lang w:val="en-GB"/>
        </w:rPr>
        <w:t xml:space="preserve"> pH 7.4) and centrifuged at 740</w:t>
      </w:r>
      <w:r w:rsidRPr="00C134E6">
        <w:rPr>
          <w:rFonts w:ascii="Times New Roman" w:eastAsia="Times New Roman" w:hAnsi="Times New Roman" w:cs="Times New Roman"/>
          <w:i/>
          <w:sz w:val="24"/>
          <w:szCs w:val="24"/>
          <w:lang w:val="en-GB"/>
        </w:rPr>
        <w:t>g</w:t>
      </w:r>
      <w:r w:rsidRPr="003E77B8">
        <w:rPr>
          <w:rFonts w:ascii="Times New Roman" w:eastAsia="Times New Roman" w:hAnsi="Times New Roman" w:cs="Times New Roman"/>
          <w:sz w:val="24"/>
          <w:szCs w:val="24"/>
          <w:lang w:val="en-GB"/>
        </w:rPr>
        <w:t xml:space="preserve"> for 5 min at 4°C. Su</w:t>
      </w:r>
      <w:r w:rsidR="00FE2FEC">
        <w:rPr>
          <w:rFonts w:ascii="Times New Roman" w:eastAsia="Times New Roman" w:hAnsi="Times New Roman" w:cs="Times New Roman"/>
          <w:sz w:val="24"/>
          <w:szCs w:val="24"/>
          <w:lang w:val="en-GB"/>
        </w:rPr>
        <w:t>pernatants are centrifuged at 9</w:t>
      </w:r>
      <w:r w:rsidR="00C134E6">
        <w:rPr>
          <w:rFonts w:ascii="Times New Roman" w:eastAsia="Times New Roman" w:hAnsi="Times New Roman" w:cs="Times New Roman"/>
          <w:sz w:val="24"/>
          <w:szCs w:val="24"/>
          <w:lang w:val="en-GB"/>
        </w:rPr>
        <w:t>000</w:t>
      </w:r>
      <w:r w:rsidRPr="00C134E6">
        <w:rPr>
          <w:rFonts w:ascii="Times New Roman" w:eastAsia="Times New Roman" w:hAnsi="Times New Roman" w:cs="Times New Roman"/>
          <w:i/>
          <w:sz w:val="24"/>
          <w:szCs w:val="24"/>
          <w:lang w:val="en-GB"/>
        </w:rPr>
        <w:t>g</w:t>
      </w:r>
      <w:r w:rsidRPr="003E77B8">
        <w:rPr>
          <w:rFonts w:ascii="Times New Roman" w:eastAsia="Times New Roman" w:hAnsi="Times New Roman" w:cs="Times New Roman"/>
          <w:sz w:val="24"/>
          <w:szCs w:val="24"/>
          <w:lang w:val="en-GB"/>
        </w:rPr>
        <w:t xml:space="preserve"> for 15 min at 4°C. T</w:t>
      </w:r>
      <w:r w:rsidR="00FE2FEC">
        <w:rPr>
          <w:rFonts w:ascii="Times New Roman" w:eastAsia="Times New Roman" w:hAnsi="Times New Roman" w:cs="Times New Roman"/>
          <w:sz w:val="24"/>
          <w:szCs w:val="24"/>
          <w:lang w:val="en-GB"/>
        </w:rPr>
        <w:t>he pellet is resuspended in 1 mL</w:t>
      </w:r>
      <w:r w:rsidRPr="003E77B8">
        <w:rPr>
          <w:rFonts w:ascii="Times New Roman" w:eastAsia="Times New Roman" w:hAnsi="Times New Roman" w:cs="Times New Roman"/>
          <w:sz w:val="24"/>
          <w:szCs w:val="24"/>
          <w:lang w:val="en-GB"/>
        </w:rPr>
        <w:t xml:space="preserve"> of ice-cold buf</w:t>
      </w:r>
      <w:r w:rsidR="007C1FBD">
        <w:rPr>
          <w:rFonts w:ascii="Times New Roman" w:eastAsia="Times New Roman" w:hAnsi="Times New Roman" w:cs="Times New Roman"/>
          <w:sz w:val="24"/>
          <w:szCs w:val="24"/>
          <w:lang w:val="en-GB"/>
        </w:rPr>
        <w:t>fer and centrifuged again at 10</w:t>
      </w:r>
      <w:r w:rsidR="00C134E6">
        <w:rPr>
          <w:rFonts w:ascii="Times New Roman" w:eastAsia="Times New Roman" w:hAnsi="Times New Roman" w:cs="Times New Roman"/>
          <w:sz w:val="24"/>
          <w:szCs w:val="24"/>
          <w:lang w:val="en-GB"/>
        </w:rPr>
        <w:t>000</w:t>
      </w:r>
      <w:r w:rsidRPr="00C134E6">
        <w:rPr>
          <w:rFonts w:ascii="Times New Roman" w:eastAsia="Times New Roman" w:hAnsi="Times New Roman" w:cs="Times New Roman"/>
          <w:i/>
          <w:sz w:val="24"/>
          <w:szCs w:val="24"/>
          <w:lang w:val="en-GB"/>
        </w:rPr>
        <w:t>g</w:t>
      </w:r>
      <w:r w:rsidRPr="003E77B8">
        <w:rPr>
          <w:rFonts w:ascii="Times New Roman" w:eastAsia="Times New Roman" w:hAnsi="Times New Roman" w:cs="Times New Roman"/>
          <w:sz w:val="24"/>
          <w:szCs w:val="24"/>
          <w:lang w:val="en-GB"/>
        </w:rPr>
        <w:t xml:space="preserve"> for 15 min at 4ºC. The final mitochondria-enriched pellet is resuspended in 500-1000 µl of ice-cold buffer and used for the measurement of oxygen consumption at 37ºC. </w:t>
      </w:r>
      <w:r w:rsidR="00FE2FEC">
        <w:rPr>
          <w:rFonts w:ascii="Times New Roman" w:eastAsia="Times New Roman" w:hAnsi="Times New Roman" w:cs="Times New Roman"/>
          <w:sz w:val="24"/>
          <w:szCs w:val="24"/>
          <w:lang w:val="en-GB"/>
        </w:rPr>
        <w:t>500 µg of the isolated</w:t>
      </w:r>
      <w:r w:rsidRPr="003E77B8">
        <w:rPr>
          <w:rFonts w:ascii="Times New Roman" w:eastAsia="Times New Roman" w:hAnsi="Times New Roman" w:cs="Times New Roman"/>
          <w:sz w:val="24"/>
          <w:szCs w:val="24"/>
          <w:lang w:val="en-GB"/>
        </w:rPr>
        <w:t xml:space="preserve"> mitochondria is</w:t>
      </w:r>
      <w:r w:rsidR="007C1FBD">
        <w:rPr>
          <w:rFonts w:ascii="Times New Roman" w:eastAsia="Times New Roman" w:hAnsi="Times New Roman" w:cs="Times New Roman"/>
          <w:sz w:val="24"/>
          <w:szCs w:val="24"/>
          <w:lang w:val="en-GB"/>
        </w:rPr>
        <w:t xml:space="preserve"> brought to a final volume of 2.1 mL with respiration medium (0.</w:t>
      </w:r>
      <w:r w:rsidRPr="003E77B8">
        <w:rPr>
          <w:rFonts w:ascii="Times New Roman" w:eastAsia="Times New Roman" w:hAnsi="Times New Roman" w:cs="Times New Roman"/>
          <w:sz w:val="24"/>
          <w:szCs w:val="24"/>
          <w:lang w:val="en-GB"/>
        </w:rPr>
        <w:t>5 mM EGTA, 3 mM MgCl</w:t>
      </w:r>
      <w:r w:rsidRPr="003E77B8">
        <w:rPr>
          <w:rFonts w:ascii="Times New Roman" w:eastAsia="Times New Roman" w:hAnsi="Times New Roman" w:cs="Times New Roman"/>
          <w:sz w:val="24"/>
          <w:szCs w:val="24"/>
          <w:vertAlign w:val="subscript"/>
          <w:lang w:val="en-GB"/>
        </w:rPr>
        <w:t>2</w:t>
      </w:r>
      <w:r w:rsidRPr="003E77B8">
        <w:rPr>
          <w:rFonts w:ascii="Times New Roman" w:eastAsia="Times New Roman" w:hAnsi="Times New Roman" w:cs="Times New Roman"/>
          <w:sz w:val="24"/>
          <w:szCs w:val="24"/>
          <w:lang w:val="en-GB"/>
        </w:rPr>
        <w:t>•6H</w:t>
      </w:r>
      <w:r w:rsidRPr="007C1FBD">
        <w:rPr>
          <w:rFonts w:ascii="Times New Roman" w:eastAsia="Times New Roman" w:hAnsi="Times New Roman" w:cs="Times New Roman"/>
          <w:sz w:val="24"/>
          <w:szCs w:val="24"/>
          <w:vertAlign w:val="subscript"/>
          <w:lang w:val="en-GB"/>
        </w:rPr>
        <w:t>2</w:t>
      </w:r>
      <w:r w:rsidRPr="003E77B8">
        <w:rPr>
          <w:rFonts w:ascii="Times New Roman" w:eastAsia="Times New Roman" w:hAnsi="Times New Roman" w:cs="Times New Roman"/>
          <w:sz w:val="24"/>
          <w:szCs w:val="24"/>
          <w:lang w:val="en-GB"/>
        </w:rPr>
        <w:t>O, 20 mM taurine, 10 mM KH</w:t>
      </w:r>
      <w:r w:rsidRPr="003E77B8">
        <w:rPr>
          <w:rFonts w:ascii="Times New Roman" w:eastAsia="Times New Roman" w:hAnsi="Times New Roman" w:cs="Times New Roman"/>
          <w:sz w:val="24"/>
          <w:szCs w:val="24"/>
          <w:vertAlign w:val="subscript"/>
          <w:lang w:val="en-GB"/>
        </w:rPr>
        <w:t>2</w:t>
      </w:r>
      <w:r w:rsidRPr="003E77B8">
        <w:rPr>
          <w:rFonts w:ascii="Times New Roman" w:eastAsia="Times New Roman" w:hAnsi="Times New Roman" w:cs="Times New Roman"/>
          <w:sz w:val="24"/>
          <w:szCs w:val="24"/>
          <w:lang w:val="en-GB"/>
        </w:rPr>
        <w:t>PO</w:t>
      </w:r>
      <w:r w:rsidRPr="003E77B8">
        <w:rPr>
          <w:rFonts w:ascii="Times New Roman" w:eastAsia="Times New Roman" w:hAnsi="Times New Roman" w:cs="Times New Roman"/>
          <w:sz w:val="24"/>
          <w:szCs w:val="24"/>
          <w:vertAlign w:val="subscript"/>
          <w:lang w:val="en-GB"/>
        </w:rPr>
        <w:t>4</w:t>
      </w:r>
      <w:r w:rsidRPr="003E77B8">
        <w:rPr>
          <w:rFonts w:ascii="Times New Roman" w:eastAsia="Times New Roman" w:hAnsi="Times New Roman" w:cs="Times New Roman"/>
          <w:sz w:val="24"/>
          <w:szCs w:val="24"/>
          <w:lang w:val="en-GB"/>
        </w:rPr>
        <w:t xml:space="preserve">, 20 mM HEPES, 1 g/L BSA, 60 mM K-lactobionate, 110 mM sucrose, pH 7.1) and added into the oxygraph chamber. Resting respiration (state 4, absence of adenylates) is assessed by the addition of 10 mM glutamate and 2 mM malate as the complex I substrate supply and state 3 respiration is assessed by the addition of 2.5 mM ADP. Respiratory control ratio (RCR) is calculated as the quotient state 3/state 4. </w:t>
      </w:r>
      <w:r w:rsidRPr="003E77B8">
        <w:rPr>
          <w:rFonts w:ascii="Times New Roman" w:eastAsia="Times New Roman" w:hAnsi="Times New Roman" w:cs="Times New Roman"/>
          <w:sz w:val="24"/>
          <w:szCs w:val="24"/>
          <w:lang w:val="en-GB"/>
        </w:rPr>
        <w:lastRenderedPageBreak/>
        <w:t>The integrity of the outer mitochondrial membrane is established by the addition of 10 μM cytochrome c. The addition of 10 mM succinate provides the state 3 respiration with parallel electron input to complexes I and II. ADP control of coupled respiration and uncoupling control are examined through the addition of the protonophore carbonylcyanide-4-(trifluoromethoxy)-phenylhydrazone (FCCP) (optimum concentration for maximal flux). The O</w:t>
      </w:r>
      <w:r w:rsidRPr="00C134E6">
        <w:rPr>
          <w:rFonts w:ascii="Times New Roman" w:eastAsia="Times New Roman" w:hAnsi="Times New Roman" w:cs="Times New Roman"/>
          <w:sz w:val="24"/>
          <w:szCs w:val="24"/>
          <w:vertAlign w:val="subscript"/>
          <w:lang w:val="en-GB"/>
        </w:rPr>
        <w:t>2</w:t>
      </w:r>
      <w:r w:rsidRPr="003E77B8">
        <w:rPr>
          <w:rFonts w:ascii="Times New Roman" w:eastAsia="Times New Roman" w:hAnsi="Times New Roman" w:cs="Times New Roman"/>
          <w:sz w:val="24"/>
          <w:szCs w:val="24"/>
          <w:lang w:val="en-GB"/>
        </w:rPr>
        <w:t xml:space="preserve"> flux within complex II substrate is assessed by inhibition of complex I with 0.5 μM rotenone. Non-mitochondrial respiration is assessed by inhibiting complex III with 2.5 μM antimycin A.</w:t>
      </w:r>
    </w:p>
    <w:p w:rsidR="003E77B8" w:rsidRPr="003E77B8" w:rsidRDefault="003E77B8" w:rsidP="007A73DB">
      <w:pPr>
        <w:shd w:val="clear" w:color="auto" w:fill="FFFFFF"/>
        <w:spacing w:after="0" w:line="360" w:lineRule="auto"/>
        <w:jc w:val="both"/>
        <w:rPr>
          <w:rFonts w:ascii="Times New Roman" w:eastAsia="Times New Roman" w:hAnsi="Times New Roman" w:cs="Times New Roman"/>
          <w:i/>
          <w:sz w:val="24"/>
          <w:szCs w:val="24"/>
          <w:lang w:val="en-GB"/>
        </w:rPr>
      </w:pPr>
    </w:p>
    <w:p w:rsidR="007A73DB" w:rsidRPr="007A73DB" w:rsidRDefault="007A73DB" w:rsidP="007A73DB">
      <w:pPr>
        <w:jc w:val="both"/>
        <w:rPr>
          <w:rFonts w:ascii="Times New Roman" w:eastAsia="Times New Roman" w:hAnsi="Times New Roman" w:cs="Times New Roman"/>
          <w:color w:val="FF3300"/>
          <w:sz w:val="24"/>
          <w:szCs w:val="24"/>
          <w:lang w:val="en-GB"/>
        </w:rPr>
      </w:pPr>
    </w:p>
    <w:p w:rsidR="007A73DB" w:rsidRPr="007A73DB" w:rsidRDefault="007A73DB" w:rsidP="007A73DB">
      <w:pPr>
        <w:jc w:val="both"/>
        <w:rPr>
          <w:rFonts w:ascii="Times New Roman" w:eastAsia="Times New Roman" w:hAnsi="Times New Roman" w:cs="Times New Roman"/>
          <w:i/>
          <w:sz w:val="24"/>
          <w:szCs w:val="24"/>
          <w:shd w:val="clear" w:color="auto" w:fill="FFFFFF"/>
          <w:lang w:val="en-US"/>
        </w:rPr>
      </w:pPr>
      <w:r w:rsidRPr="007A73DB">
        <w:rPr>
          <w:rFonts w:ascii="Times New Roman" w:eastAsia="Times New Roman" w:hAnsi="Times New Roman" w:cs="Times New Roman"/>
          <w:i/>
          <w:sz w:val="24"/>
          <w:szCs w:val="24"/>
          <w:lang w:val="en-GB"/>
        </w:rPr>
        <w:t xml:space="preserve">2.2 </w:t>
      </w:r>
      <w:r w:rsidRPr="007A73DB">
        <w:rPr>
          <w:rFonts w:ascii="Times New Roman" w:eastAsia="Times New Roman" w:hAnsi="Times New Roman" w:cs="Times New Roman"/>
          <w:i/>
          <w:sz w:val="24"/>
          <w:szCs w:val="24"/>
          <w:shd w:val="clear" w:color="auto" w:fill="FFFFFF"/>
          <w:lang w:val="en-US"/>
        </w:rPr>
        <w:t>Seahorse XF Extracellular Flux Analyzer: Mito Stress Test Kit</w:t>
      </w:r>
    </w:p>
    <w:p w:rsidR="00AE45C0" w:rsidRPr="00AE45C0" w:rsidRDefault="00AE45C0" w:rsidP="007A73DB">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u w:val="single"/>
          <w:lang w:val="en-US"/>
        </w:rPr>
        <w:t>Background:</w:t>
      </w:r>
      <w:r w:rsidRPr="00AE45C0">
        <w:rPr>
          <w:rFonts w:ascii="Times New Roman" w:eastAsia="Times New Roman" w:hAnsi="Times New Roman" w:cs="Times New Roman"/>
          <w:sz w:val="24"/>
          <w:szCs w:val="24"/>
          <w:lang w:val="en-US"/>
        </w:rPr>
        <w:t xml:space="preserve"> The Seahorse XF24 and XF96 extracellular flux ana</w:t>
      </w:r>
      <w:r>
        <w:rPr>
          <w:rFonts w:ascii="Times New Roman" w:eastAsia="Times New Roman" w:hAnsi="Times New Roman" w:cs="Times New Roman"/>
          <w:sz w:val="24"/>
          <w:szCs w:val="24"/>
          <w:lang w:val="en-US"/>
        </w:rPr>
        <w:t>lyz</w:t>
      </w:r>
      <w:r w:rsidRPr="00AE45C0">
        <w:rPr>
          <w:rFonts w:ascii="Times New Roman" w:eastAsia="Times New Roman" w:hAnsi="Times New Roman" w:cs="Times New Roman"/>
          <w:sz w:val="24"/>
          <w:szCs w:val="24"/>
          <w:lang w:val="en-US"/>
        </w:rPr>
        <w:t xml:space="preserve">ers </w:t>
      </w:r>
      <w:r>
        <w:rPr>
          <w:rFonts w:ascii="Times New Roman" w:eastAsia="Times New Roman" w:hAnsi="Times New Roman" w:cs="Times New Roman"/>
          <w:sz w:val="24"/>
          <w:szCs w:val="24"/>
          <w:lang w:val="en-US"/>
        </w:rPr>
        <w:t>use</w:t>
      </w:r>
      <w:r w:rsidRPr="00AE45C0">
        <w:rPr>
          <w:rFonts w:ascii="Times New Roman" w:eastAsia="Times New Roman" w:hAnsi="Times New Roman" w:cs="Times New Roman"/>
          <w:sz w:val="24"/>
          <w:szCs w:val="24"/>
          <w:lang w:val="en-US"/>
        </w:rPr>
        <w:t xml:space="preserve"> a piston to reversibly enclose</w:t>
      </w:r>
      <w:r>
        <w:rPr>
          <w:rFonts w:ascii="Times New Roman" w:eastAsia="Times New Roman" w:hAnsi="Times New Roman" w:cs="Times New Roman"/>
          <w:sz w:val="24"/>
          <w:szCs w:val="24"/>
          <w:lang w:val="en-US"/>
        </w:rPr>
        <w:t xml:space="preserve"> a small volume (7 μl in the XF</w:t>
      </w:r>
      <w:r w:rsidRPr="00AE45C0">
        <w:rPr>
          <w:rFonts w:ascii="Times New Roman" w:eastAsia="Times New Roman" w:hAnsi="Times New Roman" w:cs="Times New Roman"/>
          <w:sz w:val="24"/>
          <w:szCs w:val="24"/>
          <w:lang w:val="en-US"/>
        </w:rPr>
        <w:t xml:space="preserve">24) above the cells, monitoring oxygen uptake in that volume for </w:t>
      </w:r>
      <w:r>
        <w:rPr>
          <w:rFonts w:ascii="Times New Roman" w:eastAsia="Times New Roman" w:hAnsi="Times New Roman" w:cs="Times New Roman"/>
          <w:sz w:val="24"/>
          <w:szCs w:val="24"/>
          <w:lang w:val="en-US"/>
        </w:rPr>
        <w:t xml:space="preserve">up to </w:t>
      </w:r>
      <w:r w:rsidRPr="00AE45C0">
        <w:rPr>
          <w:rFonts w:ascii="Times New Roman" w:eastAsia="Times New Roman" w:hAnsi="Times New Roman" w:cs="Times New Roman"/>
          <w:sz w:val="24"/>
          <w:szCs w:val="24"/>
          <w:lang w:val="en-US"/>
        </w:rPr>
        <w:t xml:space="preserve">5 min, then raising the piston, allowing </w:t>
      </w:r>
      <w:r>
        <w:rPr>
          <w:rFonts w:ascii="Times New Roman" w:eastAsia="Times New Roman" w:hAnsi="Times New Roman" w:cs="Times New Roman"/>
          <w:sz w:val="24"/>
          <w:szCs w:val="24"/>
          <w:lang w:val="en-US"/>
        </w:rPr>
        <w:t xml:space="preserve">up to four injections of substrates and/or uncouplers through the ports </w:t>
      </w:r>
      <w:r w:rsidRPr="00AE45C0">
        <w:rPr>
          <w:rFonts w:ascii="Times New Roman" w:eastAsia="Times New Roman" w:hAnsi="Times New Roman" w:cs="Times New Roman"/>
          <w:sz w:val="24"/>
          <w:szCs w:val="24"/>
          <w:lang w:val="en-US"/>
        </w:rPr>
        <w:t>during the experiment</w:t>
      </w:r>
      <w:r>
        <w:rPr>
          <w:rFonts w:ascii="Times New Roman" w:eastAsia="Times New Roman" w:hAnsi="Times New Roman" w:cs="Times New Roman"/>
          <w:sz w:val="24"/>
          <w:szCs w:val="24"/>
          <w:lang w:val="en-US"/>
        </w:rPr>
        <w:t>.</w:t>
      </w:r>
      <w:r w:rsidRPr="00AE45C0">
        <w:rPr>
          <w:rFonts w:ascii="Times New Roman" w:eastAsia="Times New Roman" w:hAnsi="Times New Roman" w:cs="Times New Roman"/>
          <w:sz w:val="24"/>
          <w:szCs w:val="24"/>
          <w:lang w:val="en-US"/>
        </w:rPr>
        <w:t xml:space="preserve"> </w:t>
      </w:r>
      <w:r w:rsidR="001852C1">
        <w:rPr>
          <w:rFonts w:ascii="Times New Roman" w:eastAsia="Times New Roman" w:hAnsi="Times New Roman" w:cs="Times New Roman"/>
          <w:sz w:val="24"/>
          <w:szCs w:val="24"/>
          <w:lang w:val="en-US"/>
        </w:rPr>
        <w:t>When running the protocol of the Mito Stress Test Kit, three of the four ports are occupied by the inhibitors of the ETC, allowing only one additional injection, which is a limitation of this system.</w:t>
      </w:r>
    </w:p>
    <w:p w:rsidR="006D21C5" w:rsidRDefault="007A73DB" w:rsidP="007A73DB">
      <w:pPr>
        <w:spacing w:after="0" w:line="360" w:lineRule="auto"/>
        <w:jc w:val="both"/>
        <w:rPr>
          <w:rFonts w:ascii="Times New Roman" w:hAnsi="Times New Roman" w:cs="Times New Roman"/>
          <w:sz w:val="24"/>
          <w:szCs w:val="24"/>
          <w:lang w:val="en-GB"/>
        </w:rPr>
      </w:pPr>
      <w:r w:rsidRPr="007A73DB">
        <w:rPr>
          <w:rFonts w:ascii="Times New Roman" w:eastAsia="Times New Roman" w:hAnsi="Times New Roman" w:cs="Times New Roman"/>
          <w:sz w:val="24"/>
          <w:szCs w:val="24"/>
          <w:u w:val="single"/>
          <w:lang w:val="en-US"/>
        </w:rPr>
        <w:t>Procedure:</w:t>
      </w:r>
      <w:r w:rsidRPr="007A73DB">
        <w:rPr>
          <w:rFonts w:ascii="Times New Roman" w:eastAsia="Times New Roman" w:hAnsi="Times New Roman" w:cs="Times New Roman"/>
          <w:sz w:val="24"/>
          <w:szCs w:val="24"/>
          <w:lang w:val="en-US"/>
        </w:rPr>
        <w:t xml:space="preserve"> The following protocol is adapted to </w:t>
      </w:r>
      <w:r w:rsidR="008D3AC4">
        <w:rPr>
          <w:rFonts w:ascii="Times New Roman" w:eastAsia="Times New Roman" w:hAnsi="Times New Roman" w:cs="Times New Roman"/>
          <w:sz w:val="24"/>
          <w:szCs w:val="24"/>
          <w:lang w:val="en-US"/>
        </w:rPr>
        <w:t>peripheral blood leukocytes</w:t>
      </w:r>
      <w:r w:rsidRPr="007A73DB">
        <w:rPr>
          <w:rFonts w:ascii="Times New Roman" w:eastAsia="Times New Roman" w:hAnsi="Times New Roman" w:cs="Times New Roman"/>
          <w:sz w:val="24"/>
          <w:szCs w:val="24"/>
          <w:lang w:val="en-US"/>
        </w:rPr>
        <w:t xml:space="preserve"> and the Seahorse XFe24 Analyzer. The day prior to assay, the Seahorse cell culture microplates should be precoated in order to immobilize non-adherent cells during the assay. In case of human peripheral mononuclear cells, poly-L-lysine 0.01% solution can be used. After isolation, between 500000 and 700000 cells in a volume of 100 μl of assay medium (containing XF DMDM medium pH 7.4, 10 mM glucose, 1 mM sodium pyruvate and 2 mM L-glutamine) are seeded into each well. The Seahorse cell culture microplate is </w:t>
      </w:r>
      <w:r w:rsidR="00D26211">
        <w:rPr>
          <w:rFonts w:ascii="Times New Roman" w:eastAsia="Times New Roman" w:hAnsi="Times New Roman" w:cs="Times New Roman"/>
          <w:sz w:val="24"/>
          <w:szCs w:val="24"/>
          <w:lang w:val="en-US"/>
        </w:rPr>
        <w:t>centrifuged at 200</w:t>
      </w:r>
      <w:r w:rsidRPr="00D26211">
        <w:rPr>
          <w:rFonts w:ascii="Times New Roman" w:eastAsia="Times New Roman" w:hAnsi="Times New Roman" w:cs="Times New Roman"/>
          <w:i/>
          <w:sz w:val="24"/>
          <w:szCs w:val="24"/>
          <w:lang w:val="en-US"/>
        </w:rPr>
        <w:t>g</w:t>
      </w:r>
      <w:r w:rsidRPr="007A73DB">
        <w:rPr>
          <w:rFonts w:ascii="Times New Roman" w:eastAsia="Times New Roman" w:hAnsi="Times New Roman" w:cs="Times New Roman"/>
          <w:sz w:val="24"/>
          <w:szCs w:val="24"/>
          <w:lang w:val="en-US"/>
        </w:rPr>
        <w:t xml:space="preserve"> (zero braking) for 1 min and transferred into a 37</w:t>
      </w:r>
      <w:r w:rsidRPr="007A73DB">
        <w:rPr>
          <w:rFonts w:ascii="Times New Roman" w:eastAsia="Times New Roman" w:hAnsi="Times New Roman" w:cs="Times New Roman"/>
          <w:sz w:val="24"/>
          <w:szCs w:val="24"/>
          <w:lang w:val="en-GB"/>
        </w:rPr>
        <w:t>ºC incubator not supplemented with CO</w:t>
      </w:r>
      <w:r w:rsidRPr="007A73DB">
        <w:rPr>
          <w:rFonts w:ascii="Times New Roman" w:eastAsia="Times New Roman" w:hAnsi="Times New Roman" w:cs="Times New Roman"/>
          <w:sz w:val="24"/>
          <w:szCs w:val="24"/>
          <w:vertAlign w:val="subscript"/>
          <w:lang w:val="en-GB"/>
        </w:rPr>
        <w:t xml:space="preserve">2 </w:t>
      </w:r>
      <w:r w:rsidRPr="007A73DB">
        <w:rPr>
          <w:rFonts w:ascii="Times New Roman" w:eastAsia="Times New Roman" w:hAnsi="Times New Roman" w:cs="Times New Roman"/>
          <w:sz w:val="24"/>
          <w:szCs w:val="24"/>
          <w:lang w:val="en-GB"/>
        </w:rPr>
        <w:t xml:space="preserve">for 25 minutes. 400 </w:t>
      </w:r>
      <w:r w:rsidRPr="007A73DB">
        <w:rPr>
          <w:rFonts w:ascii="Times New Roman" w:eastAsia="Times New Roman" w:hAnsi="Times New Roman" w:cs="Times New Roman"/>
          <w:sz w:val="24"/>
          <w:szCs w:val="24"/>
          <w:lang w:val="en-US"/>
        </w:rPr>
        <w:t>μl of assay medium is added to each well, followed by another incubation at 37</w:t>
      </w:r>
      <w:r w:rsidRPr="007A73DB">
        <w:rPr>
          <w:rFonts w:ascii="Times New Roman" w:eastAsia="Times New Roman" w:hAnsi="Times New Roman" w:cs="Times New Roman"/>
          <w:sz w:val="24"/>
          <w:szCs w:val="24"/>
          <w:lang w:val="en-GB"/>
        </w:rPr>
        <w:t>ºC without CO</w:t>
      </w:r>
      <w:r w:rsidRPr="007A73DB">
        <w:rPr>
          <w:rFonts w:ascii="Times New Roman" w:eastAsia="Times New Roman" w:hAnsi="Times New Roman" w:cs="Times New Roman"/>
          <w:sz w:val="24"/>
          <w:szCs w:val="24"/>
          <w:vertAlign w:val="subscript"/>
          <w:lang w:val="en-GB"/>
        </w:rPr>
        <w:t xml:space="preserve">2 </w:t>
      </w:r>
      <w:r w:rsidRPr="007A73DB">
        <w:rPr>
          <w:rFonts w:ascii="Times New Roman" w:eastAsia="Times New Roman" w:hAnsi="Times New Roman" w:cs="Times New Roman"/>
          <w:sz w:val="24"/>
          <w:szCs w:val="24"/>
          <w:lang w:val="en-GB"/>
        </w:rPr>
        <w:t>for 25 minutes before loading the Seahorse cell culture microplate into the Seahorse XFe24 Analyzer following the manufacturer’s Mito Stress Test protocol. For hydrating the sensor cartridge and loading the inhibitors into the ports (oligomyin, FCCP, rotenone/antimycin A), we refer to the Agilent Seahorse XF Cell Mito Stress Test Kit User Guide (Kit103015-100).</w:t>
      </w:r>
    </w:p>
    <w:p w:rsidR="007A73DB" w:rsidRDefault="007A73DB">
      <w:pPr>
        <w:rPr>
          <w:rFonts w:ascii="Times New Roman" w:hAnsi="Times New Roman" w:cs="Times New Roman"/>
          <w:sz w:val="24"/>
          <w:szCs w:val="24"/>
          <w:lang w:val="en-GB"/>
        </w:rPr>
      </w:pPr>
    </w:p>
    <w:p w:rsidR="007C1FBD" w:rsidRDefault="007C1FBD">
      <w:pPr>
        <w:rPr>
          <w:rFonts w:ascii="Times New Roman" w:hAnsi="Times New Roman" w:cs="Times New Roman"/>
          <w:sz w:val="24"/>
          <w:szCs w:val="24"/>
          <w:lang w:val="en-GB"/>
        </w:rPr>
      </w:pPr>
    </w:p>
    <w:tbl>
      <w:tblPr>
        <w:tblpPr w:rightFromText="181" w:vertAnchor="page" w:horzAnchor="margin" w:tblpY="2361"/>
        <w:tblW w:w="9648" w:type="dxa"/>
        <w:tblLook w:val="04A0" w:firstRow="1" w:lastRow="0" w:firstColumn="1" w:lastColumn="0" w:noHBand="0" w:noVBand="1"/>
      </w:tblPr>
      <w:tblGrid>
        <w:gridCol w:w="3438"/>
        <w:gridCol w:w="2790"/>
        <w:gridCol w:w="3420"/>
      </w:tblGrid>
      <w:tr w:rsidR="005534D7" w:rsidRPr="00D204E2" w:rsidDel="00863EBA" w:rsidTr="005534D7">
        <w:trPr>
          <w:trHeight w:val="288"/>
        </w:trPr>
        <w:tc>
          <w:tcPr>
            <w:tcW w:w="3438" w:type="dxa"/>
            <w:shd w:val="clear" w:color="auto" w:fill="auto"/>
            <w:noWrap/>
            <w:vAlign w:val="center"/>
            <w:hideMark/>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b/>
                <w:color w:val="000000" w:themeColor="text1"/>
                <w:sz w:val="24"/>
                <w:szCs w:val="24"/>
              </w:rPr>
              <w:t>Poly- and oligosaccharides</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b/>
                <w:color w:val="000000" w:themeColor="text1"/>
                <w:sz w:val="24"/>
                <w:szCs w:val="24"/>
              </w:rPr>
              <w:t>Sugar derivative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b/>
                <w:color w:val="000000" w:themeColor="text1"/>
                <w:sz w:val="24"/>
                <w:szCs w:val="24"/>
              </w:rPr>
              <w:t>Ketone bodies</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Cyclodextrin</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color w:val="000000" w:themeColor="text1"/>
                <w:sz w:val="24"/>
                <w:szCs w:val="24"/>
              </w:rPr>
              <w:t>α-Methylglucoside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Acetoacetate</w:t>
            </w:r>
          </w:p>
        </w:tc>
      </w:tr>
      <w:tr w:rsidR="005534D7" w:rsidRPr="00D204E2" w:rsidDel="00863EBA" w:rsidTr="005534D7">
        <w:trPr>
          <w:trHeight w:val="288"/>
        </w:trPr>
        <w:tc>
          <w:tcPr>
            <w:tcW w:w="3438" w:type="dxa"/>
            <w:shd w:val="clear" w:color="auto" w:fill="auto"/>
            <w:noWrap/>
            <w:vAlign w:val="center"/>
            <w:hideMark/>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Dextrin</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β-Methylglucoside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β-Hydroxybutyrate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Glycogen</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Salicin</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b/>
                <w:color w:val="000000" w:themeColor="text1"/>
                <w:sz w:val="24"/>
                <w:szCs w:val="24"/>
              </w:rPr>
              <w:t>Nucleosides</w:t>
            </w:r>
          </w:p>
        </w:tc>
      </w:tr>
      <w:tr w:rsidR="005534D7" w:rsidRPr="00D204E2" w:rsidDel="00863EBA" w:rsidTr="005534D7">
        <w:trPr>
          <w:trHeight w:val="288"/>
        </w:trPr>
        <w:tc>
          <w:tcPr>
            <w:tcW w:w="3438" w:type="dxa"/>
            <w:shd w:val="clear" w:color="auto" w:fill="auto"/>
            <w:noWrap/>
            <w:vAlign w:val="center"/>
            <w:hideMark/>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Maltotriose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N-Acetylglucosamine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Thymidine</w:t>
            </w:r>
          </w:p>
        </w:tc>
      </w:tr>
      <w:tr w:rsidR="005534D7" w:rsidRPr="00D204E2" w:rsidDel="00863EBA" w:rsidTr="005534D7">
        <w:trPr>
          <w:trHeight w:val="288"/>
        </w:trPr>
        <w:tc>
          <w:tcPr>
            <w:tcW w:w="3438" w:type="dxa"/>
            <w:shd w:val="clear" w:color="auto" w:fill="auto"/>
            <w:noWrap/>
            <w:vAlign w:val="center"/>
            <w:hideMark/>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Mannan</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α-Methylmannoside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Uridine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Melezitose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N-Acetylmannosamine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Adenosine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Stachyose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L-Arabinose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Inosine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Raffinose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D-Arabinose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b/>
                <w:color w:val="000000" w:themeColor="text1"/>
                <w:sz w:val="24"/>
                <w:szCs w:val="24"/>
              </w:rPr>
              <w:t>Amino acid metabolism</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Pectin</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Lactulose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γ-Aminobutyric acid</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b/>
                <w:color w:val="000000" w:themeColor="text1"/>
                <w:sz w:val="24"/>
                <w:szCs w:val="24"/>
              </w:rPr>
              <w:t>Disaccharides</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b/>
                <w:color w:val="000000" w:themeColor="text1"/>
                <w:sz w:val="24"/>
                <w:szCs w:val="24"/>
              </w:rPr>
              <w:t>Sugar alcohol</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α-Ketobutyrate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Maltose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Maltitol</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α-Hydroxybutyrate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Trehalose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D-Sorbitol</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γ-Hydroxybutyrate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Gentiobiose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color w:val="000000" w:themeColor="text1"/>
                <w:sz w:val="24"/>
                <w:szCs w:val="24"/>
              </w:rPr>
              <w:t>D-Mannitol</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b/>
                <w:color w:val="000000" w:themeColor="text1"/>
                <w:sz w:val="24"/>
                <w:szCs w:val="24"/>
              </w:rPr>
              <w:t>Fatty acids</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Sucrose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Adonitol</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Butyric acid</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Turanose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Xylitol</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Propionic acid</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Lactose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myo-Inositol</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Acetic acid</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b/>
                <w:color w:val="000000" w:themeColor="text1"/>
                <w:sz w:val="24"/>
                <w:szCs w:val="24"/>
              </w:rPr>
              <w:t>Monosaccharides</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Erythritol</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color w:val="000000" w:themeColor="text1"/>
                <w:sz w:val="24"/>
                <w:szCs w:val="24"/>
              </w:rPr>
              <w:t>Hexanoic acid</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L-Glucose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Lactitol</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b/>
                <w:color w:val="000000" w:themeColor="text1"/>
                <w:sz w:val="24"/>
                <w:szCs w:val="24"/>
              </w:rPr>
              <w:t>Alcohols</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D-Glucose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b/>
                <w:color w:val="000000" w:themeColor="text1"/>
                <w:sz w:val="24"/>
                <w:szCs w:val="24"/>
              </w:rPr>
              <w:t>Sugar acid</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1,2-Propanediol</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D-Mannose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D-Glucosaminic acid</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Ethanolamine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D-Tagatose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D-Glucuronic acid</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Glycerol</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L-Sorbose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N-Acetylneuraminic acid</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2,3-Butanediol</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L-Rhamnose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b/>
                <w:color w:val="000000" w:themeColor="text1"/>
                <w:sz w:val="24"/>
                <w:szCs w:val="24"/>
              </w:rPr>
              <w:t>Organic acid</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color w:val="000000" w:themeColor="text1"/>
                <w:sz w:val="24"/>
                <w:szCs w:val="24"/>
              </w:rPr>
              <w:t>3-Hydroxy-2-butanone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L-Fucose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Citrate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b/>
                <w:color w:val="000000" w:themeColor="text1"/>
                <w:sz w:val="24"/>
                <w:szCs w:val="24"/>
              </w:rPr>
              <w:t>G3P shuttle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D-Fucose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color w:val="000000" w:themeColor="text1"/>
                <w:sz w:val="24"/>
                <w:szCs w:val="24"/>
              </w:rPr>
              <w:t>Lactate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color w:val="000000" w:themeColor="text1"/>
                <w:sz w:val="24"/>
                <w:szCs w:val="24"/>
              </w:rPr>
              <w:t>sn-Glycerol 3-phosphate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D-Fructose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Methylpyruvate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Others</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D-Galactose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Pyruvate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hAnsi="Times New Roman" w:cs="Times New Roman"/>
                <w:color w:val="000000" w:themeColor="text1"/>
                <w:sz w:val="24"/>
                <w:szCs w:val="24"/>
              </w:rPr>
              <w:t>D-Cellobiose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Sedoheptulosan</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color w:val="000000" w:themeColor="text1"/>
                <w:sz w:val="24"/>
                <w:szCs w:val="24"/>
              </w:rPr>
              <w:t>α-Ketoglutarate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3-Methylglucose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b/>
                <w:color w:val="000000" w:themeColor="text1"/>
                <w:sz w:val="24"/>
                <w:szCs w:val="24"/>
              </w:rPr>
              <w:t>Monosaccharide ester</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Succinate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Palatinose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D-Glucose 6-phosphate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Monomethylsuccinate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Melibionic acid</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D-Glucose 1-Phosphate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L-Malate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D-Melibiose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D-Fructose 6-phosphate</w:t>
            </w: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D-Malate</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α-Methyl-D-galactoside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r w:rsidRPr="00D204E2" w:rsidDel="00863EBA">
              <w:rPr>
                <w:rFonts w:ascii="Times New Roman" w:eastAsia="Times New Roman" w:hAnsi="Times New Roman" w:cs="Times New Roman"/>
                <w:color w:val="000000" w:themeColor="text1"/>
                <w:sz w:val="24"/>
                <w:szCs w:val="24"/>
              </w:rPr>
              <w:t>meso-Tartaric acid</w:t>
            </w: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β-Methyl-D-galactoside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β-Methyl-D-Xyloside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Methyl-D-lactate</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Succinamic acid</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Chondroitin sulfate C</w:t>
            </w:r>
          </w:p>
        </w:tc>
      </w:tr>
      <w:tr w:rsidR="005534D7" w:rsidRPr="00D204E2" w:rsidDel="00863EBA" w:rsidTr="005534D7">
        <w:trPr>
          <w:trHeight w:val="288"/>
        </w:trPr>
        <w:tc>
          <w:tcPr>
            <w:tcW w:w="3438" w:type="dxa"/>
            <w:shd w:val="clear" w:color="auto" w:fill="auto"/>
            <w:noWrap/>
            <w:vAlign w:val="center"/>
          </w:tcPr>
          <w:p w:rsidR="005534D7" w:rsidRPr="00D204E2" w:rsidDel="00863EBA" w:rsidRDefault="005534D7" w:rsidP="005534D7">
            <w:pPr>
              <w:spacing w:after="0" w:line="240" w:lineRule="auto"/>
              <w:rPr>
                <w:rFonts w:ascii="Times New Roman" w:eastAsia="Times New Roman" w:hAnsi="Times New Roman" w:cs="Times New Roman"/>
                <w:b/>
                <w:color w:val="000000" w:themeColor="text1"/>
                <w:sz w:val="24"/>
                <w:szCs w:val="24"/>
              </w:rPr>
            </w:pPr>
          </w:p>
        </w:tc>
        <w:tc>
          <w:tcPr>
            <w:tcW w:w="279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p>
        </w:tc>
        <w:tc>
          <w:tcPr>
            <w:tcW w:w="3420" w:type="dxa"/>
            <w:vAlign w:val="center"/>
          </w:tcPr>
          <w:p w:rsidR="005534D7" w:rsidRPr="00D204E2" w:rsidDel="00863EBA" w:rsidRDefault="005534D7" w:rsidP="005534D7">
            <w:pPr>
              <w:spacing w:after="0" w:line="240" w:lineRule="auto"/>
              <w:rPr>
                <w:rFonts w:ascii="Times New Roman" w:eastAsia="Times New Roman" w:hAnsi="Times New Roman" w:cs="Times New Roman"/>
                <w:color w:val="000000" w:themeColor="text1"/>
                <w:sz w:val="24"/>
                <w:szCs w:val="24"/>
              </w:rPr>
            </w:pPr>
            <w:r w:rsidRPr="00D204E2" w:rsidDel="00863EBA">
              <w:rPr>
                <w:rFonts w:ascii="Times New Roman" w:eastAsia="Times New Roman" w:hAnsi="Times New Roman" w:cs="Times New Roman"/>
                <w:color w:val="000000" w:themeColor="text1"/>
                <w:sz w:val="24"/>
                <w:szCs w:val="24"/>
              </w:rPr>
              <w:t>Tricarballylic acid</w:t>
            </w:r>
          </w:p>
        </w:tc>
      </w:tr>
    </w:tbl>
    <w:p w:rsidR="001852C1" w:rsidRPr="00D204E2" w:rsidRDefault="001852C1" w:rsidP="001852C1">
      <w:pPr>
        <w:spacing w:after="0"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Table S1</w:t>
      </w:r>
      <w:r w:rsidRPr="00D204E2">
        <w:rPr>
          <w:rFonts w:ascii="Times New Roman" w:hAnsi="Times New Roman" w:cs="Times New Roman"/>
          <w:b/>
          <w:color w:val="000000" w:themeColor="text1"/>
          <w:sz w:val="24"/>
          <w:szCs w:val="24"/>
          <w:lang w:val="en-US"/>
        </w:rPr>
        <w:t xml:space="preserve">: </w:t>
      </w:r>
      <w:r w:rsidRPr="00D204E2">
        <w:rPr>
          <w:rFonts w:ascii="Times New Roman" w:hAnsi="Times New Roman" w:cs="Times New Roman"/>
          <w:color w:val="000000" w:themeColor="text1"/>
          <w:sz w:val="24"/>
          <w:szCs w:val="24"/>
          <w:lang w:val="en-US"/>
        </w:rPr>
        <w:t>Substrates tested in the whole cell flux assay (PM-M1).</w:t>
      </w:r>
    </w:p>
    <w:p w:rsidR="007A73DB" w:rsidRPr="001852C1" w:rsidRDefault="007A73DB">
      <w:pPr>
        <w:rPr>
          <w:rFonts w:ascii="Times New Roman" w:hAnsi="Times New Roman" w:cs="Times New Roman"/>
          <w:sz w:val="24"/>
          <w:szCs w:val="24"/>
          <w:lang w:val="en-US"/>
        </w:rPr>
      </w:pPr>
    </w:p>
    <w:p w:rsidR="007A73DB" w:rsidRDefault="007A73DB">
      <w:pPr>
        <w:rPr>
          <w:rFonts w:ascii="Times New Roman" w:hAnsi="Times New Roman" w:cs="Times New Roman"/>
          <w:sz w:val="24"/>
          <w:szCs w:val="24"/>
          <w:lang w:val="en-GB"/>
        </w:rPr>
      </w:pPr>
    </w:p>
    <w:p w:rsidR="00A57829" w:rsidRDefault="00A57829">
      <w:pPr>
        <w:rPr>
          <w:rFonts w:ascii="Times New Roman" w:hAnsi="Times New Roman" w:cs="Times New Roman"/>
          <w:sz w:val="24"/>
          <w:szCs w:val="24"/>
          <w:lang w:val="en-GB"/>
        </w:rPr>
      </w:pPr>
    </w:p>
    <w:p w:rsidR="007A73DB" w:rsidRDefault="007A73DB">
      <w:pPr>
        <w:rPr>
          <w:rFonts w:ascii="Times New Roman" w:hAnsi="Times New Roman" w:cs="Times New Roman"/>
          <w:sz w:val="24"/>
          <w:szCs w:val="24"/>
          <w:lang w:val="en-GB"/>
        </w:rPr>
      </w:pPr>
    </w:p>
    <w:p w:rsidR="00E72DA8" w:rsidRPr="00D204E2" w:rsidRDefault="00E72DA8" w:rsidP="00E72DA8">
      <w:pPr>
        <w:rPr>
          <w:rFonts w:ascii="Times New Roman" w:hAnsi="Times New Roman" w:cs="Times New Roman"/>
          <w:b/>
          <w:color w:val="000000" w:themeColor="text1"/>
          <w:sz w:val="24"/>
          <w:szCs w:val="24"/>
          <w:lang w:val="en-US"/>
        </w:rPr>
      </w:pPr>
      <w:r w:rsidRPr="00D204E2">
        <w:rPr>
          <w:rFonts w:ascii="Times New Roman" w:hAnsi="Times New Roman" w:cs="Times New Roman"/>
          <w:b/>
          <w:color w:val="000000" w:themeColor="text1"/>
          <w:sz w:val="24"/>
          <w:szCs w:val="24"/>
          <w:lang w:val="en-US"/>
        </w:rPr>
        <w:lastRenderedPageBreak/>
        <w:t>Table S</w:t>
      </w:r>
      <w:r>
        <w:rPr>
          <w:rFonts w:ascii="Times New Roman" w:hAnsi="Times New Roman" w:cs="Times New Roman"/>
          <w:b/>
          <w:color w:val="000000" w:themeColor="text1"/>
          <w:sz w:val="24"/>
          <w:szCs w:val="24"/>
          <w:lang w:val="en-US"/>
        </w:rPr>
        <w:t>2</w:t>
      </w:r>
      <w:r w:rsidRPr="00D204E2">
        <w:rPr>
          <w:rFonts w:ascii="Times New Roman" w:hAnsi="Times New Roman" w:cs="Times New Roman"/>
          <w:b/>
          <w:color w:val="000000" w:themeColor="text1"/>
          <w:sz w:val="24"/>
          <w:szCs w:val="24"/>
          <w:lang w:val="en-US"/>
        </w:rPr>
        <w:t xml:space="preserve">: </w:t>
      </w:r>
      <w:r w:rsidRPr="00D204E2">
        <w:rPr>
          <w:rFonts w:ascii="Times New Roman" w:hAnsi="Times New Roman" w:cs="Times New Roman"/>
          <w:color w:val="000000" w:themeColor="text1"/>
          <w:sz w:val="24"/>
          <w:szCs w:val="24"/>
          <w:lang w:val="en-US"/>
        </w:rPr>
        <w:t>Substrates tested by the mitochondrial function assay (MitoPlate S-1).</w:t>
      </w:r>
    </w:p>
    <w:tbl>
      <w:tblPr>
        <w:tblStyle w:val="Tablaconcuadrcula"/>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2970"/>
        <w:gridCol w:w="3240"/>
      </w:tblGrid>
      <w:tr w:rsidR="00E72DA8" w:rsidRPr="00D204E2" w:rsidTr="00A939FC">
        <w:trPr>
          <w:trHeight w:val="317"/>
        </w:trPr>
        <w:tc>
          <w:tcPr>
            <w:tcW w:w="3618" w:type="dxa"/>
          </w:tcPr>
          <w:p w:rsidR="00E72DA8" w:rsidRPr="00D204E2" w:rsidRDefault="00E72DA8" w:rsidP="00A939FC">
            <w:pPr>
              <w:rPr>
                <w:rFonts w:ascii="Times New Roman" w:hAnsi="Times New Roman" w:cs="Times New Roman"/>
                <w:b/>
                <w:color w:val="000000" w:themeColor="text1"/>
                <w:sz w:val="24"/>
                <w:szCs w:val="24"/>
              </w:rPr>
            </w:pPr>
            <w:r w:rsidRPr="00D204E2">
              <w:rPr>
                <w:rFonts w:ascii="Times New Roman" w:hAnsi="Times New Roman" w:cs="Times New Roman"/>
                <w:b/>
                <w:color w:val="000000" w:themeColor="text1"/>
                <w:sz w:val="24"/>
                <w:szCs w:val="24"/>
              </w:rPr>
              <w:t>TCA intermediates/substrates</w:t>
            </w:r>
          </w:p>
        </w:tc>
        <w:tc>
          <w:tcPr>
            <w:tcW w:w="2970" w:type="dxa"/>
          </w:tcPr>
          <w:p w:rsidR="00E72DA8" w:rsidRPr="00D204E2" w:rsidRDefault="00E72DA8" w:rsidP="00A939FC">
            <w:pPr>
              <w:rPr>
                <w:rFonts w:ascii="Times New Roman" w:hAnsi="Times New Roman" w:cs="Times New Roman"/>
                <w:b/>
                <w:color w:val="000000" w:themeColor="text1"/>
                <w:sz w:val="24"/>
                <w:szCs w:val="24"/>
              </w:rPr>
            </w:pPr>
            <w:r w:rsidRPr="00D204E2">
              <w:rPr>
                <w:rFonts w:ascii="Times New Roman" w:hAnsi="Times New Roman" w:cs="Times New Roman"/>
                <w:b/>
                <w:color w:val="000000" w:themeColor="text1"/>
                <w:sz w:val="24"/>
                <w:szCs w:val="24"/>
              </w:rPr>
              <w:t>Amino acid metabolism</w:t>
            </w:r>
          </w:p>
        </w:tc>
        <w:tc>
          <w:tcPr>
            <w:tcW w:w="3240" w:type="dxa"/>
          </w:tcPr>
          <w:p w:rsidR="00E72DA8" w:rsidRPr="00D204E2" w:rsidRDefault="00E72DA8" w:rsidP="00A939FC">
            <w:pPr>
              <w:rPr>
                <w:rFonts w:ascii="Times New Roman" w:hAnsi="Times New Roman" w:cs="Times New Roman"/>
                <w:b/>
                <w:color w:val="000000" w:themeColor="text1"/>
                <w:sz w:val="24"/>
                <w:szCs w:val="24"/>
              </w:rPr>
            </w:pPr>
            <w:r w:rsidRPr="00D204E2">
              <w:rPr>
                <w:rFonts w:ascii="Times New Roman" w:hAnsi="Times New Roman" w:cs="Times New Roman"/>
                <w:b/>
                <w:color w:val="000000" w:themeColor="text1"/>
                <w:sz w:val="24"/>
                <w:szCs w:val="24"/>
              </w:rPr>
              <w:t>Ketone body</w:t>
            </w: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Pyruvate*</w:t>
            </w: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α-Ketobutyrate</w:t>
            </w:r>
          </w:p>
        </w:tc>
        <w:tc>
          <w:tcPr>
            <w:tcW w:w="324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β-Hydroxybutyrate</w:t>
            </w: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Pyruvate</w:t>
            </w: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L-Glutamine</w:t>
            </w:r>
          </w:p>
        </w:tc>
        <w:tc>
          <w:tcPr>
            <w:tcW w:w="324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b/>
                <w:color w:val="000000" w:themeColor="text1"/>
                <w:sz w:val="24"/>
                <w:szCs w:val="24"/>
              </w:rPr>
              <w:t>Others</w:t>
            </w: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Citrate</w:t>
            </w: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L-Glutamate</w:t>
            </w:r>
          </w:p>
        </w:tc>
        <w:tc>
          <w:tcPr>
            <w:tcW w:w="324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Sparker malate control</w:t>
            </w: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cis-Aconitate</w:t>
            </w: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L-Serine</w:t>
            </w:r>
          </w:p>
        </w:tc>
        <w:tc>
          <w:tcPr>
            <w:tcW w:w="324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D-Glucose</w:t>
            </w: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Isocitrate</w:t>
            </w: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L-Ornithine</w:t>
            </w:r>
          </w:p>
        </w:tc>
        <w:tc>
          <w:tcPr>
            <w:tcW w:w="324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Glycogen</w:t>
            </w: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α-Ketoglutarate</w:t>
            </w: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Tryptamine</w:t>
            </w:r>
          </w:p>
        </w:tc>
        <w:tc>
          <w:tcPr>
            <w:tcW w:w="324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D-Glucose 1-phosphate</w:t>
            </w: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Succinate</w:t>
            </w: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L-Leucine*</w:t>
            </w:r>
          </w:p>
        </w:tc>
        <w:tc>
          <w:tcPr>
            <w:tcW w:w="324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D-Glucose 6-phosphate</w:t>
            </w: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Fumarate</w:t>
            </w: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γ-Aminobutyric acid*</w:t>
            </w:r>
          </w:p>
        </w:tc>
        <w:tc>
          <w:tcPr>
            <w:tcW w:w="3240" w:type="dxa"/>
          </w:tcPr>
          <w:p w:rsidR="00E72DA8" w:rsidRPr="00D204E2" w:rsidRDefault="00E72DA8" w:rsidP="00A939FC">
            <w:pPr>
              <w:rPr>
                <w:rFonts w:ascii="Times New Roman" w:hAnsi="Times New Roman" w:cs="Times New Roman"/>
                <w:b/>
                <w:color w:val="000000" w:themeColor="text1"/>
                <w:sz w:val="24"/>
                <w:szCs w:val="24"/>
              </w:rPr>
            </w:pPr>
            <w:r w:rsidRPr="00D204E2">
              <w:rPr>
                <w:rFonts w:ascii="Times New Roman" w:hAnsi="Times New Roman" w:cs="Times New Roman"/>
                <w:color w:val="000000" w:themeColor="text1"/>
                <w:sz w:val="24"/>
                <w:szCs w:val="24"/>
              </w:rPr>
              <w:t>6-Phospho-D-gluconate</w:t>
            </w: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b/>
                <w:color w:val="000000" w:themeColor="text1"/>
                <w:sz w:val="24"/>
                <w:szCs w:val="24"/>
              </w:rPr>
            </w:pPr>
            <w:r w:rsidRPr="00D204E2">
              <w:rPr>
                <w:rFonts w:ascii="Times New Roman" w:hAnsi="Times New Roman" w:cs="Times New Roman"/>
                <w:color w:val="000000" w:themeColor="text1"/>
                <w:sz w:val="24"/>
                <w:szCs w:val="24"/>
              </w:rPr>
              <w:t>Malate</w:t>
            </w: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α-Ketoisocaproic acid*</w:t>
            </w:r>
          </w:p>
        </w:tc>
        <w:tc>
          <w:tcPr>
            <w:tcW w:w="324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Lactate</w:t>
            </w: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b/>
                <w:color w:val="000000" w:themeColor="text1"/>
                <w:sz w:val="24"/>
                <w:szCs w:val="24"/>
              </w:rPr>
              <w:t>G3P shuttle</w:t>
            </w: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Ala-Gln</w:t>
            </w:r>
          </w:p>
        </w:tc>
        <w:tc>
          <w:tcPr>
            <w:tcW w:w="3240" w:type="dxa"/>
          </w:tcPr>
          <w:p w:rsidR="00E72DA8" w:rsidRPr="00D204E2" w:rsidRDefault="00E72DA8" w:rsidP="00A939FC">
            <w:pPr>
              <w:rPr>
                <w:rFonts w:ascii="Times New Roman" w:hAnsi="Times New Roman" w:cs="Times New Roman"/>
                <w:color w:val="000000" w:themeColor="text1"/>
                <w:sz w:val="24"/>
                <w:szCs w:val="24"/>
              </w:rPr>
            </w:pP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sn-Glycerol 3-phosphate</w:t>
            </w:r>
          </w:p>
        </w:tc>
        <w:tc>
          <w:tcPr>
            <w:tcW w:w="2970" w:type="dxa"/>
          </w:tcPr>
          <w:p w:rsidR="00E72DA8" w:rsidRPr="00D204E2" w:rsidRDefault="00E72DA8" w:rsidP="00A939FC">
            <w:pPr>
              <w:rPr>
                <w:rFonts w:ascii="Times New Roman" w:hAnsi="Times New Roman" w:cs="Times New Roman"/>
                <w:b/>
                <w:color w:val="000000" w:themeColor="text1"/>
                <w:sz w:val="24"/>
                <w:szCs w:val="24"/>
              </w:rPr>
            </w:pPr>
            <w:r w:rsidRPr="00D204E2">
              <w:rPr>
                <w:rFonts w:ascii="Times New Roman" w:hAnsi="Times New Roman" w:cs="Times New Roman"/>
                <w:b/>
                <w:color w:val="000000" w:themeColor="text1"/>
                <w:sz w:val="24"/>
                <w:szCs w:val="24"/>
              </w:rPr>
              <w:t>Fatty acid oxidation</w:t>
            </w:r>
          </w:p>
        </w:tc>
        <w:tc>
          <w:tcPr>
            <w:tcW w:w="3240" w:type="dxa"/>
          </w:tcPr>
          <w:p w:rsidR="00E72DA8" w:rsidRPr="00D204E2" w:rsidRDefault="00E72DA8" w:rsidP="00A939FC">
            <w:pPr>
              <w:rPr>
                <w:rFonts w:ascii="Times New Roman" w:hAnsi="Times New Roman" w:cs="Times New Roman"/>
                <w:color w:val="000000" w:themeColor="text1"/>
                <w:sz w:val="24"/>
                <w:szCs w:val="24"/>
              </w:rPr>
            </w:pP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Acetylcarnitine*</w:t>
            </w:r>
          </w:p>
        </w:tc>
        <w:tc>
          <w:tcPr>
            <w:tcW w:w="3240" w:type="dxa"/>
          </w:tcPr>
          <w:p w:rsidR="00E72DA8" w:rsidRPr="00D204E2" w:rsidRDefault="00E72DA8" w:rsidP="00A939FC">
            <w:pPr>
              <w:rPr>
                <w:rFonts w:ascii="Times New Roman" w:hAnsi="Times New Roman" w:cs="Times New Roman"/>
                <w:color w:val="000000" w:themeColor="text1"/>
                <w:sz w:val="24"/>
                <w:szCs w:val="24"/>
              </w:rPr>
            </w:pP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Octanoylcarnitine*</w:t>
            </w:r>
          </w:p>
        </w:tc>
        <w:tc>
          <w:tcPr>
            <w:tcW w:w="3240" w:type="dxa"/>
          </w:tcPr>
          <w:p w:rsidR="00E72DA8" w:rsidRPr="00D204E2" w:rsidRDefault="00E72DA8" w:rsidP="00A939FC">
            <w:pPr>
              <w:tabs>
                <w:tab w:val="left" w:pos="975"/>
              </w:tabs>
              <w:rPr>
                <w:rFonts w:ascii="Times New Roman" w:hAnsi="Times New Roman" w:cs="Times New Roman"/>
                <w:b/>
                <w:color w:val="000000" w:themeColor="text1"/>
                <w:sz w:val="24"/>
                <w:szCs w:val="24"/>
              </w:rPr>
            </w:pPr>
          </w:p>
        </w:tc>
      </w:tr>
      <w:tr w:rsidR="00E72DA8" w:rsidRPr="00D204E2" w:rsidTr="00A939FC">
        <w:trPr>
          <w:trHeight w:val="317"/>
        </w:trPr>
        <w:tc>
          <w:tcPr>
            <w:tcW w:w="3618" w:type="dxa"/>
          </w:tcPr>
          <w:p w:rsidR="00E72DA8" w:rsidRPr="00D204E2" w:rsidRDefault="00E72DA8" w:rsidP="00A939FC">
            <w:pPr>
              <w:rPr>
                <w:rFonts w:ascii="Times New Roman" w:hAnsi="Times New Roman" w:cs="Times New Roman"/>
                <w:color w:val="000000" w:themeColor="text1"/>
                <w:sz w:val="24"/>
                <w:szCs w:val="24"/>
              </w:rPr>
            </w:pPr>
          </w:p>
        </w:tc>
        <w:tc>
          <w:tcPr>
            <w:tcW w:w="2970" w:type="dxa"/>
          </w:tcPr>
          <w:p w:rsidR="00E72DA8" w:rsidRPr="00D204E2" w:rsidRDefault="00E72DA8" w:rsidP="00A939FC">
            <w:pPr>
              <w:rPr>
                <w:rFonts w:ascii="Times New Roman" w:hAnsi="Times New Roman" w:cs="Times New Roman"/>
                <w:color w:val="000000" w:themeColor="text1"/>
                <w:sz w:val="24"/>
                <w:szCs w:val="24"/>
              </w:rPr>
            </w:pPr>
            <w:r w:rsidRPr="00D204E2">
              <w:rPr>
                <w:rFonts w:ascii="Times New Roman" w:hAnsi="Times New Roman" w:cs="Times New Roman"/>
                <w:color w:val="000000" w:themeColor="text1"/>
                <w:sz w:val="24"/>
                <w:szCs w:val="24"/>
              </w:rPr>
              <w:t>Palmitoylcarnitine*</w:t>
            </w:r>
          </w:p>
        </w:tc>
        <w:tc>
          <w:tcPr>
            <w:tcW w:w="3240" w:type="dxa"/>
          </w:tcPr>
          <w:p w:rsidR="00E72DA8" w:rsidRPr="00D204E2" w:rsidRDefault="00E72DA8" w:rsidP="00A939FC">
            <w:pPr>
              <w:tabs>
                <w:tab w:val="left" w:pos="975"/>
              </w:tabs>
              <w:rPr>
                <w:rFonts w:ascii="Times New Roman" w:hAnsi="Times New Roman" w:cs="Times New Roman"/>
                <w:color w:val="000000" w:themeColor="text1"/>
                <w:sz w:val="24"/>
                <w:szCs w:val="24"/>
              </w:rPr>
            </w:pPr>
          </w:p>
        </w:tc>
      </w:tr>
      <w:tr w:rsidR="00E72DA8" w:rsidRPr="00D204E2" w:rsidTr="00A939FC">
        <w:trPr>
          <w:trHeight w:val="302"/>
        </w:trPr>
        <w:tc>
          <w:tcPr>
            <w:tcW w:w="3618" w:type="dxa"/>
          </w:tcPr>
          <w:p w:rsidR="00E72DA8" w:rsidRPr="00D204E2" w:rsidRDefault="00E72DA8" w:rsidP="00A939FC">
            <w:pPr>
              <w:rPr>
                <w:rFonts w:ascii="Times New Roman" w:hAnsi="Times New Roman" w:cs="Times New Roman"/>
                <w:color w:val="000000" w:themeColor="text1"/>
                <w:sz w:val="24"/>
                <w:szCs w:val="24"/>
              </w:rPr>
            </w:pPr>
          </w:p>
        </w:tc>
        <w:tc>
          <w:tcPr>
            <w:tcW w:w="2970" w:type="dxa"/>
          </w:tcPr>
          <w:p w:rsidR="00E72DA8" w:rsidRPr="00D204E2" w:rsidRDefault="00E72DA8" w:rsidP="00A939FC">
            <w:pPr>
              <w:rPr>
                <w:rFonts w:ascii="Times New Roman" w:hAnsi="Times New Roman" w:cs="Times New Roman"/>
                <w:color w:val="000000" w:themeColor="text1"/>
                <w:sz w:val="24"/>
                <w:szCs w:val="24"/>
              </w:rPr>
            </w:pPr>
          </w:p>
        </w:tc>
        <w:tc>
          <w:tcPr>
            <w:tcW w:w="3240" w:type="dxa"/>
          </w:tcPr>
          <w:p w:rsidR="00E72DA8" w:rsidRPr="00D204E2" w:rsidRDefault="00E72DA8" w:rsidP="00A939FC">
            <w:pPr>
              <w:tabs>
                <w:tab w:val="left" w:pos="975"/>
              </w:tabs>
              <w:rPr>
                <w:rFonts w:ascii="Times New Roman" w:hAnsi="Times New Roman" w:cs="Times New Roman"/>
                <w:color w:val="000000" w:themeColor="text1"/>
                <w:sz w:val="24"/>
                <w:szCs w:val="24"/>
              </w:rPr>
            </w:pPr>
          </w:p>
        </w:tc>
      </w:tr>
    </w:tbl>
    <w:p w:rsidR="00E72DA8" w:rsidRPr="00D204E2" w:rsidRDefault="00E72DA8" w:rsidP="00E72DA8">
      <w:pPr>
        <w:rPr>
          <w:rFonts w:ascii="Times New Roman" w:hAnsi="Times New Roman" w:cs="Times New Roman"/>
          <w:b/>
          <w:color w:val="000000" w:themeColor="text1"/>
          <w:sz w:val="24"/>
          <w:szCs w:val="24"/>
        </w:rPr>
      </w:pPr>
    </w:p>
    <w:p w:rsidR="00E72DA8" w:rsidRPr="00D204E2" w:rsidRDefault="00E72DA8" w:rsidP="00E72DA8">
      <w:pPr>
        <w:spacing w:after="0" w:line="240" w:lineRule="auto"/>
        <w:rPr>
          <w:rFonts w:ascii="Times New Roman" w:eastAsia="Times New Roman" w:hAnsi="Times New Roman" w:cs="Times New Roman"/>
          <w:color w:val="000000" w:themeColor="text1"/>
          <w:lang w:val="en-US"/>
        </w:rPr>
      </w:pPr>
      <w:r w:rsidRPr="00D204E2">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These substrates additionally contain m</w:t>
      </w:r>
      <w:r w:rsidRPr="00D204E2">
        <w:rPr>
          <w:rFonts w:ascii="Times New Roman" w:eastAsia="Times New Roman" w:hAnsi="Times New Roman" w:cs="Times New Roman"/>
          <w:color w:val="000000" w:themeColor="text1"/>
          <w:lang w:val="en-US"/>
        </w:rPr>
        <w:t>ala</w:t>
      </w:r>
      <w:r>
        <w:rPr>
          <w:rFonts w:ascii="Times New Roman" w:eastAsia="Times New Roman" w:hAnsi="Times New Roman" w:cs="Times New Roman"/>
          <w:color w:val="000000" w:themeColor="text1"/>
          <w:lang w:val="en-US"/>
        </w:rPr>
        <w:t>te in a concentration of 100 µM.</w:t>
      </w:r>
    </w:p>
    <w:p w:rsidR="00E72DA8" w:rsidRPr="00D204E2" w:rsidRDefault="00E72DA8" w:rsidP="00E72DA8">
      <w:pPr>
        <w:rPr>
          <w:rFonts w:ascii="Times New Roman" w:hAnsi="Times New Roman" w:cs="Times New Roman"/>
          <w:b/>
          <w:color w:val="000000" w:themeColor="text1"/>
          <w:sz w:val="24"/>
          <w:szCs w:val="24"/>
          <w:lang w:val="en-US"/>
        </w:rPr>
      </w:pPr>
    </w:p>
    <w:p w:rsidR="00E72DA8" w:rsidRDefault="00E72DA8">
      <w:pPr>
        <w:rPr>
          <w:lang w:val="en-US"/>
        </w:rPr>
      </w:pPr>
    </w:p>
    <w:p w:rsidR="00A57829" w:rsidRDefault="00A57829">
      <w:pPr>
        <w:rPr>
          <w:lang w:val="en-US"/>
        </w:rPr>
      </w:pPr>
    </w:p>
    <w:p w:rsidR="00A57829" w:rsidRDefault="00A57829">
      <w:pPr>
        <w:rPr>
          <w:lang w:val="en-US"/>
        </w:rPr>
      </w:pPr>
    </w:p>
    <w:p w:rsidR="00A57829" w:rsidRDefault="00A57829">
      <w:pPr>
        <w:rPr>
          <w:lang w:val="en-US"/>
        </w:rPr>
      </w:pPr>
    </w:p>
    <w:p w:rsidR="00A57829" w:rsidRDefault="00A57829">
      <w:pPr>
        <w:rPr>
          <w:lang w:val="en-US"/>
        </w:rPr>
      </w:pPr>
    </w:p>
    <w:p w:rsidR="00A57829" w:rsidRDefault="00A57829">
      <w:pPr>
        <w:rPr>
          <w:lang w:val="en-US"/>
        </w:rPr>
      </w:pPr>
    </w:p>
    <w:p w:rsidR="00A57829" w:rsidRDefault="00A57829">
      <w:pPr>
        <w:rPr>
          <w:lang w:val="en-US"/>
        </w:rPr>
      </w:pPr>
    </w:p>
    <w:p w:rsidR="00A57829" w:rsidRDefault="00A57829">
      <w:pPr>
        <w:rPr>
          <w:lang w:val="en-US"/>
        </w:rPr>
      </w:pPr>
    </w:p>
    <w:p w:rsidR="00A57829" w:rsidRDefault="00A57829">
      <w:pPr>
        <w:rPr>
          <w:lang w:val="en-US"/>
        </w:rPr>
      </w:pPr>
    </w:p>
    <w:p w:rsidR="00A57829" w:rsidRDefault="00A57829">
      <w:pPr>
        <w:rPr>
          <w:lang w:val="en-US"/>
        </w:rPr>
      </w:pPr>
    </w:p>
    <w:p w:rsidR="00A57829" w:rsidRDefault="00A57829">
      <w:pPr>
        <w:rPr>
          <w:lang w:val="en-US"/>
        </w:rPr>
      </w:pPr>
    </w:p>
    <w:p w:rsidR="00A57829" w:rsidRDefault="00A57829">
      <w:pPr>
        <w:rPr>
          <w:lang w:val="en-US"/>
        </w:rPr>
      </w:pPr>
    </w:p>
    <w:p w:rsidR="00A57829" w:rsidRDefault="00A57829">
      <w:pPr>
        <w:rPr>
          <w:lang w:val="en-US"/>
        </w:rPr>
      </w:pPr>
    </w:p>
    <w:p w:rsidR="00A57829" w:rsidRDefault="00A57829">
      <w:pPr>
        <w:rPr>
          <w:lang w:val="en-US"/>
        </w:rPr>
      </w:pPr>
    </w:p>
    <w:p w:rsidR="005534D7" w:rsidRDefault="005534D7">
      <w:pPr>
        <w:rPr>
          <w:lang w:val="en-US"/>
        </w:rPr>
      </w:pPr>
    </w:p>
    <w:p w:rsidR="005534D7" w:rsidRDefault="005534D7">
      <w:pPr>
        <w:rPr>
          <w:rFonts w:ascii="Times New Roman" w:hAnsi="Times New Roman" w:cs="Times New Roman"/>
          <w:b/>
          <w:sz w:val="24"/>
          <w:szCs w:val="24"/>
          <w:lang w:val="en-US"/>
        </w:rPr>
      </w:pPr>
    </w:p>
    <w:p w:rsidR="00A57829" w:rsidRPr="003F7C45" w:rsidRDefault="00A57829">
      <w:pPr>
        <w:rPr>
          <w:rFonts w:ascii="Times New Roman" w:hAnsi="Times New Roman" w:cs="Times New Roman"/>
          <w:b/>
          <w:sz w:val="24"/>
          <w:szCs w:val="24"/>
          <w:lang w:val="en-US"/>
        </w:rPr>
      </w:pPr>
      <w:bookmarkStart w:id="0" w:name="_GoBack"/>
      <w:bookmarkEnd w:id="0"/>
      <w:r w:rsidRPr="003F7C45">
        <w:rPr>
          <w:rFonts w:ascii="Times New Roman" w:hAnsi="Times New Roman" w:cs="Times New Roman"/>
          <w:b/>
          <w:sz w:val="24"/>
          <w:szCs w:val="24"/>
          <w:lang w:val="en-US"/>
        </w:rPr>
        <w:lastRenderedPageBreak/>
        <w:t>References</w:t>
      </w:r>
    </w:p>
    <w:p w:rsidR="001852C1" w:rsidRPr="005E0BD4" w:rsidRDefault="00A57829" w:rsidP="001852C1">
      <w:pPr>
        <w:widowControl w:val="0"/>
        <w:autoSpaceDE w:val="0"/>
        <w:autoSpaceDN w:val="0"/>
        <w:adjustRightInd w:val="0"/>
        <w:spacing w:line="240" w:lineRule="auto"/>
        <w:ind w:left="640" w:hanging="640"/>
        <w:rPr>
          <w:rFonts w:ascii="Times New Roman" w:hAnsi="Times New Roman" w:cs="Times New Roman"/>
          <w:noProof/>
          <w:sz w:val="24"/>
          <w:szCs w:val="24"/>
          <w:lang w:val="en-GB"/>
        </w:rPr>
      </w:pPr>
      <w:r w:rsidRPr="003F7C45">
        <w:rPr>
          <w:rFonts w:ascii="Times New Roman" w:hAnsi="Times New Roman" w:cs="Times New Roman"/>
          <w:sz w:val="24"/>
          <w:szCs w:val="24"/>
          <w:lang w:val="en-GB"/>
        </w:rPr>
        <w:fldChar w:fldCharType="begin" w:fldLock="1"/>
      </w:r>
      <w:r w:rsidRPr="003F7C45">
        <w:rPr>
          <w:rFonts w:ascii="Times New Roman" w:hAnsi="Times New Roman" w:cs="Times New Roman"/>
          <w:sz w:val="24"/>
          <w:szCs w:val="24"/>
          <w:lang w:val="en-GB"/>
        </w:rPr>
        <w:instrText xml:space="preserve">ADDIN Mendeley Bibliography CSL_BIBLIOGRAPHY </w:instrText>
      </w:r>
      <w:r w:rsidRPr="003F7C45">
        <w:rPr>
          <w:rFonts w:ascii="Times New Roman" w:hAnsi="Times New Roman" w:cs="Times New Roman"/>
          <w:sz w:val="24"/>
          <w:szCs w:val="24"/>
          <w:lang w:val="en-GB"/>
        </w:rPr>
        <w:fldChar w:fldCharType="separate"/>
      </w:r>
      <w:r w:rsidR="001852C1" w:rsidRPr="005E0BD4">
        <w:rPr>
          <w:rFonts w:ascii="Times New Roman" w:hAnsi="Times New Roman" w:cs="Times New Roman"/>
          <w:noProof/>
          <w:sz w:val="24"/>
          <w:szCs w:val="24"/>
          <w:lang w:val="en-GB"/>
        </w:rPr>
        <w:t>[1]</w:t>
      </w:r>
      <w:r w:rsidR="001852C1" w:rsidRPr="005E0BD4">
        <w:rPr>
          <w:rFonts w:ascii="Times New Roman" w:hAnsi="Times New Roman" w:cs="Times New Roman"/>
          <w:noProof/>
          <w:sz w:val="24"/>
          <w:szCs w:val="24"/>
          <w:lang w:val="en-GB"/>
        </w:rPr>
        <w:tab/>
        <w:t xml:space="preserve">Bochner BR, Siri M, Huang RH, Noble S, Lei XH, Clemons PA, et al. Assay of the multiple energy-producing pathways of mammalian cells. PLoS One 2011;6:1–8. </w:t>
      </w:r>
    </w:p>
    <w:p w:rsidR="001852C1" w:rsidRPr="005E0BD4" w:rsidRDefault="001852C1" w:rsidP="001852C1">
      <w:pPr>
        <w:widowControl w:val="0"/>
        <w:autoSpaceDE w:val="0"/>
        <w:autoSpaceDN w:val="0"/>
        <w:adjustRightInd w:val="0"/>
        <w:spacing w:line="240" w:lineRule="auto"/>
        <w:ind w:left="640" w:hanging="640"/>
        <w:rPr>
          <w:rFonts w:ascii="Times New Roman" w:hAnsi="Times New Roman" w:cs="Times New Roman"/>
          <w:noProof/>
          <w:sz w:val="24"/>
          <w:szCs w:val="24"/>
          <w:lang w:val="en-GB"/>
        </w:rPr>
      </w:pPr>
      <w:r w:rsidRPr="005E0BD4">
        <w:rPr>
          <w:rFonts w:ascii="Times New Roman" w:hAnsi="Times New Roman" w:cs="Times New Roman"/>
          <w:noProof/>
          <w:sz w:val="24"/>
          <w:szCs w:val="24"/>
          <w:lang w:val="en-GB"/>
        </w:rPr>
        <w:t>[2]</w:t>
      </w:r>
      <w:r w:rsidRPr="005E0BD4">
        <w:rPr>
          <w:rFonts w:ascii="Times New Roman" w:hAnsi="Times New Roman" w:cs="Times New Roman"/>
          <w:noProof/>
          <w:sz w:val="24"/>
          <w:szCs w:val="24"/>
          <w:lang w:val="en-GB"/>
        </w:rPr>
        <w:tab/>
        <w:t>Gnaiger E. Polarographic Oxygen Sensors , the Oxygraph , Respirometry To Assess. Drug-Induced Mitochondrial Dysfunct 2008:327–48.</w:t>
      </w:r>
    </w:p>
    <w:p w:rsidR="001852C1" w:rsidRPr="005E0BD4" w:rsidRDefault="001852C1" w:rsidP="001852C1">
      <w:pPr>
        <w:widowControl w:val="0"/>
        <w:autoSpaceDE w:val="0"/>
        <w:autoSpaceDN w:val="0"/>
        <w:adjustRightInd w:val="0"/>
        <w:spacing w:line="240" w:lineRule="auto"/>
        <w:ind w:left="640" w:hanging="640"/>
        <w:rPr>
          <w:rFonts w:ascii="Times New Roman" w:hAnsi="Times New Roman" w:cs="Times New Roman"/>
          <w:noProof/>
          <w:sz w:val="24"/>
          <w:szCs w:val="24"/>
          <w:lang w:val="en-GB"/>
        </w:rPr>
      </w:pPr>
      <w:r w:rsidRPr="005E0BD4">
        <w:rPr>
          <w:rFonts w:ascii="Times New Roman" w:hAnsi="Times New Roman" w:cs="Times New Roman"/>
          <w:noProof/>
          <w:sz w:val="24"/>
          <w:szCs w:val="24"/>
          <w:lang w:val="en-GB"/>
        </w:rPr>
        <w:t>[3]</w:t>
      </w:r>
      <w:r w:rsidRPr="005E0BD4">
        <w:rPr>
          <w:rFonts w:ascii="Times New Roman" w:hAnsi="Times New Roman" w:cs="Times New Roman"/>
          <w:noProof/>
          <w:sz w:val="24"/>
          <w:szCs w:val="24"/>
          <w:lang w:val="en-GB"/>
        </w:rPr>
        <w:tab/>
        <w:t>C</w:t>
      </w:r>
      <w:r w:rsidR="003858B5" w:rsidRPr="005E0BD4">
        <w:rPr>
          <w:rFonts w:ascii="Times New Roman" w:hAnsi="Times New Roman" w:cs="Times New Roman"/>
          <w:noProof/>
          <w:sz w:val="24"/>
          <w:szCs w:val="24"/>
          <w:lang w:val="en-GB"/>
        </w:rPr>
        <w:t>hance</w:t>
      </w:r>
      <w:r w:rsidRPr="005E0BD4">
        <w:rPr>
          <w:rFonts w:ascii="Times New Roman" w:hAnsi="Times New Roman" w:cs="Times New Roman"/>
          <w:noProof/>
          <w:sz w:val="24"/>
          <w:szCs w:val="24"/>
          <w:lang w:val="en-GB"/>
        </w:rPr>
        <w:t xml:space="preserve"> B, W</w:t>
      </w:r>
      <w:r w:rsidR="003858B5" w:rsidRPr="005E0BD4">
        <w:rPr>
          <w:rFonts w:ascii="Times New Roman" w:hAnsi="Times New Roman" w:cs="Times New Roman"/>
          <w:noProof/>
          <w:sz w:val="24"/>
          <w:szCs w:val="24"/>
          <w:lang w:val="en-GB"/>
        </w:rPr>
        <w:t>illiams</w:t>
      </w:r>
      <w:r w:rsidRPr="005E0BD4">
        <w:rPr>
          <w:rFonts w:ascii="Times New Roman" w:hAnsi="Times New Roman" w:cs="Times New Roman"/>
          <w:noProof/>
          <w:sz w:val="24"/>
          <w:szCs w:val="24"/>
          <w:lang w:val="en-GB"/>
        </w:rPr>
        <w:t xml:space="preserve"> GR. Respiratory enzymes in oxidative phosphorylation. III. The steady state. J Biol Chem 1955;217:409–27. </w:t>
      </w:r>
    </w:p>
    <w:p w:rsidR="001852C1" w:rsidRPr="001852C1" w:rsidRDefault="001852C1" w:rsidP="001852C1">
      <w:pPr>
        <w:widowControl w:val="0"/>
        <w:autoSpaceDE w:val="0"/>
        <w:autoSpaceDN w:val="0"/>
        <w:adjustRightInd w:val="0"/>
        <w:spacing w:line="240" w:lineRule="auto"/>
        <w:ind w:left="640" w:hanging="640"/>
        <w:rPr>
          <w:rFonts w:ascii="Times New Roman" w:hAnsi="Times New Roman" w:cs="Times New Roman"/>
          <w:noProof/>
          <w:sz w:val="24"/>
        </w:rPr>
      </w:pPr>
      <w:r w:rsidRPr="005E0BD4">
        <w:rPr>
          <w:rFonts w:ascii="Times New Roman" w:hAnsi="Times New Roman" w:cs="Times New Roman"/>
          <w:noProof/>
          <w:sz w:val="24"/>
          <w:szCs w:val="24"/>
          <w:lang w:val="en-GB"/>
        </w:rPr>
        <w:t>[4]</w:t>
      </w:r>
      <w:r w:rsidRPr="005E0BD4">
        <w:rPr>
          <w:rFonts w:ascii="Times New Roman" w:hAnsi="Times New Roman" w:cs="Times New Roman"/>
          <w:noProof/>
          <w:sz w:val="24"/>
          <w:szCs w:val="24"/>
          <w:lang w:val="en-GB"/>
        </w:rPr>
        <w:tab/>
        <w:t xml:space="preserve">Gnaiger E. Mitochondrial Pathways and Respiratory Control An Introduction to OXPHOS Analysis. </w:t>
      </w:r>
      <w:r w:rsidRPr="001852C1">
        <w:rPr>
          <w:rFonts w:ascii="Times New Roman" w:hAnsi="Times New Roman" w:cs="Times New Roman"/>
          <w:noProof/>
          <w:sz w:val="24"/>
          <w:szCs w:val="24"/>
        </w:rPr>
        <w:t>2014.</w:t>
      </w:r>
    </w:p>
    <w:p w:rsidR="00A57829" w:rsidRPr="003F7C45" w:rsidRDefault="00A57829">
      <w:pPr>
        <w:rPr>
          <w:rFonts w:ascii="Times New Roman" w:hAnsi="Times New Roman" w:cs="Times New Roman"/>
          <w:lang w:val="en-GB"/>
        </w:rPr>
      </w:pPr>
      <w:r w:rsidRPr="003F7C45">
        <w:rPr>
          <w:rFonts w:ascii="Times New Roman" w:hAnsi="Times New Roman" w:cs="Times New Roman"/>
          <w:sz w:val="24"/>
          <w:szCs w:val="24"/>
          <w:lang w:val="en-GB"/>
        </w:rPr>
        <w:fldChar w:fldCharType="end"/>
      </w:r>
    </w:p>
    <w:sectPr w:rsidR="00A57829" w:rsidRPr="003F7C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829" w:rsidRDefault="00A57829" w:rsidP="00A57829">
      <w:pPr>
        <w:spacing w:after="0" w:line="240" w:lineRule="auto"/>
      </w:pPr>
      <w:r>
        <w:separator/>
      </w:r>
    </w:p>
  </w:endnote>
  <w:endnote w:type="continuationSeparator" w:id="0">
    <w:p w:rsidR="00A57829" w:rsidRDefault="00A57829" w:rsidP="00A5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829" w:rsidRDefault="00A57829" w:rsidP="00A57829">
      <w:pPr>
        <w:spacing w:after="0" w:line="240" w:lineRule="auto"/>
      </w:pPr>
      <w:r>
        <w:separator/>
      </w:r>
    </w:p>
  </w:footnote>
  <w:footnote w:type="continuationSeparator" w:id="0">
    <w:p w:rsidR="00A57829" w:rsidRDefault="00A57829" w:rsidP="00A57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D229B"/>
    <w:multiLevelType w:val="multilevel"/>
    <w:tmpl w:val="865E3A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E6"/>
    <w:rsid w:val="0008366F"/>
    <w:rsid w:val="00091586"/>
    <w:rsid w:val="000E6246"/>
    <w:rsid w:val="0017270D"/>
    <w:rsid w:val="001852C1"/>
    <w:rsid w:val="001B51FB"/>
    <w:rsid w:val="00273789"/>
    <w:rsid w:val="00311C93"/>
    <w:rsid w:val="00314691"/>
    <w:rsid w:val="00326628"/>
    <w:rsid w:val="0035311E"/>
    <w:rsid w:val="003858B5"/>
    <w:rsid w:val="003E77B8"/>
    <w:rsid w:val="003F7C45"/>
    <w:rsid w:val="00411FBE"/>
    <w:rsid w:val="005510F6"/>
    <w:rsid w:val="005534D7"/>
    <w:rsid w:val="005E0BD4"/>
    <w:rsid w:val="006D21C5"/>
    <w:rsid w:val="00717C07"/>
    <w:rsid w:val="007A73DB"/>
    <w:rsid w:val="007C1FBD"/>
    <w:rsid w:val="007D7CBA"/>
    <w:rsid w:val="00844EB4"/>
    <w:rsid w:val="008A69CA"/>
    <w:rsid w:val="008D3AC4"/>
    <w:rsid w:val="008E5145"/>
    <w:rsid w:val="008F53E6"/>
    <w:rsid w:val="008F7515"/>
    <w:rsid w:val="009154C1"/>
    <w:rsid w:val="00957ED7"/>
    <w:rsid w:val="00A43D7E"/>
    <w:rsid w:val="00A57829"/>
    <w:rsid w:val="00AA1120"/>
    <w:rsid w:val="00AE45C0"/>
    <w:rsid w:val="00B3017C"/>
    <w:rsid w:val="00BB6965"/>
    <w:rsid w:val="00C134E6"/>
    <w:rsid w:val="00C31D1F"/>
    <w:rsid w:val="00CF1673"/>
    <w:rsid w:val="00D141D0"/>
    <w:rsid w:val="00D26211"/>
    <w:rsid w:val="00D26EF8"/>
    <w:rsid w:val="00D64CC3"/>
    <w:rsid w:val="00E72DA8"/>
    <w:rsid w:val="00F0452D"/>
    <w:rsid w:val="00F64796"/>
    <w:rsid w:val="00FB79F7"/>
    <w:rsid w:val="00FC78A5"/>
    <w:rsid w:val="00FE2F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5E180D"/>
  <w15:chartTrackingRefBased/>
  <w15:docId w15:val="{1195DECF-7D15-4C98-B90A-7C18BED5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3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FBE"/>
    <w:pPr>
      <w:ind w:left="720"/>
      <w:contextualSpacing/>
    </w:pPr>
  </w:style>
  <w:style w:type="table" w:styleId="Tablaconcuadrcula">
    <w:name w:val="Table Grid"/>
    <w:basedOn w:val="Tablanormal"/>
    <w:uiPriority w:val="59"/>
    <w:rsid w:val="00E72D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578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7829"/>
    <w:rPr>
      <w:sz w:val="20"/>
      <w:szCs w:val="20"/>
    </w:rPr>
  </w:style>
  <w:style w:type="character" w:styleId="Refdenotaalpie">
    <w:name w:val="footnote reference"/>
    <w:basedOn w:val="Fuentedeprrafopredeter"/>
    <w:uiPriority w:val="99"/>
    <w:semiHidden/>
    <w:unhideWhenUsed/>
    <w:rsid w:val="00A57829"/>
    <w:rPr>
      <w:vertAlign w:val="superscript"/>
    </w:rPr>
  </w:style>
  <w:style w:type="paragraph" w:styleId="Textodeglobo">
    <w:name w:val="Balloon Text"/>
    <w:basedOn w:val="Normal"/>
    <w:link w:val="TextodegloboCar"/>
    <w:uiPriority w:val="99"/>
    <w:semiHidden/>
    <w:unhideWhenUsed/>
    <w:rsid w:val="00FC78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7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C7E8-5BFB-48F7-97AC-4EF0303E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2876</Words>
  <Characters>16395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INGRID (IDIBAPS)</dc:creator>
  <cp:keywords/>
  <dc:description/>
  <cp:lastModifiedBy>ZHANG, INGRID (IDIBAPS)</cp:lastModifiedBy>
  <cp:revision>2</cp:revision>
  <cp:lastPrinted>2021-09-06T11:18:00Z</cp:lastPrinted>
  <dcterms:created xsi:type="dcterms:W3CDTF">2021-10-26T19:18:00Z</dcterms:created>
  <dcterms:modified xsi:type="dcterms:W3CDTF">2021-10-26T19:18:00Z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http://csl.mendeley.com/styles/634163281/elsevier-vancouver-IZ</vt:lpwstr>
  </property>
  <property fmtid="{D5CDD505-2E9C-101B-9397-08002B2CF9AE}" pid="15" name="Mendeley Recent Style Name 6_1">
    <vt:lpwstr>Elsevier - Vancouver - Ingrid Zhang</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http://www.zotero.org/styles/journal-of-hepatology</vt:lpwstr>
  </property>
  <property fmtid="{D5CDD505-2E9C-101B-9397-08002B2CF9AE}" pid="19" name="Mendeley Recent Style Name 8_1">
    <vt:lpwstr>Journal of Hepatology</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aa79723c-c642-3e89-9f05-04a1740c0251</vt:lpwstr>
  </property>
  <property fmtid="{D5CDD505-2E9C-101B-9397-08002B2CF9AE}" pid="24" name="Mendeley Citation Style_1">
    <vt:lpwstr>http://csl.mendeley.com/styles/634163281/elsevier-vancouver-IZ</vt:lpwstr>
  </property>
</Properties>
</file>