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List Paragraph"/>
        <w:numPr>
          <w:ilvl w:val="0"/>
          <w:numId w:val="2"/>
        </w:numPr>
        <w:suppressAutoHyphens w:val="1"/>
        <w:bidi w:val="0"/>
        <w:spacing w:before="240" w:after="240" w:line="360" w:lineRule="auto"/>
        <w:ind w:right="0"/>
        <w:jc w:val="both"/>
        <w:rPr>
          <w:sz w:val="24"/>
          <w:szCs w:val="24"/>
          <w:rtl w:val="0"/>
          <w:lang w:val="en-US"/>
        </w:rPr>
      </w:pPr>
      <w:r>
        <w:rPr>
          <w:rFonts w:ascii="Times New Roman" w:hAnsi="Times New Roman"/>
          <w:b w:val="1"/>
          <w:bCs w:val="1"/>
          <w:sz w:val="24"/>
          <w:szCs w:val="24"/>
          <w:shd w:val="clear" w:color="auto" w:fill="fcfcfc"/>
          <w:rtl w:val="0"/>
          <w:lang w:val="en-US"/>
        </w:rPr>
        <w:t>Genome sequencing and discovery of microsatellites</w:t>
      </w:r>
    </w:p>
    <w:p>
      <w:pPr>
        <w:pStyle w:val="Body A"/>
        <w:suppressAutoHyphens w:val="1"/>
        <w:spacing w:before="240" w:after="240" w:line="360" w:lineRule="auto"/>
        <w:ind w:left="0" w:firstLine="0"/>
        <w:jc w:val="both"/>
        <w:rPr>
          <w:rFonts w:ascii="Times New Roman" w:cs="Times New Roman" w:hAnsi="Times New Roman" w:eastAsia="Times New Roman"/>
          <w:sz w:val="24"/>
          <w:szCs w:val="24"/>
          <w:shd w:val="clear" w:color="auto" w:fill="fcfcfc"/>
        </w:rPr>
      </w:pPr>
      <w:r>
        <w:rPr>
          <w:rFonts w:ascii="Times New Roman" w:hAnsi="Times New Roman"/>
          <w:sz w:val="24"/>
          <w:szCs w:val="24"/>
          <w:shd w:val="clear" w:color="auto" w:fill="fcfcfc"/>
          <w:rtl w:val="0"/>
          <w:lang w:val="en-US"/>
        </w:rPr>
        <w:t xml:space="preserve">Genome sequencing and assembly resulted 77175 contigs with an average contig length of 1536bp (Supplementary Table 4). The assembled contigs were used to discover the distribution of simple sequence repeats (SSRs) using the Perl script misa.pl and characterized for different repeat types. SSRs with di-nucleotide repeats were the most frequent type representing 74.85% of total SSRs, followed by tri- (11.89%), mono- (5.97%) tetra- (5.13%), penta- (1.3%), and hexa-nucleotide repeats (0.84%) (Figure S1). In </w:t>
      </w:r>
      <w:r>
        <w:rPr>
          <w:rFonts w:ascii="Times New Roman" w:hAnsi="Times New Roman"/>
          <w:i w:val="1"/>
          <w:iCs w:val="1"/>
          <w:sz w:val="24"/>
          <w:szCs w:val="24"/>
          <w:shd w:val="clear" w:color="auto" w:fill="fcfcfc"/>
          <w:rtl w:val="0"/>
          <w:lang w:val="en-US"/>
        </w:rPr>
        <w:t xml:space="preserve">Nymphaea </w:t>
      </w:r>
      <w:r>
        <w:rPr>
          <w:rFonts w:ascii="Times New Roman" w:hAnsi="Times New Roman"/>
          <w:sz w:val="24"/>
          <w:szCs w:val="24"/>
          <w:shd w:val="clear" w:color="auto" w:fill="fcfcfc"/>
          <w:rtl w:val="0"/>
          <w:lang w:val="en-US"/>
        </w:rPr>
        <w:t>genome, the most abundant repeat type was AG/CT accounting for 47.08%, followed by AT/TA (38.45%) and AC/GT (14.44%) repeats. Only four CG/GC repeat loci were obtained in the analyzed data. Among trinucleotide repeats, AAG/TTC was the most frequent motif (42%) followed by AAT/TTA (23%) and AGG/TCC (8.5%). Among tetranucleotide repeats, AAAT/TTTA repeat motif (36 %) was the most frequent type followed by AAAG/TTTC (14.43 %) and ACAT/TGTA (12.96 %). Among penta- and hexa-nucleotide repeats, AAAAT/AAAGG (15.22 %) and AAAGAG (13.16 %) respectively were the most frequent motif types. The reiteration number of the SSR motifs also varied and ranged from 4 to 26. Maximum number of reiteration units was for dinucleotide motifs followed by tri-, tetra-, penta- and hexa-nucleotide motifs.</w:t>
      </w:r>
    </w:p>
    <w:tbl>
      <w:tblPr>
        <w:tblW w:w="8571"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200"/>
        <w:gridCol w:w="1371"/>
      </w:tblGrid>
      <w:tr>
        <w:tblPrEx>
          <w:shd w:val="clear" w:color="auto" w:fill="cdd4e9"/>
        </w:tblPrEx>
        <w:trPr>
          <w:trHeight w:val="360" w:hRule="atLeast"/>
        </w:trPr>
        <w:tc>
          <w:tcPr>
            <w:tcW w:type="dxa" w:w="857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b w:val="1"/>
                <w:bCs w:val="1"/>
                <w:sz w:val="24"/>
                <w:szCs w:val="24"/>
                <w:shd w:val="nil" w:color="auto" w:fill="auto"/>
                <w:rtl w:val="0"/>
                <w:lang w:val="en-US"/>
              </w:rPr>
              <w:t xml:space="preserve">Identification of simple sequence repeats (SSRs) in </w:t>
            </w:r>
            <w:r>
              <w:rPr>
                <w:rFonts w:ascii="Times New Roman" w:hAnsi="Times New Roman"/>
                <w:b w:val="1"/>
                <w:bCs w:val="1"/>
                <w:i w:val="1"/>
                <w:iCs w:val="1"/>
                <w:sz w:val="24"/>
                <w:szCs w:val="24"/>
                <w:shd w:val="nil" w:color="auto" w:fill="auto"/>
                <w:rtl w:val="0"/>
                <w:lang w:val="en-US"/>
              </w:rPr>
              <w:t xml:space="preserve">Nymphaea micrantha </w:t>
            </w:r>
            <w:r>
              <w:rPr>
                <w:rFonts w:ascii="Times New Roman" w:hAnsi="Times New Roman"/>
                <w:b w:val="1"/>
                <w:bCs w:val="1"/>
                <w:sz w:val="24"/>
                <w:szCs w:val="24"/>
                <w:shd w:val="nil" w:color="auto" w:fill="auto"/>
                <w:rtl w:val="0"/>
                <w:lang w:val="en-US"/>
              </w:rPr>
              <w:t>genome.</w:t>
            </w:r>
          </w:p>
        </w:tc>
      </w:tr>
      <w:tr>
        <w:tblPrEx>
          <w:shd w:val="clear" w:color="auto" w:fill="cdd4e9"/>
        </w:tblPrEx>
        <w:trPr>
          <w:trHeight w:val="360" w:hRule="atLeast"/>
        </w:trPr>
        <w:tc>
          <w:tcPr>
            <w:tcW w:type="dxa" w:w="7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Total number of sequences examined</w:t>
            </w:r>
          </w:p>
        </w:tc>
        <w:tc>
          <w:tcPr>
            <w:tcW w:type="dxa" w:w="13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77175</w:t>
            </w:r>
          </w:p>
        </w:tc>
      </w:tr>
      <w:tr>
        <w:tblPrEx>
          <w:shd w:val="clear" w:color="auto" w:fill="cdd4e9"/>
        </w:tblPrEx>
        <w:trPr>
          <w:trHeight w:val="360" w:hRule="atLeast"/>
        </w:trPr>
        <w:tc>
          <w:tcPr>
            <w:tcW w:type="dxa" w:w="7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Total size of examined sequences (bp)</w:t>
            </w:r>
          </w:p>
        </w:tc>
        <w:tc>
          <w:tcPr>
            <w:tcW w:type="dxa" w:w="13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118553353</w:t>
            </w:r>
          </w:p>
        </w:tc>
      </w:tr>
      <w:tr>
        <w:tblPrEx>
          <w:shd w:val="clear" w:color="auto" w:fill="cdd4e9"/>
        </w:tblPrEx>
        <w:trPr>
          <w:trHeight w:val="360" w:hRule="atLeast"/>
        </w:trPr>
        <w:tc>
          <w:tcPr>
            <w:tcW w:type="dxa" w:w="7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Total number of identified SSRs</w:t>
            </w:r>
          </w:p>
        </w:tc>
        <w:tc>
          <w:tcPr>
            <w:tcW w:type="dxa" w:w="13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22268</w:t>
            </w:r>
          </w:p>
        </w:tc>
      </w:tr>
      <w:tr>
        <w:tblPrEx>
          <w:shd w:val="clear" w:color="auto" w:fill="cdd4e9"/>
        </w:tblPrEx>
        <w:trPr>
          <w:trHeight w:val="360" w:hRule="atLeast"/>
        </w:trPr>
        <w:tc>
          <w:tcPr>
            <w:tcW w:type="dxa" w:w="7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Number of SSR containing sequences</w:t>
            </w:r>
          </w:p>
        </w:tc>
        <w:tc>
          <w:tcPr>
            <w:tcW w:type="dxa" w:w="13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16937</w:t>
            </w:r>
          </w:p>
        </w:tc>
      </w:tr>
      <w:tr>
        <w:tblPrEx>
          <w:shd w:val="clear" w:color="auto" w:fill="cdd4e9"/>
        </w:tblPrEx>
        <w:trPr>
          <w:trHeight w:val="360" w:hRule="atLeast"/>
        </w:trPr>
        <w:tc>
          <w:tcPr>
            <w:tcW w:type="dxa" w:w="7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Number of sequences containing more than 1 SSR</w:t>
            </w:r>
          </w:p>
        </w:tc>
        <w:tc>
          <w:tcPr>
            <w:tcW w:type="dxa" w:w="13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4123</w:t>
            </w:r>
          </w:p>
        </w:tc>
      </w:tr>
      <w:tr>
        <w:tblPrEx>
          <w:shd w:val="clear" w:color="auto" w:fill="cdd4e9"/>
        </w:tblPrEx>
        <w:trPr>
          <w:trHeight w:val="360" w:hRule="atLeast"/>
        </w:trPr>
        <w:tc>
          <w:tcPr>
            <w:tcW w:type="dxa" w:w="7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Number of SSRs present in compound formation</w:t>
            </w:r>
          </w:p>
        </w:tc>
        <w:tc>
          <w:tcPr>
            <w:tcW w:type="dxa" w:w="13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ind w:left="0" w:firstLine="0"/>
            </w:pPr>
            <w:r>
              <w:rPr>
                <w:rFonts w:ascii="Times New Roman" w:hAnsi="Times New Roman"/>
                <w:sz w:val="24"/>
                <w:szCs w:val="24"/>
                <w:shd w:val="nil" w:color="auto" w:fill="auto"/>
                <w:rtl w:val="0"/>
                <w:lang w:val="en-US"/>
              </w:rPr>
              <w:t>2464</w:t>
            </w:r>
          </w:p>
        </w:tc>
      </w:tr>
    </w:tbl>
    <w:p>
      <w:pPr>
        <w:pStyle w:val="Body A"/>
        <w:widowControl w:val="0"/>
        <w:suppressAutoHyphens w:val="1"/>
        <w:spacing w:before="240" w:after="240"/>
        <w:ind w:left="216" w:hanging="216"/>
        <w:jc w:val="center"/>
        <w:rPr>
          <w:rFonts w:ascii="Times New Roman" w:cs="Times New Roman" w:hAnsi="Times New Roman" w:eastAsia="Times New Roman"/>
          <w:sz w:val="24"/>
          <w:szCs w:val="24"/>
          <w:shd w:val="clear" w:color="auto" w:fill="fcfcfc"/>
        </w:rPr>
      </w:pPr>
    </w:p>
    <w:p>
      <w:pPr>
        <w:pStyle w:val="Body A"/>
        <w:widowControl w:val="0"/>
        <w:suppressAutoHyphens w:val="1"/>
        <w:spacing w:before="240" w:after="240"/>
        <w:ind w:left="108" w:hanging="108"/>
        <w:jc w:val="center"/>
        <w:rPr>
          <w:rFonts w:ascii="Times New Roman" w:cs="Times New Roman" w:hAnsi="Times New Roman" w:eastAsia="Times New Roman"/>
          <w:sz w:val="24"/>
          <w:szCs w:val="24"/>
          <w:shd w:val="clear" w:color="auto" w:fill="fcfcfc"/>
        </w:rPr>
      </w:pPr>
    </w:p>
    <w:p>
      <w:pPr>
        <w:pStyle w:val="Body A"/>
        <w:widowControl w:val="0"/>
        <w:suppressAutoHyphens w:val="1"/>
        <w:spacing w:before="240" w:after="240"/>
        <w:ind w:left="0" w:firstLine="0"/>
        <w:jc w:val="center"/>
        <w:rPr>
          <w:rFonts w:ascii="Times New Roman" w:cs="Times New Roman" w:hAnsi="Times New Roman" w:eastAsia="Times New Roman"/>
          <w:sz w:val="24"/>
          <w:szCs w:val="24"/>
          <w:shd w:val="clear" w:color="auto" w:fill="fcfcfc"/>
        </w:rPr>
      </w:pPr>
    </w:p>
    <w:p>
      <w:pPr>
        <w:pStyle w:val="Body A"/>
        <w:widowControl w:val="0"/>
        <w:suppressAutoHyphens w:val="1"/>
        <w:spacing w:before="240" w:after="240"/>
        <w:ind w:left="108" w:hanging="108"/>
        <w:jc w:val="center"/>
        <w:rPr>
          <w:rFonts w:ascii="Times New Roman" w:cs="Times New Roman" w:hAnsi="Times New Roman" w:eastAsia="Times New Roman"/>
          <w:sz w:val="24"/>
          <w:szCs w:val="24"/>
          <w:shd w:val="clear" w:color="auto" w:fill="fcfcfc"/>
        </w:rPr>
      </w:pPr>
    </w:p>
    <w:p>
      <w:pPr>
        <w:pStyle w:val="Body A"/>
        <w:widowControl w:val="0"/>
        <w:suppressAutoHyphens w:val="1"/>
        <w:spacing w:before="240" w:after="240"/>
        <w:ind w:left="0" w:firstLine="0"/>
        <w:jc w:val="center"/>
        <w:rPr>
          <w:rFonts w:ascii="Times New Roman" w:cs="Times New Roman" w:hAnsi="Times New Roman" w:eastAsia="Times New Roman"/>
          <w:sz w:val="24"/>
          <w:szCs w:val="24"/>
          <w:shd w:val="clear" w:color="auto" w:fill="fcfcfc"/>
        </w:rPr>
      </w:pPr>
    </w:p>
    <w:p>
      <w:pPr>
        <w:pStyle w:val="Body A"/>
        <w:widowControl w:val="0"/>
        <w:suppressAutoHyphens w:val="1"/>
        <w:spacing w:before="240" w:after="240"/>
        <w:ind w:left="108" w:hanging="108"/>
        <w:jc w:val="center"/>
        <w:rPr>
          <w:rFonts w:ascii="Times New Roman" w:cs="Times New Roman" w:hAnsi="Times New Roman" w:eastAsia="Times New Roman"/>
          <w:sz w:val="24"/>
          <w:szCs w:val="24"/>
          <w:shd w:val="clear" w:color="auto" w:fill="fcfcfc"/>
        </w:rPr>
      </w:pPr>
    </w:p>
    <w:p>
      <w:pPr>
        <w:pStyle w:val="Body A"/>
        <w:suppressAutoHyphens w:val="1"/>
        <w:spacing w:before="240" w:after="240" w:line="360" w:lineRule="auto"/>
        <w:ind w:left="0" w:firstLine="0"/>
        <w:jc w:val="both"/>
        <w:rPr>
          <w:rFonts w:ascii="Times New Roman" w:cs="Times New Roman" w:hAnsi="Times New Roman" w:eastAsia="Times New Roman"/>
          <w:b w:val="1"/>
          <w:bCs w:val="1"/>
          <w:shd w:val="clear" w:color="auto" w:fill="fcfcfc"/>
        </w:rPr>
      </w:pPr>
      <w:r>
        <w:rPr>
          <w:rFonts w:ascii="Times New Roman" w:cs="Times New Roman" w:hAnsi="Times New Roman" w:eastAsia="Times New Roman"/>
          <w:b w:val="1"/>
          <w:bCs w:val="1"/>
          <w:shd w:val="clear" w:color="auto" w:fill="fcfcfc"/>
        </w:rPr>
        <w:drawing xmlns:a="http://schemas.openxmlformats.org/drawingml/2006/main">
          <wp:anchor distT="152400" distB="152400" distL="152400" distR="152400" simplePos="0" relativeHeight="251659264" behindDoc="0" locked="0" layoutInCell="1" allowOverlap="1">
            <wp:simplePos x="0" y="0"/>
            <wp:positionH relativeFrom="page">
              <wp:posOffset>776770</wp:posOffset>
            </wp:positionH>
            <wp:positionV relativeFrom="line">
              <wp:posOffset>175736</wp:posOffset>
            </wp:positionV>
            <wp:extent cx="6206160" cy="3786664"/>
            <wp:effectExtent l="0" t="0" r="0" b="0"/>
            <wp:wrapThrough wrapText="bothSides" distL="152400" distR="152400">
              <wp:wrapPolygon edited="1">
                <wp:start x="0" y="0"/>
                <wp:lineTo x="21621" y="0"/>
                <wp:lineTo x="21621" y="21607"/>
                <wp:lineTo x="0" y="21607"/>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6206160" cy="3786664"/>
                    </a:xfrm>
                    <a:prstGeom prst="rect">
                      <a:avLst/>
                    </a:prstGeom>
                    <a:ln w="12700" cap="flat">
                      <a:noFill/>
                      <a:miter lim="400000"/>
                    </a:ln>
                    <a:effectLst/>
                  </pic:spPr>
                </pic:pic>
              </a:graphicData>
            </a:graphic>
          </wp:anchor>
        </w:drawing>
      </w:r>
    </w:p>
    <w:p>
      <w:pPr>
        <w:pStyle w:val="Body A"/>
        <w:suppressAutoHyphens w:val="1"/>
        <w:spacing w:before="240" w:after="240" w:line="360" w:lineRule="auto"/>
        <w:ind w:left="0" w:firstLine="0"/>
        <w:jc w:val="both"/>
        <w:rPr>
          <w:rFonts w:ascii="Times New Roman" w:cs="Times New Roman" w:hAnsi="Times New Roman" w:eastAsia="Times New Roman"/>
          <w:shd w:val="clear" w:color="auto" w:fill="fcfcfc"/>
        </w:rPr>
      </w:pPr>
      <w:r>
        <w:rPr>
          <w:rFonts w:ascii="Times New Roman" w:hAnsi="Times New Roman"/>
          <w:b w:val="1"/>
          <w:bCs w:val="1"/>
          <w:shd w:val="clear" w:color="auto" w:fill="fcfcfc"/>
          <w:rtl w:val="0"/>
          <w:lang w:val="en-US"/>
        </w:rPr>
        <w:t>Figure S1:</w:t>
      </w:r>
      <w:r>
        <w:rPr>
          <w:rFonts w:ascii="Times New Roman" w:hAnsi="Times New Roman"/>
          <w:rtl w:val="0"/>
          <w:lang w:val="en-US"/>
        </w:rPr>
        <w:t xml:space="preserve"> </w:t>
      </w:r>
      <w:bookmarkStart w:name="_Hlk89427631" w:id="0"/>
      <w:r>
        <w:rPr>
          <w:rFonts w:ascii="Times New Roman" w:hAnsi="Times New Roman"/>
          <w:rtl w:val="0"/>
          <w:lang w:val="en-US"/>
        </w:rPr>
        <w:t xml:space="preserve">Identification of simple sequence repeats (SSRs) and the </w:t>
      </w:r>
      <w:r>
        <w:rPr>
          <w:rFonts w:ascii="Times New Roman" w:hAnsi="Times New Roman"/>
          <w:shd w:val="clear" w:color="auto" w:fill="fcfcfc"/>
          <w:rtl w:val="0"/>
          <w:lang w:val="en-US"/>
        </w:rPr>
        <w:t xml:space="preserve">frequency distribution of different classes of SSRs in the </w:t>
      </w:r>
      <w:r>
        <w:rPr>
          <w:rFonts w:ascii="Times New Roman" w:hAnsi="Times New Roman"/>
          <w:i w:val="1"/>
          <w:iCs w:val="1"/>
          <w:shd w:val="clear" w:color="auto" w:fill="fcfcfc"/>
          <w:rtl w:val="0"/>
          <w:lang w:val="en-US"/>
        </w:rPr>
        <w:t xml:space="preserve">Nymphaea </w:t>
      </w:r>
      <w:r>
        <w:rPr>
          <w:rFonts w:ascii="Times New Roman" w:hAnsi="Times New Roman"/>
          <w:shd w:val="clear" w:color="auto" w:fill="fcfcfc"/>
          <w:rtl w:val="0"/>
          <w:lang w:val="en-US"/>
        </w:rPr>
        <w:t>genome.</w:t>
      </w:r>
      <w:bookmarkEnd w:id="0"/>
    </w:p>
    <w:p>
      <w:pPr>
        <w:pStyle w:val="Body A"/>
        <w:suppressAutoHyphens w:val="1"/>
        <w:spacing w:before="240" w:after="240" w:line="360" w:lineRule="auto"/>
        <w:ind w:left="0" w:firstLine="0"/>
        <w:jc w:val="both"/>
      </w:pPr>
    </w:p>
    <w:p>
      <w:pPr>
        <w:pStyle w:val="List Paragraph"/>
        <w:numPr>
          <w:ilvl w:val="0"/>
          <w:numId w:val="3"/>
        </w:numPr>
        <w:suppressAutoHyphens w:val="1"/>
        <w:bidi w:val="0"/>
        <w:spacing w:before="240" w:after="240" w:line="360" w:lineRule="auto"/>
        <w:ind w:right="0"/>
        <w:jc w:val="both"/>
        <w:rPr>
          <w:rFonts w:ascii="Times New Roman" w:hAnsi="Times New Roman"/>
          <w:sz w:val="24"/>
          <w:szCs w:val="24"/>
          <w:rtl w:val="0"/>
          <w:lang w:val="en-US"/>
        </w:rPr>
      </w:pPr>
      <w:r>
        <w:rPr>
          <w:rFonts w:ascii="Times New Roman" w:hAnsi="Times New Roman"/>
          <w:b w:val="1"/>
          <w:bCs w:val="1"/>
          <w:sz w:val="24"/>
          <w:szCs w:val="24"/>
          <w:shd w:val="clear" w:color="auto" w:fill="fcfcfc"/>
          <w:rtl w:val="0"/>
          <w:lang w:val="en-US"/>
        </w:rPr>
        <w:t xml:space="preserve">Cross-species transferability and phylogenetic relationships between </w:t>
      </w:r>
      <w:r>
        <w:rPr>
          <w:rFonts w:ascii="Times New Roman" w:hAnsi="Times New Roman"/>
          <w:b w:val="1"/>
          <w:bCs w:val="1"/>
          <w:i w:val="1"/>
          <w:iCs w:val="1"/>
          <w:sz w:val="24"/>
          <w:szCs w:val="24"/>
          <w:shd w:val="clear" w:color="auto" w:fill="fcfcfc"/>
          <w:rtl w:val="0"/>
          <w:lang w:val="en-US"/>
        </w:rPr>
        <w:t xml:space="preserve">Nymphaea </w:t>
      </w:r>
      <w:r>
        <w:rPr>
          <w:rFonts w:ascii="Times New Roman" w:hAnsi="Times New Roman"/>
          <w:b w:val="1"/>
          <w:bCs w:val="1"/>
          <w:sz w:val="24"/>
          <w:szCs w:val="24"/>
          <w:shd w:val="clear" w:color="auto" w:fill="fcfcfc"/>
          <w:rtl w:val="0"/>
          <w:lang w:val="en-US"/>
        </w:rPr>
        <w:t>species</w:t>
      </w:r>
    </w:p>
    <w:p>
      <w:pPr>
        <w:pStyle w:val="Body A"/>
        <w:suppressAutoHyphens w:val="1"/>
        <w:spacing w:before="240" w:after="240" w:line="360" w:lineRule="auto"/>
        <w:ind w:left="0" w:firstLine="0"/>
        <w:jc w:val="both"/>
        <w:rPr>
          <w:rFonts w:ascii="Times New Roman" w:cs="Times New Roman" w:hAnsi="Times New Roman" w:eastAsia="Times New Roman"/>
          <w:i w:val="1"/>
          <w:iCs w:val="1"/>
          <w:sz w:val="24"/>
          <w:szCs w:val="24"/>
          <w:shd w:val="clear" w:color="auto" w:fill="fcfcfc"/>
        </w:rPr>
      </w:pPr>
      <w:r>
        <w:rPr>
          <w:rFonts w:ascii="Times New Roman" w:hAnsi="Times New Roman"/>
          <w:i w:val="1"/>
          <w:iCs w:val="1"/>
          <w:sz w:val="24"/>
          <w:szCs w:val="24"/>
          <w:shd w:val="clear" w:color="auto" w:fill="fcfcfc"/>
          <w:rtl w:val="0"/>
          <w:lang w:val="en-US"/>
        </w:rPr>
        <w:t>2.1 Cross-species amplification of polymorphic SSR markers</w:t>
      </w:r>
    </w:p>
    <w:p>
      <w:pPr>
        <w:pStyle w:val="Body A"/>
        <w:suppressAutoHyphens w:val="1"/>
        <w:spacing w:before="240" w:after="240" w:line="360" w:lineRule="auto"/>
        <w:ind w:left="0" w:firstLine="0"/>
        <w:jc w:val="both"/>
        <w:rPr>
          <w:rFonts w:ascii="Times New Roman" w:cs="Times New Roman" w:hAnsi="Times New Roman" w:eastAsia="Times New Roman"/>
          <w:sz w:val="24"/>
          <w:szCs w:val="24"/>
          <w:shd w:val="clear" w:color="auto" w:fill="fcfcfc"/>
        </w:rPr>
      </w:pPr>
      <w:r>
        <w:rPr>
          <w:rFonts w:ascii="Times New Roman" w:hAnsi="Times New Roman"/>
          <w:sz w:val="24"/>
          <w:szCs w:val="24"/>
          <w:shd w:val="clear" w:color="auto" w:fill="fcfcfc"/>
          <w:rtl w:val="0"/>
          <w:lang w:val="en-US"/>
        </w:rPr>
        <w:t xml:space="preserve">Amplification of the 57 polymorphic microsatellite markers studied in </w:t>
      </w:r>
      <w:r>
        <w:rPr>
          <w:rFonts w:ascii="Times New Roman" w:hAnsi="Times New Roman"/>
          <w:i w:val="1"/>
          <w:iCs w:val="1"/>
          <w:sz w:val="24"/>
          <w:szCs w:val="24"/>
          <w:shd w:val="clear" w:color="auto" w:fill="fcfcfc"/>
          <w:rtl w:val="0"/>
          <w:lang w:val="en-US"/>
        </w:rPr>
        <w:t xml:space="preserve">N. micrantha </w:t>
      </w:r>
      <w:r>
        <w:rPr>
          <w:rFonts w:ascii="Times New Roman" w:hAnsi="Times New Roman"/>
          <w:sz w:val="24"/>
          <w:szCs w:val="24"/>
          <w:shd w:val="clear" w:color="auto" w:fill="fcfcfc"/>
          <w:rtl w:val="0"/>
          <w:lang w:val="en-US"/>
        </w:rPr>
        <w:t xml:space="preserve">and </w:t>
      </w:r>
      <w:r>
        <w:rPr>
          <w:rFonts w:ascii="Times New Roman" w:hAnsi="Times New Roman"/>
          <w:i w:val="1"/>
          <w:iCs w:val="1"/>
          <w:sz w:val="24"/>
          <w:szCs w:val="24"/>
          <w:shd w:val="clear" w:color="auto" w:fill="fcfcfc"/>
          <w:rtl w:val="0"/>
          <w:lang w:val="en-US"/>
        </w:rPr>
        <w:t>N. nouchali</w:t>
      </w:r>
      <w:r>
        <w:rPr>
          <w:rFonts w:ascii="Times New Roman" w:hAnsi="Times New Roman"/>
          <w:sz w:val="24"/>
          <w:szCs w:val="24"/>
          <w:shd w:val="clear" w:color="auto" w:fill="fcfcfc"/>
          <w:rtl w:val="0"/>
          <w:lang w:val="en-US"/>
        </w:rPr>
        <w:t xml:space="preserve"> was also assessed in five other </w:t>
      </w:r>
      <w:r>
        <w:rPr>
          <w:rFonts w:ascii="Times New Roman" w:hAnsi="Times New Roman"/>
          <w:i w:val="1"/>
          <w:iCs w:val="1"/>
          <w:sz w:val="24"/>
          <w:szCs w:val="24"/>
          <w:shd w:val="clear" w:color="auto" w:fill="fcfcfc"/>
          <w:rtl w:val="0"/>
          <w:lang w:val="en-US"/>
        </w:rPr>
        <w:t xml:space="preserve">Nymphaea </w:t>
      </w:r>
      <w:r>
        <w:rPr>
          <w:rFonts w:ascii="Times New Roman" w:hAnsi="Times New Roman"/>
          <w:sz w:val="24"/>
          <w:szCs w:val="24"/>
          <w:shd w:val="clear" w:color="auto" w:fill="fcfcfc"/>
          <w:rtl w:val="0"/>
          <w:lang w:val="en-US"/>
        </w:rPr>
        <w:t xml:space="preserve">species (Supplementary Table 2). </w:t>
      </w:r>
      <w:bookmarkStart w:name="_Hlk89382510" w:id="1"/>
      <w:r>
        <w:rPr>
          <w:rFonts w:ascii="Times New Roman" w:hAnsi="Times New Roman"/>
          <w:sz w:val="24"/>
          <w:szCs w:val="24"/>
          <w:shd w:val="clear" w:color="auto" w:fill="fcfcfc"/>
          <w:rtl w:val="0"/>
          <w:lang w:val="en-US"/>
        </w:rPr>
        <w:t xml:space="preserve">Each primer pair, except Nym_NGS46, was found to be amplifiable in one or more of the tested </w:t>
      </w:r>
      <w:r>
        <w:rPr>
          <w:rFonts w:ascii="Times New Roman" w:hAnsi="Times New Roman"/>
          <w:i w:val="1"/>
          <w:iCs w:val="1"/>
          <w:sz w:val="24"/>
          <w:szCs w:val="24"/>
          <w:shd w:val="clear" w:color="auto" w:fill="fcfcfc"/>
          <w:rtl w:val="0"/>
          <w:lang w:val="en-US"/>
        </w:rPr>
        <w:t xml:space="preserve">Nymphaea </w:t>
      </w:r>
      <w:r>
        <w:rPr>
          <w:rFonts w:ascii="Times New Roman" w:hAnsi="Times New Roman"/>
          <w:sz w:val="24"/>
          <w:szCs w:val="24"/>
          <w:shd w:val="clear" w:color="auto" w:fill="fcfcfc"/>
          <w:rtl w:val="0"/>
          <w:lang w:val="en-US"/>
        </w:rPr>
        <w:t>species. Ten SSR loci (Nym_NGS1, Nym_NGS7, Nym_NGS11, Nym_NGS55, Nym_NGS62, Nym_NGS76, NymTr_11, NymTr_24, NymTr_26, NymTr_28) were able to produce bands in all the species showing 100 % transferability.</w:t>
      </w:r>
      <w:bookmarkEnd w:id="1"/>
      <w:r>
        <w:rPr>
          <w:rFonts w:ascii="Times New Roman" w:hAnsi="Times New Roman"/>
          <w:sz w:val="24"/>
          <w:szCs w:val="24"/>
          <w:shd w:val="clear" w:color="auto" w:fill="fcfcfc"/>
          <w:rtl w:val="0"/>
          <w:lang w:val="en-US"/>
        </w:rPr>
        <w:t xml:space="preserve"> The highest cross-species transferability rate was observed in </w:t>
      </w:r>
      <w:r>
        <w:rPr>
          <w:rFonts w:ascii="Times New Roman" w:hAnsi="Times New Roman"/>
          <w:i w:val="1"/>
          <w:iCs w:val="1"/>
          <w:sz w:val="24"/>
          <w:szCs w:val="24"/>
          <w:shd w:val="clear" w:color="auto" w:fill="fcfcfc"/>
          <w:rtl w:val="0"/>
          <w:lang w:val="en-US"/>
        </w:rPr>
        <w:t xml:space="preserve">N. malabarica </w:t>
      </w:r>
      <w:r>
        <w:rPr>
          <w:rFonts w:ascii="Times New Roman" w:hAnsi="Times New Roman"/>
          <w:sz w:val="24"/>
          <w:szCs w:val="24"/>
          <w:shd w:val="clear" w:color="auto" w:fill="fcfcfc"/>
          <w:rtl w:val="0"/>
          <w:lang w:val="en-US"/>
        </w:rPr>
        <w:t xml:space="preserve">(96.49 %) followed by </w:t>
      </w:r>
      <w:r>
        <w:rPr>
          <w:rFonts w:ascii="Times New Roman" w:hAnsi="Times New Roman"/>
          <w:i w:val="1"/>
          <w:iCs w:val="1"/>
          <w:sz w:val="24"/>
          <w:szCs w:val="24"/>
          <w:shd w:val="clear" w:color="auto" w:fill="fcfcfc"/>
          <w:rtl w:val="0"/>
          <w:lang w:val="en-US"/>
        </w:rPr>
        <w:t xml:space="preserve">N. caerulea </w:t>
      </w:r>
      <w:r>
        <w:rPr>
          <w:rFonts w:ascii="Times New Roman" w:hAnsi="Times New Roman"/>
          <w:sz w:val="24"/>
          <w:szCs w:val="24"/>
          <w:shd w:val="clear" w:color="auto" w:fill="fcfcfc"/>
          <w:rtl w:val="0"/>
          <w:lang w:val="en-US"/>
        </w:rPr>
        <w:t xml:space="preserve">(91.23 %), </w:t>
      </w:r>
      <w:r>
        <w:rPr>
          <w:rFonts w:ascii="Times New Roman" w:hAnsi="Times New Roman"/>
          <w:i w:val="1"/>
          <w:iCs w:val="1"/>
          <w:sz w:val="24"/>
          <w:szCs w:val="24"/>
          <w:shd w:val="clear" w:color="auto" w:fill="fcfcfc"/>
          <w:rtl w:val="0"/>
          <w:lang w:val="en-US"/>
        </w:rPr>
        <w:t xml:space="preserve">N. rubra </w:t>
      </w:r>
      <w:r>
        <w:rPr>
          <w:rFonts w:ascii="Times New Roman" w:hAnsi="Times New Roman"/>
          <w:sz w:val="24"/>
          <w:szCs w:val="24"/>
          <w:shd w:val="clear" w:color="auto" w:fill="fcfcfc"/>
          <w:rtl w:val="0"/>
          <w:lang w:val="en-US"/>
        </w:rPr>
        <w:t xml:space="preserve">(56.14 %), </w:t>
      </w:r>
      <w:r>
        <w:rPr>
          <w:rFonts w:ascii="Times New Roman" w:hAnsi="Times New Roman"/>
          <w:i w:val="1"/>
          <w:iCs w:val="1"/>
          <w:sz w:val="24"/>
          <w:szCs w:val="24"/>
          <w:shd w:val="clear" w:color="auto" w:fill="fcfcfc"/>
          <w:rtl w:val="0"/>
          <w:lang w:val="en-US"/>
        </w:rPr>
        <w:t xml:space="preserve">N. pubescens </w:t>
      </w:r>
      <w:r>
        <w:rPr>
          <w:rFonts w:ascii="Times New Roman" w:hAnsi="Times New Roman"/>
          <w:sz w:val="24"/>
          <w:szCs w:val="24"/>
          <w:shd w:val="clear" w:color="auto" w:fill="fcfcfc"/>
          <w:rtl w:val="0"/>
          <w:lang w:val="en-US"/>
        </w:rPr>
        <w:t xml:space="preserve">(49.12 %) and </w:t>
      </w:r>
      <w:r>
        <w:rPr>
          <w:rFonts w:ascii="Times New Roman" w:hAnsi="Times New Roman"/>
          <w:i w:val="1"/>
          <w:iCs w:val="1"/>
          <w:sz w:val="24"/>
          <w:szCs w:val="24"/>
          <w:shd w:val="clear" w:color="auto" w:fill="fcfcfc"/>
          <w:rtl w:val="0"/>
          <w:lang w:val="en-US"/>
        </w:rPr>
        <w:t xml:space="preserve">N. </w:t>
      </w:r>
      <w:r>
        <w:rPr>
          <w:rFonts w:ascii="Times New Roman" w:hAnsi="Times New Roman" w:hint="default"/>
          <w:i w:val="1"/>
          <w:iCs w:val="1"/>
          <w:sz w:val="24"/>
          <w:szCs w:val="24"/>
          <w:shd w:val="clear" w:color="auto" w:fill="fcfcfc"/>
          <w:rtl w:val="0"/>
          <w:lang w:val="en-US"/>
        </w:rPr>
        <w:t xml:space="preserve">× </w:t>
      </w:r>
      <w:r>
        <w:rPr>
          <w:rFonts w:ascii="Times New Roman" w:hAnsi="Times New Roman"/>
          <w:i w:val="1"/>
          <w:iCs w:val="1"/>
          <w:sz w:val="24"/>
          <w:szCs w:val="24"/>
          <w:shd w:val="clear" w:color="auto" w:fill="fcfcfc"/>
          <w:rtl w:val="0"/>
          <w:lang w:val="en-US"/>
        </w:rPr>
        <w:t>khooroi</w:t>
      </w:r>
      <w:r>
        <w:rPr>
          <w:rFonts w:ascii="Times New Roman" w:hAnsi="Times New Roman"/>
          <w:sz w:val="24"/>
          <w:szCs w:val="24"/>
          <w:shd w:val="clear" w:color="auto" w:fill="fcfcfc"/>
          <w:rtl w:val="0"/>
          <w:lang w:val="en-US"/>
        </w:rPr>
        <w:t xml:space="preserve"> (38.60 %) (see Supplementary Table 2). </w:t>
      </w:r>
    </w:p>
    <w:p>
      <w:pPr>
        <w:pStyle w:val="Body A"/>
        <w:spacing w:line="360" w:lineRule="auto"/>
        <w:ind w:left="0" w:firstLine="0"/>
        <w:jc w:val="both"/>
        <w:rPr>
          <w:rFonts w:ascii="Times New Roman" w:cs="Times New Roman" w:hAnsi="Times New Roman" w:eastAsia="Times New Roman"/>
          <w:i w:val="1"/>
          <w:iCs w:val="1"/>
          <w:sz w:val="24"/>
          <w:szCs w:val="24"/>
          <w:shd w:val="clear" w:color="auto" w:fill="fcfcfc"/>
        </w:rPr>
      </w:pPr>
      <w:r>
        <w:rPr>
          <w:rFonts w:ascii="Times New Roman" w:hAnsi="Times New Roman"/>
          <w:i w:val="1"/>
          <w:iCs w:val="1"/>
          <w:sz w:val="24"/>
          <w:szCs w:val="24"/>
          <w:shd w:val="clear" w:color="auto" w:fill="fcfcfc"/>
          <w:rtl w:val="0"/>
          <w:lang w:val="en-US"/>
        </w:rPr>
        <w:t>2.2 Phylogenetic network analysis</w:t>
      </w:r>
    </w:p>
    <w:p>
      <w:pPr>
        <w:pStyle w:val="Body A"/>
        <w:spacing w:line="360" w:lineRule="auto"/>
        <w:ind w:left="0" w:firstLine="0"/>
        <w:jc w:val="both"/>
        <w:rPr>
          <w:rFonts w:ascii="Times New Roman" w:cs="Times New Roman" w:hAnsi="Times New Roman" w:eastAsia="Times New Roman"/>
          <w:sz w:val="24"/>
          <w:szCs w:val="24"/>
        </w:rPr>
      </w:pPr>
      <w:r>
        <w:rPr>
          <w:rFonts w:ascii="Times New Roman" w:hAnsi="Times New Roman"/>
          <w:sz w:val="24"/>
          <w:szCs w:val="24"/>
          <w:shd w:val="clear" w:color="auto" w:fill="fcfcfc"/>
          <w:rtl w:val="0"/>
          <w:lang w:val="en-US"/>
        </w:rPr>
        <w:t xml:space="preserve">Phylogenetic networks provide an alternative to phylogenetic trees and are more suitable to represent evolutionary trajectories for datasets whose evolution involves reticulate events such as hybridization, horizontal gene transfer, or recombination </w:t>
      </w:r>
      <w:r>
        <w:rPr>
          <w:rFonts w:ascii="Times New Roman" w:hAnsi="Times New Roman"/>
          <w:sz w:val="24"/>
          <w:szCs w:val="24"/>
          <w:rtl w:val="0"/>
          <w:lang w:val="en-US"/>
        </w:rPr>
        <w:t>(Huson &amp; Bryant, 2006)</w:t>
      </w:r>
      <w:r>
        <w:rPr>
          <w:rFonts w:ascii="Times New Roman" w:hAnsi="Times New Roman"/>
          <w:sz w:val="24"/>
          <w:szCs w:val="24"/>
          <w:shd w:val="clear" w:color="auto" w:fill="fcfcfc"/>
          <w:rtl w:val="0"/>
          <w:lang w:val="en-US"/>
        </w:rPr>
        <w:t xml:space="preserve">. Various research groups have unraveled reticulate evolutionary patterns in </w:t>
      </w:r>
      <w:r>
        <w:rPr>
          <w:rFonts w:ascii="Times New Roman" w:hAnsi="Times New Roman"/>
          <w:i w:val="1"/>
          <w:iCs w:val="1"/>
          <w:sz w:val="24"/>
          <w:szCs w:val="24"/>
          <w:shd w:val="clear" w:color="auto" w:fill="fcfcfc"/>
          <w:rtl w:val="0"/>
          <w:lang w:val="en-US"/>
        </w:rPr>
        <w:t xml:space="preserve">Nymphaea </w:t>
      </w:r>
      <w:r>
        <w:rPr>
          <w:rFonts w:ascii="Times New Roman" w:hAnsi="Times New Roman"/>
          <w:sz w:val="24"/>
          <w:szCs w:val="24"/>
          <w:shd w:val="clear" w:color="auto" w:fill="fcfcfc"/>
          <w:rtl w:val="0"/>
          <w:lang w:val="en-US"/>
        </w:rPr>
        <w:t xml:space="preserve">spp. </w:t>
      </w:r>
      <w:r>
        <w:rPr>
          <w:rFonts w:ascii="Times New Roman" w:hAnsi="Times New Roman"/>
          <w:sz w:val="24"/>
          <w:szCs w:val="24"/>
          <w:rtl w:val="0"/>
          <w:lang w:val="de-DE"/>
        </w:rPr>
        <w:t>(Borsch et al., 2007; L</w:t>
      </w:r>
      <w:r>
        <w:rPr>
          <w:rFonts w:ascii="Times New Roman" w:hAnsi="Times New Roman" w:hint="default"/>
          <w:sz w:val="24"/>
          <w:szCs w:val="24"/>
          <w:rtl w:val="0"/>
          <w:lang w:val="en-US"/>
        </w:rPr>
        <w:t>ö</w:t>
      </w:r>
      <w:r>
        <w:rPr>
          <w:rFonts w:ascii="Times New Roman" w:hAnsi="Times New Roman"/>
          <w:sz w:val="24"/>
          <w:szCs w:val="24"/>
          <w:rtl w:val="0"/>
          <w:lang w:val="en-US"/>
        </w:rPr>
        <w:t>hne et al., 2008)</w:t>
      </w:r>
      <w:r>
        <w:rPr>
          <w:rFonts w:ascii="Times New Roman" w:hAnsi="Times New Roman"/>
          <w:sz w:val="24"/>
          <w:szCs w:val="24"/>
          <w:shd w:val="clear" w:color="auto" w:fill="fcfcfc"/>
          <w:rtl w:val="0"/>
          <w:lang w:val="en-US"/>
        </w:rPr>
        <w:t xml:space="preserve">. Therefore, because the datasets for which reticulate events are detected are better represented by networks than tress, the cross-species transferable polymorphic SSR markers were used to compute phylogenetic network among the studied species. Analysis was performed with SplitsTree5 </w:t>
      </w:r>
      <w:r>
        <w:rPr>
          <w:rFonts w:ascii="Times New Roman" w:hAnsi="Times New Roman"/>
          <w:sz w:val="24"/>
          <w:szCs w:val="24"/>
          <w:rtl w:val="0"/>
          <w:lang w:val="en-US"/>
        </w:rPr>
        <w:t>(Huson, 1998, Huson and Bryant 2006)</w:t>
      </w:r>
      <w:r>
        <w:rPr>
          <w:rFonts w:ascii="Times New Roman" w:hAnsi="Times New Roman"/>
          <w:sz w:val="24"/>
          <w:szCs w:val="24"/>
          <w:shd w:val="clear" w:color="auto" w:fill="fcfcfc"/>
          <w:rtl w:val="0"/>
          <w:lang w:val="en-US"/>
        </w:rPr>
        <w:t xml:space="preserve"> using Neighbor-Net method (</w:t>
      </w:r>
      <w:r>
        <w:rPr>
          <w:rFonts w:ascii="Times New Roman" w:hAnsi="Times New Roman"/>
          <w:sz w:val="24"/>
          <w:szCs w:val="24"/>
          <w:rtl w:val="0"/>
          <w:lang w:val="en-US"/>
        </w:rPr>
        <w:t>Bryant &amp; Moulton, 2004) to obtain splits and Splits Network Algorithm method (Dress &amp; Huson, 2004) to obtain the splits network.</w:t>
      </w:r>
    </w:p>
    <w:p>
      <w:pPr>
        <w:pStyle w:val="Body A"/>
        <w:spacing w:line="360" w:lineRule="auto"/>
        <w:ind w:left="0" w:firstLine="0"/>
        <w:jc w:val="both"/>
        <w:rPr>
          <w:rFonts w:ascii="Times New Roman" w:cs="Times New Roman" w:hAnsi="Times New Roman" w:eastAsia="Times New Roman"/>
          <w:sz w:val="24"/>
          <w:szCs w:val="24"/>
          <w:shd w:val="clear" w:color="auto" w:fill="fcfcfc"/>
        </w:rPr>
      </w:pPr>
    </w:p>
    <w:p>
      <w:pPr>
        <w:pStyle w:val="Body A"/>
        <w:spacing w:line="360" w:lineRule="auto"/>
        <w:ind w:left="0" w:firstLine="0"/>
        <w:jc w:val="both"/>
        <w:rPr>
          <w:rFonts w:ascii="Times New Roman" w:cs="Times New Roman" w:hAnsi="Times New Roman" w:eastAsia="Times New Roman"/>
          <w:sz w:val="24"/>
          <w:szCs w:val="24"/>
          <w:shd w:val="clear" w:color="auto" w:fill="fcfcfc"/>
        </w:rPr>
      </w:pPr>
      <w:r>
        <w:rPr>
          <w:rFonts w:ascii="Times New Roman" w:cs="Times New Roman" w:hAnsi="Times New Roman" w:eastAsia="Times New Roman"/>
          <w:sz w:val="24"/>
          <w:szCs w:val="24"/>
          <w:shd w:val="clear" w:color="auto" w:fill="fcfcfc"/>
        </w:rPr>
        <w:drawing xmlns:a="http://schemas.openxmlformats.org/drawingml/2006/main">
          <wp:inline distT="0" distB="0" distL="0" distR="0">
            <wp:extent cx="5943473" cy="3975016"/>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5">
                      <a:extLst/>
                    </a:blip>
                    <a:stretch>
                      <a:fillRect/>
                    </a:stretch>
                  </pic:blipFill>
                  <pic:spPr>
                    <a:xfrm>
                      <a:off x="0" y="0"/>
                      <a:ext cx="5943473" cy="3975016"/>
                    </a:xfrm>
                    <a:prstGeom prst="rect">
                      <a:avLst/>
                    </a:prstGeom>
                    <a:ln w="12700" cap="flat">
                      <a:noFill/>
                      <a:miter lim="400000"/>
                    </a:ln>
                    <a:effectLst/>
                  </pic:spPr>
                </pic:pic>
              </a:graphicData>
            </a:graphic>
          </wp:inline>
        </w:drawing>
      </w:r>
    </w:p>
    <w:p>
      <w:pPr>
        <w:pStyle w:val="Body A"/>
        <w:spacing w:line="360" w:lineRule="auto"/>
        <w:ind w:left="0" w:firstLine="0"/>
        <w:jc w:val="both"/>
        <w:rPr>
          <w:rFonts w:ascii="Times New Roman" w:cs="Times New Roman" w:hAnsi="Times New Roman" w:eastAsia="Times New Roman"/>
          <w:sz w:val="24"/>
          <w:szCs w:val="24"/>
          <w:shd w:val="clear" w:color="auto" w:fill="fcfcfc"/>
        </w:rPr>
      </w:pPr>
    </w:p>
    <w:p>
      <w:pPr>
        <w:pStyle w:val="Body A"/>
        <w:spacing w:line="360" w:lineRule="auto"/>
        <w:ind w:left="0" w:firstLine="0"/>
        <w:jc w:val="both"/>
        <w:rPr>
          <w:rFonts w:ascii="Times New Roman" w:cs="Times New Roman" w:hAnsi="Times New Roman" w:eastAsia="Times New Roman"/>
          <w:shd w:val="clear" w:color="auto" w:fill="fcfcfc"/>
        </w:rPr>
      </w:pPr>
      <w:r>
        <w:rPr>
          <w:rFonts w:ascii="Times New Roman" w:hAnsi="Times New Roman"/>
          <w:b w:val="1"/>
          <w:bCs w:val="1"/>
          <w:shd w:val="clear" w:color="auto" w:fill="fcfcfc"/>
          <w:rtl w:val="0"/>
          <w:lang w:val="en-US"/>
        </w:rPr>
        <w:t>Figure S2:</w:t>
      </w:r>
      <w:r>
        <w:rPr>
          <w:rFonts w:ascii="Times New Roman" w:hAnsi="Times New Roman"/>
          <w:shd w:val="clear" w:color="auto" w:fill="fcfcfc"/>
          <w:rtl w:val="0"/>
          <w:lang w:val="en-US"/>
        </w:rPr>
        <w:t xml:space="preserve"> </w:t>
      </w:r>
      <w:bookmarkStart w:name="_Hlk89427521" w:id="2"/>
      <w:r>
        <w:rPr>
          <w:rFonts w:ascii="Times New Roman" w:hAnsi="Times New Roman"/>
          <w:shd w:val="clear" w:color="auto" w:fill="fcfcfc"/>
          <w:rtl w:val="0"/>
          <w:lang w:val="en-US"/>
        </w:rPr>
        <w:t xml:space="preserve">Phylogenetic network of the </w:t>
      </w:r>
      <w:r>
        <w:rPr>
          <w:rFonts w:ascii="Times New Roman" w:hAnsi="Times New Roman"/>
          <w:i w:val="1"/>
          <w:iCs w:val="1"/>
          <w:shd w:val="clear" w:color="auto" w:fill="fcfcfc"/>
          <w:rtl w:val="0"/>
          <w:lang w:val="en-US"/>
        </w:rPr>
        <w:t xml:space="preserve">Nymphaea </w:t>
      </w:r>
      <w:r>
        <w:rPr>
          <w:rFonts w:ascii="Times New Roman" w:hAnsi="Times New Roman"/>
          <w:shd w:val="clear" w:color="auto" w:fill="fcfcfc"/>
          <w:rtl w:val="0"/>
          <w:lang w:val="en-US"/>
        </w:rPr>
        <w:t>species constructed with SplitsTree5 (Huson and Bryant, 2006) using the cross-species transferable microsatellite markers. Clustering is based on Neighbor-net algorithm (Bryant and Moulton, 2004). Long parallel edges represent consistent phylogenetic information.</w:t>
      </w:r>
      <w:bookmarkEnd w:id="2"/>
    </w:p>
    <w:p>
      <w:pPr>
        <w:pStyle w:val="Body A"/>
        <w:spacing w:line="360" w:lineRule="auto"/>
        <w:ind w:left="0" w:firstLine="0"/>
        <w:jc w:val="both"/>
        <w:rPr>
          <w:rFonts w:ascii="Times New Roman" w:cs="Times New Roman" w:hAnsi="Times New Roman" w:eastAsia="Times New Roman"/>
          <w:shd w:val="clear" w:color="auto" w:fill="fcfcfc"/>
        </w:rPr>
      </w:pPr>
    </w:p>
    <w:p>
      <w:pPr>
        <w:pStyle w:val="Body A"/>
        <w:spacing w:line="360" w:lineRule="auto"/>
        <w:ind w:left="0" w:firstLine="0"/>
        <w:jc w:val="both"/>
        <w:rPr>
          <w:rFonts w:ascii="Times New Roman" w:cs="Times New Roman" w:hAnsi="Times New Roman" w:eastAsia="Times New Roman"/>
          <w:sz w:val="24"/>
          <w:szCs w:val="24"/>
          <w:shd w:val="clear" w:color="auto" w:fill="fcfcfc"/>
        </w:rPr>
      </w:pPr>
      <w:r>
        <w:rPr>
          <w:rFonts w:ascii="Times New Roman" w:hAnsi="Times New Roman"/>
          <w:sz w:val="24"/>
          <w:szCs w:val="24"/>
          <w:shd w:val="clear" w:color="auto" w:fill="fcfcfc"/>
          <w:rtl w:val="0"/>
          <w:lang w:val="en-US"/>
        </w:rPr>
        <w:t xml:space="preserve">The Neighbor-net splits network (Figure S2) supported the split of species belonging to the same subgenus into one group. </w:t>
      </w:r>
      <w:r>
        <w:rPr>
          <w:rFonts w:ascii="Times New Roman" w:hAnsi="Times New Roman"/>
          <w:i w:val="1"/>
          <w:iCs w:val="1"/>
          <w:sz w:val="24"/>
          <w:szCs w:val="24"/>
          <w:shd w:val="clear" w:color="auto" w:fill="fcfcfc"/>
          <w:rtl w:val="0"/>
          <w:lang w:val="en-US"/>
        </w:rPr>
        <w:t>N. micrantha</w:t>
      </w:r>
      <w:r>
        <w:rPr>
          <w:rFonts w:ascii="Times New Roman" w:hAnsi="Times New Roman"/>
          <w:sz w:val="24"/>
          <w:szCs w:val="24"/>
          <w:shd w:val="clear" w:color="auto" w:fill="fcfcfc"/>
          <w:rtl w:val="0"/>
          <w:lang w:val="en-US"/>
        </w:rPr>
        <w:t xml:space="preserve">, </w:t>
      </w:r>
      <w:r>
        <w:rPr>
          <w:rFonts w:ascii="Times New Roman" w:hAnsi="Times New Roman"/>
          <w:i w:val="1"/>
          <w:iCs w:val="1"/>
          <w:sz w:val="24"/>
          <w:szCs w:val="24"/>
          <w:shd w:val="clear" w:color="auto" w:fill="fcfcfc"/>
          <w:rtl w:val="0"/>
          <w:lang w:val="en-US"/>
        </w:rPr>
        <w:t xml:space="preserve">N. nouchali </w:t>
      </w:r>
      <w:r>
        <w:rPr>
          <w:rFonts w:ascii="Times New Roman" w:hAnsi="Times New Roman"/>
          <w:sz w:val="24"/>
          <w:szCs w:val="24"/>
          <w:shd w:val="clear" w:color="auto" w:fill="fcfcfc"/>
          <w:rtl w:val="0"/>
          <w:lang w:val="en-US"/>
        </w:rPr>
        <w:t xml:space="preserve">and </w:t>
      </w:r>
      <w:r>
        <w:rPr>
          <w:rFonts w:ascii="Times New Roman" w:hAnsi="Times New Roman"/>
          <w:i w:val="1"/>
          <w:iCs w:val="1"/>
          <w:sz w:val="24"/>
          <w:szCs w:val="24"/>
          <w:shd w:val="clear" w:color="auto" w:fill="fcfcfc"/>
          <w:rtl w:val="0"/>
          <w:lang w:val="en-US"/>
        </w:rPr>
        <w:t>N. caerulea</w:t>
      </w:r>
      <w:r>
        <w:rPr>
          <w:rFonts w:ascii="Times New Roman" w:hAnsi="Times New Roman"/>
          <w:sz w:val="24"/>
          <w:szCs w:val="24"/>
          <w:shd w:val="clear" w:color="auto" w:fill="fcfcfc"/>
          <w:rtl w:val="0"/>
          <w:lang w:val="en-US"/>
        </w:rPr>
        <w:t xml:space="preserve">, which belong to the subgenus </w:t>
      </w:r>
      <w:r>
        <w:rPr>
          <w:rFonts w:ascii="Times New Roman" w:hAnsi="Times New Roman"/>
          <w:i w:val="1"/>
          <w:iCs w:val="1"/>
          <w:sz w:val="24"/>
          <w:szCs w:val="24"/>
          <w:shd w:val="clear" w:color="auto" w:fill="fcfcfc"/>
          <w:rtl w:val="0"/>
          <w:lang w:val="en-US"/>
        </w:rPr>
        <w:t>Brachyceras</w:t>
      </w:r>
      <w:r>
        <w:rPr>
          <w:rFonts w:ascii="Times New Roman" w:hAnsi="Times New Roman"/>
          <w:sz w:val="24"/>
          <w:szCs w:val="24"/>
          <w:shd w:val="clear" w:color="auto" w:fill="fcfcfc"/>
          <w:rtl w:val="0"/>
          <w:lang w:val="en-US"/>
        </w:rPr>
        <w:t xml:space="preserve"> were more closely related. </w:t>
      </w:r>
      <w:r>
        <w:rPr>
          <w:rFonts w:ascii="Times New Roman" w:hAnsi="Times New Roman"/>
          <w:i w:val="1"/>
          <w:iCs w:val="1"/>
          <w:sz w:val="24"/>
          <w:szCs w:val="24"/>
          <w:shd w:val="clear" w:color="auto" w:fill="fcfcfc"/>
          <w:rtl w:val="0"/>
          <w:lang w:val="en-US"/>
        </w:rPr>
        <w:t xml:space="preserve">N. rubra </w:t>
      </w:r>
      <w:r>
        <w:rPr>
          <w:rFonts w:ascii="Times New Roman" w:hAnsi="Times New Roman"/>
          <w:sz w:val="24"/>
          <w:szCs w:val="24"/>
          <w:shd w:val="clear" w:color="auto" w:fill="fcfcfc"/>
          <w:rtl w:val="0"/>
          <w:lang w:val="en-US"/>
        </w:rPr>
        <w:t xml:space="preserve">and </w:t>
      </w:r>
      <w:r>
        <w:rPr>
          <w:rFonts w:ascii="Times New Roman" w:hAnsi="Times New Roman"/>
          <w:i w:val="1"/>
          <w:iCs w:val="1"/>
          <w:sz w:val="24"/>
          <w:szCs w:val="24"/>
          <w:shd w:val="clear" w:color="auto" w:fill="fcfcfc"/>
          <w:rtl w:val="0"/>
          <w:lang w:val="en-US"/>
        </w:rPr>
        <w:t xml:space="preserve">N. pubescens </w:t>
      </w:r>
      <w:r>
        <w:rPr>
          <w:rFonts w:ascii="Times New Roman" w:hAnsi="Times New Roman"/>
          <w:sz w:val="24"/>
          <w:szCs w:val="24"/>
          <w:shd w:val="clear" w:color="auto" w:fill="fcfcfc"/>
          <w:rtl w:val="0"/>
          <w:lang w:val="en-US"/>
        </w:rPr>
        <w:t xml:space="preserve">belonging to the subgenus </w:t>
      </w:r>
      <w:r>
        <w:rPr>
          <w:rFonts w:ascii="Times New Roman" w:hAnsi="Times New Roman"/>
          <w:i w:val="1"/>
          <w:iCs w:val="1"/>
          <w:sz w:val="24"/>
          <w:szCs w:val="24"/>
          <w:shd w:val="clear" w:color="auto" w:fill="fcfcfc"/>
          <w:rtl w:val="0"/>
          <w:lang w:val="en-US"/>
        </w:rPr>
        <w:t xml:space="preserve">Lotus </w:t>
      </w:r>
      <w:r>
        <w:rPr>
          <w:rFonts w:ascii="Times New Roman" w:hAnsi="Times New Roman"/>
          <w:sz w:val="24"/>
          <w:szCs w:val="24"/>
          <w:shd w:val="clear" w:color="auto" w:fill="fcfcfc"/>
          <w:rtl w:val="0"/>
          <w:lang w:val="en-US"/>
        </w:rPr>
        <w:t xml:space="preserve">were found to be more closely related to </w:t>
      </w:r>
      <w:r>
        <w:rPr>
          <w:rFonts w:ascii="Times New Roman" w:hAnsi="Times New Roman"/>
          <w:i w:val="1"/>
          <w:iCs w:val="1"/>
          <w:sz w:val="24"/>
          <w:szCs w:val="24"/>
          <w:shd w:val="clear" w:color="auto" w:fill="fcfcfc"/>
          <w:rtl w:val="0"/>
          <w:lang w:val="en-US"/>
        </w:rPr>
        <w:t xml:space="preserve">N. </w:t>
      </w:r>
      <w:r>
        <w:rPr>
          <w:rFonts w:ascii="Times New Roman" w:hAnsi="Times New Roman" w:hint="default"/>
          <w:i w:val="1"/>
          <w:iCs w:val="1"/>
          <w:sz w:val="24"/>
          <w:szCs w:val="24"/>
          <w:shd w:val="clear" w:color="auto" w:fill="fcfcfc"/>
          <w:rtl w:val="0"/>
          <w:lang w:val="en-US"/>
        </w:rPr>
        <w:t xml:space="preserve">× </w:t>
      </w:r>
      <w:r>
        <w:rPr>
          <w:rFonts w:ascii="Times New Roman" w:hAnsi="Times New Roman"/>
          <w:i w:val="1"/>
          <w:iCs w:val="1"/>
          <w:sz w:val="24"/>
          <w:szCs w:val="24"/>
          <w:shd w:val="clear" w:color="auto" w:fill="fcfcfc"/>
          <w:rtl w:val="0"/>
          <w:lang w:val="en-US"/>
        </w:rPr>
        <w:t>khurooi</w:t>
      </w:r>
      <w:r>
        <w:rPr>
          <w:rFonts w:ascii="Times New Roman" w:hAnsi="Times New Roman"/>
          <w:sz w:val="24"/>
          <w:szCs w:val="24"/>
          <w:shd w:val="clear" w:color="auto" w:fill="fcfcfc"/>
          <w:rtl w:val="0"/>
          <w:lang w:val="en-US"/>
        </w:rPr>
        <w:t xml:space="preserve"> subgenus </w:t>
      </w:r>
      <w:r>
        <w:rPr>
          <w:rFonts w:ascii="Times New Roman" w:hAnsi="Times New Roman"/>
          <w:i w:val="1"/>
          <w:iCs w:val="1"/>
          <w:sz w:val="24"/>
          <w:szCs w:val="24"/>
          <w:shd w:val="clear" w:color="auto" w:fill="fcfcfc"/>
          <w:rtl w:val="0"/>
          <w:lang w:val="en-US"/>
        </w:rPr>
        <w:t>Nymphaea</w:t>
      </w:r>
      <w:r>
        <w:rPr>
          <w:rFonts w:ascii="Times New Roman" w:hAnsi="Times New Roman"/>
          <w:sz w:val="24"/>
          <w:szCs w:val="24"/>
          <w:shd w:val="clear" w:color="auto" w:fill="fcfcfc"/>
          <w:rtl w:val="0"/>
          <w:lang w:val="en-US"/>
        </w:rPr>
        <w:t>.</w:t>
      </w:r>
    </w:p>
    <w:p>
      <w:pPr>
        <w:pStyle w:val="Body A"/>
        <w:spacing w:line="360" w:lineRule="auto"/>
        <w:ind w:left="0" w:firstLine="0"/>
        <w:jc w:val="both"/>
        <w:rPr>
          <w:rFonts w:ascii="Times New Roman" w:cs="Times New Roman" w:hAnsi="Times New Roman" w:eastAsia="Times New Roman"/>
          <w:shd w:val="clear" w:color="auto" w:fill="fcfcfc"/>
        </w:rPr>
      </w:pPr>
    </w:p>
    <w:p>
      <w:pPr>
        <w:pStyle w:val="Body A"/>
        <w:spacing w:line="360" w:lineRule="auto"/>
        <w:ind w:left="0" w:firstLine="0"/>
        <w:jc w:val="both"/>
        <w:rPr>
          <w:rFonts w:ascii="Times New Roman" w:cs="Times New Roman" w:hAnsi="Times New Roman" w:eastAsia="Times New Roman"/>
          <w:shd w:val="clear" w:color="auto" w:fill="fcfcfc"/>
        </w:rPr>
      </w:pPr>
    </w:p>
    <w:p>
      <w:pPr>
        <w:pStyle w:val="Body A"/>
        <w:spacing w:line="360" w:lineRule="auto"/>
        <w:ind w:left="0" w:firstLine="0"/>
        <w:rPr>
          <w:rFonts w:ascii="Times New Roman" w:cs="Times New Roman" w:hAnsi="Times New Roman" w:eastAsia="Times New Roman"/>
          <w:b w:val="1"/>
          <w:bCs w:val="1"/>
          <w:sz w:val="24"/>
          <w:szCs w:val="24"/>
          <w:shd w:val="clear" w:color="auto" w:fill="fcfcfc"/>
        </w:rPr>
      </w:pPr>
      <w:r>
        <w:rPr>
          <w:rFonts w:ascii="Times New Roman" w:hAnsi="Times New Roman"/>
          <w:b w:val="1"/>
          <w:bCs w:val="1"/>
          <w:sz w:val="24"/>
          <w:szCs w:val="24"/>
          <w:shd w:val="clear" w:color="auto" w:fill="fcfcfc"/>
          <w:rtl w:val="0"/>
          <w:lang w:val="en-US"/>
        </w:rPr>
        <w:t>References</w:t>
      </w:r>
    </w:p>
    <w:p>
      <w:pPr>
        <w:pStyle w:val="Default"/>
        <w:spacing w:before="0" w:line="240" w:lineRule="auto"/>
        <w:ind w:left="567" w:hanging="567"/>
        <w:jc w:val="both"/>
        <w:rPr>
          <w:rFonts w:ascii="Times New Roman" w:cs="Times New Roman" w:hAnsi="Times New Roman" w:eastAsia="Times New Roman"/>
          <w:outline w:val="0"/>
          <w:color w:val="222222"/>
          <w:u w:color="222222"/>
          <w:shd w:val="clear" w:color="auto" w:fill="ffffff"/>
          <w14:textFill>
            <w14:solidFill>
              <w14:srgbClr w14:val="222222"/>
            </w14:solidFill>
          </w14:textFill>
        </w:rPr>
      </w:pPr>
      <w:r>
        <w:rPr>
          <w:rFonts w:ascii="Times New Roman" w:hAnsi="Times New Roman"/>
          <w:outline w:val="0"/>
          <w:color w:val="222222"/>
          <w:u w:color="222222"/>
          <w:shd w:val="clear" w:color="auto" w:fill="ffffff"/>
          <w:rtl w:val="0"/>
          <w:lang w:val="de-DE"/>
          <w14:textFill>
            <w14:solidFill>
              <w14:srgbClr w14:val="222222"/>
            </w14:solidFill>
          </w14:textFill>
        </w:rPr>
        <w:t>Borsch, T., Hilu, K. W., Wiersema, J. H., L</w:t>
      </w:r>
      <w:r>
        <w:rPr>
          <w:rFonts w:ascii="Times New Roman" w:hAnsi="Times New Roman" w:hint="default"/>
          <w:outline w:val="0"/>
          <w:color w:val="222222"/>
          <w:u w:color="222222"/>
          <w:shd w:val="clear" w:color="auto" w:fill="ffffff"/>
          <w:rtl w:val="0"/>
          <w:lang w:val="sv-SE"/>
          <w14:textFill>
            <w14:solidFill>
              <w14:srgbClr w14:val="222222"/>
            </w14:solidFill>
          </w14:textFill>
        </w:rPr>
        <w:t>ö</w:t>
      </w:r>
      <w:r>
        <w:rPr>
          <w:rFonts w:ascii="Times New Roman" w:hAnsi="Times New Roman"/>
          <w:outline w:val="0"/>
          <w:color w:val="222222"/>
          <w:u w:color="222222"/>
          <w:shd w:val="clear" w:color="auto" w:fill="ffffff"/>
          <w:rtl w:val="0"/>
          <w:lang w:val="en-US"/>
          <w14:textFill>
            <w14:solidFill>
              <w14:srgbClr w14:val="222222"/>
            </w14:solidFill>
          </w14:textFill>
        </w:rPr>
        <w:t xml:space="preserve">hne, C., Barthlott, W., &amp; Wilde, V. (2007). Phylogeny of Nymphaea (Nymphaeaceae): evidence from substitutions and microstructural changes in the chloroplast trnT-trnF region. </w:t>
      </w:r>
      <w:r>
        <w:rPr>
          <w:rFonts w:ascii="Times New Roman" w:hAnsi="Times New Roman"/>
          <w:i w:val="1"/>
          <w:iCs w:val="1"/>
          <w:outline w:val="0"/>
          <w:color w:val="222222"/>
          <w:u w:color="222222"/>
          <w:shd w:val="clear" w:color="auto" w:fill="ffffff"/>
          <w:rtl w:val="0"/>
          <w:lang w:val="en-US"/>
          <w14:textFill>
            <w14:solidFill>
              <w14:srgbClr w14:val="222222"/>
            </w14:solidFill>
          </w14:textFill>
        </w:rPr>
        <w:t>International Journal of Plant Sciences</w:t>
      </w:r>
      <w:r>
        <w:rPr>
          <w:rFonts w:ascii="Times New Roman" w:hAnsi="Times New Roman"/>
          <w:outline w:val="0"/>
          <w:color w:val="222222"/>
          <w:u w:color="222222"/>
          <w:shd w:val="clear" w:color="auto" w:fill="ffffff"/>
          <w:rtl w:val="0"/>
          <w:lang w:val="de-DE"/>
          <w14:textFill>
            <w14:solidFill>
              <w14:srgbClr w14:val="222222"/>
            </w14:solidFill>
          </w14:textFill>
        </w:rPr>
        <w:t xml:space="preserve">, </w:t>
      </w:r>
      <w:r>
        <w:rPr>
          <w:rFonts w:ascii="Times New Roman" w:hAnsi="Times New Roman"/>
          <w:i w:val="1"/>
          <w:iCs w:val="1"/>
          <w:outline w:val="0"/>
          <w:color w:val="222222"/>
          <w:u w:color="222222"/>
          <w:shd w:val="clear" w:color="auto" w:fill="ffffff"/>
          <w:rtl w:val="0"/>
          <w:lang w:val="de-DE"/>
          <w14:textFill>
            <w14:solidFill>
              <w14:srgbClr w14:val="222222"/>
            </w14:solidFill>
          </w14:textFill>
        </w:rPr>
        <w:t>168</w:t>
      </w:r>
      <w:r>
        <w:rPr>
          <w:rFonts w:ascii="Times New Roman" w:hAnsi="Times New Roman"/>
          <w:outline w:val="0"/>
          <w:color w:val="222222"/>
          <w:u w:color="222222"/>
          <w:shd w:val="clear" w:color="auto" w:fill="ffffff"/>
          <w:rtl w:val="0"/>
          <w:lang w:val="de-DE"/>
          <w14:textFill>
            <w14:solidFill>
              <w14:srgbClr w14:val="222222"/>
            </w14:solidFill>
          </w14:textFill>
        </w:rPr>
        <w:t>(5), 639-671.</w:t>
      </w:r>
    </w:p>
    <w:p>
      <w:pPr>
        <w:pStyle w:val="Default"/>
        <w:spacing w:before="0" w:line="240" w:lineRule="auto"/>
        <w:ind w:left="567" w:hanging="567"/>
        <w:jc w:val="both"/>
        <w:rPr>
          <w:rFonts w:ascii="Times New Roman" w:cs="Times New Roman" w:hAnsi="Times New Roman" w:eastAsia="Times New Roman"/>
          <w:outline w:val="0"/>
          <w:color w:val="222222"/>
          <w:u w:color="222222"/>
          <w:shd w:val="clear" w:color="auto" w:fill="ffffff"/>
          <w14:textFill>
            <w14:solidFill>
              <w14:srgbClr w14:val="222222"/>
            </w14:solidFill>
          </w14:textFill>
        </w:rPr>
      </w:pPr>
      <w:r>
        <w:rPr>
          <w:rFonts w:ascii="Times New Roman" w:hAnsi="Times New Roman"/>
          <w:outline w:val="0"/>
          <w:color w:val="222222"/>
          <w:u w:color="222222"/>
          <w:shd w:val="clear" w:color="auto" w:fill="ffffff"/>
          <w:rtl w:val="0"/>
          <w:lang w:val="en-US"/>
          <w14:textFill>
            <w14:solidFill>
              <w14:srgbClr w14:val="222222"/>
            </w14:solidFill>
          </w14:textFill>
        </w:rPr>
        <w:t xml:space="preserve">Bryant, D., &amp; Moulton, V. (2004). Neighbor-net: an agglomerative method for the construction of phylogenetic networks. </w:t>
      </w:r>
      <w:r>
        <w:rPr>
          <w:rFonts w:ascii="Times New Roman" w:hAnsi="Times New Roman"/>
          <w:i w:val="1"/>
          <w:iCs w:val="1"/>
          <w:outline w:val="0"/>
          <w:color w:val="222222"/>
          <w:u w:color="222222"/>
          <w:shd w:val="clear" w:color="auto" w:fill="ffffff"/>
          <w:rtl w:val="0"/>
          <w:lang w:val="en-US"/>
          <w14:textFill>
            <w14:solidFill>
              <w14:srgbClr w14:val="222222"/>
            </w14:solidFill>
          </w14:textFill>
        </w:rPr>
        <w:t>Molecular biology and evolution</w:t>
      </w:r>
      <w:r>
        <w:rPr>
          <w:rFonts w:ascii="Times New Roman" w:hAnsi="Times New Roman"/>
          <w:outline w:val="0"/>
          <w:color w:val="222222"/>
          <w:u w:color="222222"/>
          <w:shd w:val="clear" w:color="auto" w:fill="ffffff"/>
          <w:rtl w:val="0"/>
          <w:lang w:val="de-DE"/>
          <w14:textFill>
            <w14:solidFill>
              <w14:srgbClr w14:val="222222"/>
            </w14:solidFill>
          </w14:textFill>
        </w:rPr>
        <w:t xml:space="preserve">, </w:t>
      </w:r>
      <w:r>
        <w:rPr>
          <w:rFonts w:ascii="Times New Roman" w:hAnsi="Times New Roman"/>
          <w:i w:val="1"/>
          <w:iCs w:val="1"/>
          <w:outline w:val="0"/>
          <w:color w:val="222222"/>
          <w:u w:color="222222"/>
          <w:shd w:val="clear" w:color="auto" w:fill="ffffff"/>
          <w:rtl w:val="0"/>
          <w:lang w:val="de-DE"/>
          <w14:textFill>
            <w14:solidFill>
              <w14:srgbClr w14:val="222222"/>
            </w14:solidFill>
          </w14:textFill>
        </w:rPr>
        <w:t>21</w:t>
      </w:r>
      <w:r>
        <w:rPr>
          <w:rFonts w:ascii="Times New Roman" w:hAnsi="Times New Roman"/>
          <w:outline w:val="0"/>
          <w:color w:val="222222"/>
          <w:u w:color="222222"/>
          <w:shd w:val="clear" w:color="auto" w:fill="ffffff"/>
          <w:rtl w:val="0"/>
          <w:lang w:val="de-DE"/>
          <w14:textFill>
            <w14:solidFill>
              <w14:srgbClr w14:val="222222"/>
            </w14:solidFill>
          </w14:textFill>
        </w:rPr>
        <w:t>(2), 255-265.</w:t>
      </w:r>
    </w:p>
    <w:p>
      <w:pPr>
        <w:pStyle w:val="Default"/>
        <w:spacing w:before="0" w:line="240" w:lineRule="auto"/>
        <w:ind w:left="567" w:hanging="567"/>
        <w:jc w:val="both"/>
        <w:rPr>
          <w:rFonts w:ascii="Times New Roman" w:cs="Times New Roman" w:hAnsi="Times New Roman" w:eastAsia="Times New Roman"/>
          <w:outline w:val="0"/>
          <w:color w:val="222222"/>
          <w:u w:color="222222"/>
          <w:shd w:val="clear" w:color="auto" w:fill="ffffff"/>
          <w14:textFill>
            <w14:solidFill>
              <w14:srgbClr w14:val="222222"/>
            </w14:solidFill>
          </w14:textFill>
        </w:rPr>
      </w:pPr>
      <w:r>
        <w:rPr>
          <w:rFonts w:ascii="Times New Roman" w:hAnsi="Times New Roman"/>
          <w:outline w:val="0"/>
          <w:color w:val="222222"/>
          <w:u w:color="222222"/>
          <w:shd w:val="clear" w:color="auto" w:fill="ffffff"/>
          <w:rtl w:val="0"/>
          <w:lang w:val="en-US"/>
          <w14:textFill>
            <w14:solidFill>
              <w14:srgbClr w14:val="222222"/>
            </w14:solidFill>
          </w14:textFill>
        </w:rPr>
        <w:t xml:space="preserve">Dress, A. W., &amp; Huson, D. H. (2004). Constructing splits graphs. </w:t>
      </w:r>
      <w:r>
        <w:rPr>
          <w:rFonts w:ascii="Times New Roman" w:hAnsi="Times New Roman"/>
          <w:i w:val="1"/>
          <w:iCs w:val="1"/>
          <w:outline w:val="0"/>
          <w:color w:val="222222"/>
          <w:u w:color="222222"/>
          <w:shd w:val="clear" w:color="auto" w:fill="ffffff"/>
          <w:rtl w:val="0"/>
          <w:lang w:val="en-US"/>
          <w14:textFill>
            <w14:solidFill>
              <w14:srgbClr w14:val="222222"/>
            </w14:solidFill>
          </w14:textFill>
        </w:rPr>
        <w:t>IEEE/ACM transactions on Computational Biology and Bioinformatics</w:t>
      </w:r>
      <w:r>
        <w:rPr>
          <w:rFonts w:ascii="Times New Roman" w:hAnsi="Times New Roman"/>
          <w:outline w:val="0"/>
          <w:color w:val="222222"/>
          <w:u w:color="222222"/>
          <w:shd w:val="clear" w:color="auto" w:fill="ffffff"/>
          <w:rtl w:val="0"/>
          <w:lang w:val="de-DE"/>
          <w14:textFill>
            <w14:solidFill>
              <w14:srgbClr w14:val="222222"/>
            </w14:solidFill>
          </w14:textFill>
        </w:rPr>
        <w:t xml:space="preserve">, </w:t>
      </w:r>
      <w:r>
        <w:rPr>
          <w:rFonts w:ascii="Times New Roman" w:hAnsi="Times New Roman"/>
          <w:i w:val="1"/>
          <w:iCs w:val="1"/>
          <w:outline w:val="0"/>
          <w:color w:val="222222"/>
          <w:u w:color="222222"/>
          <w:shd w:val="clear" w:color="auto" w:fill="ffffff"/>
          <w:rtl w:val="0"/>
          <w:lang w:val="de-DE"/>
          <w14:textFill>
            <w14:solidFill>
              <w14:srgbClr w14:val="222222"/>
            </w14:solidFill>
          </w14:textFill>
        </w:rPr>
        <w:t>1</w:t>
      </w:r>
      <w:r>
        <w:rPr>
          <w:rFonts w:ascii="Times New Roman" w:hAnsi="Times New Roman"/>
          <w:outline w:val="0"/>
          <w:color w:val="222222"/>
          <w:u w:color="222222"/>
          <w:shd w:val="clear" w:color="auto" w:fill="ffffff"/>
          <w:rtl w:val="0"/>
          <w:lang w:val="de-DE"/>
          <w14:textFill>
            <w14:solidFill>
              <w14:srgbClr w14:val="222222"/>
            </w14:solidFill>
          </w14:textFill>
        </w:rPr>
        <w:t>(3), 109-115.</w:t>
      </w:r>
    </w:p>
    <w:p>
      <w:pPr>
        <w:pStyle w:val="Default"/>
        <w:spacing w:before="0" w:line="240" w:lineRule="auto"/>
        <w:ind w:left="567" w:hanging="567"/>
        <w:jc w:val="both"/>
        <w:rPr>
          <w:rFonts w:ascii="Times New Roman" w:cs="Times New Roman" w:hAnsi="Times New Roman" w:eastAsia="Times New Roman"/>
          <w:b w:val="1"/>
          <w:bCs w:val="1"/>
          <w:outline w:val="0"/>
          <w:color w:val="222222"/>
          <w:u w:color="222222"/>
          <w:shd w:val="clear" w:color="auto" w:fill="fcfcfc"/>
          <w14:textFill>
            <w14:solidFill>
              <w14:srgbClr w14:val="222222"/>
            </w14:solidFill>
          </w14:textFill>
        </w:rPr>
      </w:pPr>
      <w:r>
        <w:rPr>
          <w:rFonts w:ascii="Times New Roman" w:hAnsi="Times New Roman"/>
          <w:outline w:val="0"/>
          <w:color w:val="222222"/>
          <w:u w:color="222222"/>
          <w:shd w:val="clear" w:color="auto" w:fill="ffffff"/>
          <w:rtl w:val="0"/>
          <w:lang w:val="en-US"/>
          <w14:textFill>
            <w14:solidFill>
              <w14:srgbClr w14:val="222222"/>
            </w14:solidFill>
          </w14:textFill>
        </w:rPr>
        <w:t xml:space="preserve">Huson, D. H. (1998). SplitsTree: analyzing and visualizing evolutionary data. </w:t>
      </w:r>
      <w:r>
        <w:rPr>
          <w:rFonts w:ascii="Times New Roman" w:hAnsi="Times New Roman"/>
          <w:i w:val="1"/>
          <w:iCs w:val="1"/>
          <w:outline w:val="0"/>
          <w:color w:val="222222"/>
          <w:u w:color="222222"/>
          <w:shd w:val="clear" w:color="auto" w:fill="ffffff"/>
          <w:rtl w:val="0"/>
          <w:lang w:val="en-US"/>
          <w14:textFill>
            <w14:solidFill>
              <w14:srgbClr w14:val="222222"/>
            </w14:solidFill>
          </w14:textFill>
        </w:rPr>
        <w:t>Bioinformatics (Oxford, England)</w:t>
      </w:r>
      <w:r>
        <w:rPr>
          <w:rFonts w:ascii="Times New Roman" w:hAnsi="Times New Roman"/>
          <w:outline w:val="0"/>
          <w:color w:val="222222"/>
          <w:u w:color="222222"/>
          <w:shd w:val="clear" w:color="auto" w:fill="ffffff"/>
          <w:rtl w:val="0"/>
          <w:lang w:val="de-DE"/>
          <w14:textFill>
            <w14:solidFill>
              <w14:srgbClr w14:val="222222"/>
            </w14:solidFill>
          </w14:textFill>
        </w:rPr>
        <w:t xml:space="preserve">, </w:t>
      </w:r>
      <w:r>
        <w:rPr>
          <w:rFonts w:ascii="Times New Roman" w:hAnsi="Times New Roman"/>
          <w:i w:val="1"/>
          <w:iCs w:val="1"/>
          <w:outline w:val="0"/>
          <w:color w:val="222222"/>
          <w:u w:color="222222"/>
          <w:shd w:val="clear" w:color="auto" w:fill="ffffff"/>
          <w:rtl w:val="0"/>
          <w:lang w:val="de-DE"/>
          <w14:textFill>
            <w14:solidFill>
              <w14:srgbClr w14:val="222222"/>
            </w14:solidFill>
          </w14:textFill>
        </w:rPr>
        <w:t>14</w:t>
      </w:r>
      <w:r>
        <w:rPr>
          <w:rFonts w:ascii="Times New Roman" w:hAnsi="Times New Roman"/>
          <w:outline w:val="0"/>
          <w:color w:val="222222"/>
          <w:u w:color="222222"/>
          <w:shd w:val="clear" w:color="auto" w:fill="ffffff"/>
          <w:rtl w:val="0"/>
          <w:lang w:val="de-DE"/>
          <w14:textFill>
            <w14:solidFill>
              <w14:srgbClr w14:val="222222"/>
            </w14:solidFill>
          </w14:textFill>
        </w:rPr>
        <w:t>(1), 68-73.</w:t>
      </w:r>
    </w:p>
    <w:p>
      <w:pPr>
        <w:pStyle w:val="Default"/>
        <w:spacing w:before="0" w:line="240" w:lineRule="auto"/>
        <w:ind w:left="567" w:hanging="567"/>
        <w:jc w:val="both"/>
        <w:rPr>
          <w:rFonts w:ascii="Times New Roman" w:cs="Times New Roman" w:hAnsi="Times New Roman" w:eastAsia="Times New Roman"/>
          <w:outline w:val="0"/>
          <w:color w:val="222222"/>
          <w:u w:color="222222"/>
          <w:shd w:val="clear" w:color="auto" w:fill="ffffff"/>
          <w14:textFill>
            <w14:solidFill>
              <w14:srgbClr w14:val="222222"/>
            </w14:solidFill>
          </w14:textFill>
        </w:rPr>
      </w:pPr>
      <w:r>
        <w:rPr>
          <w:rFonts w:ascii="Times New Roman" w:hAnsi="Times New Roman"/>
          <w:outline w:val="0"/>
          <w:color w:val="222222"/>
          <w:u w:color="222222"/>
          <w:shd w:val="clear" w:color="auto" w:fill="ffffff"/>
          <w:rtl w:val="0"/>
          <w:lang w:val="en-US"/>
          <w14:textFill>
            <w14:solidFill>
              <w14:srgbClr w14:val="222222"/>
            </w14:solidFill>
          </w14:textFill>
        </w:rPr>
        <w:t xml:space="preserve">Huson, D. H., &amp; Bryant, D. (2006). Application of phylogenetic networks in evolutionary studies. </w:t>
      </w:r>
      <w:r>
        <w:rPr>
          <w:rFonts w:ascii="Times New Roman" w:hAnsi="Times New Roman"/>
          <w:i w:val="1"/>
          <w:iCs w:val="1"/>
          <w:outline w:val="0"/>
          <w:color w:val="222222"/>
          <w:u w:color="222222"/>
          <w:shd w:val="clear" w:color="auto" w:fill="ffffff"/>
          <w:rtl w:val="0"/>
          <w:lang w:val="en-US"/>
          <w14:textFill>
            <w14:solidFill>
              <w14:srgbClr w14:val="222222"/>
            </w14:solidFill>
          </w14:textFill>
        </w:rPr>
        <w:t>Molecular biology and evolution</w:t>
      </w:r>
      <w:r>
        <w:rPr>
          <w:rFonts w:ascii="Times New Roman" w:hAnsi="Times New Roman"/>
          <w:outline w:val="0"/>
          <w:color w:val="222222"/>
          <w:u w:color="222222"/>
          <w:shd w:val="clear" w:color="auto" w:fill="ffffff"/>
          <w:rtl w:val="0"/>
          <w:lang w:val="de-DE"/>
          <w14:textFill>
            <w14:solidFill>
              <w14:srgbClr w14:val="222222"/>
            </w14:solidFill>
          </w14:textFill>
        </w:rPr>
        <w:t xml:space="preserve">, </w:t>
      </w:r>
      <w:r>
        <w:rPr>
          <w:rFonts w:ascii="Times New Roman" w:hAnsi="Times New Roman"/>
          <w:i w:val="1"/>
          <w:iCs w:val="1"/>
          <w:outline w:val="0"/>
          <w:color w:val="222222"/>
          <w:u w:color="222222"/>
          <w:shd w:val="clear" w:color="auto" w:fill="ffffff"/>
          <w:rtl w:val="0"/>
          <w:lang w:val="de-DE"/>
          <w14:textFill>
            <w14:solidFill>
              <w14:srgbClr w14:val="222222"/>
            </w14:solidFill>
          </w14:textFill>
        </w:rPr>
        <w:t>23</w:t>
      </w:r>
      <w:r>
        <w:rPr>
          <w:rFonts w:ascii="Times New Roman" w:hAnsi="Times New Roman"/>
          <w:outline w:val="0"/>
          <w:color w:val="222222"/>
          <w:u w:color="222222"/>
          <w:shd w:val="clear" w:color="auto" w:fill="ffffff"/>
          <w:rtl w:val="0"/>
          <w:lang w:val="de-DE"/>
          <w14:textFill>
            <w14:solidFill>
              <w14:srgbClr w14:val="222222"/>
            </w14:solidFill>
          </w14:textFill>
        </w:rPr>
        <w:t>(2), 254-267.</w:t>
      </w:r>
    </w:p>
    <w:p>
      <w:pPr>
        <w:pStyle w:val="Default"/>
        <w:spacing w:before="0" w:line="240" w:lineRule="auto"/>
        <w:ind w:left="567" w:hanging="567"/>
        <w:jc w:val="both"/>
      </w:pPr>
      <w:r>
        <w:rPr>
          <w:rFonts w:ascii="Times New Roman" w:hAnsi="Times New Roman"/>
          <w:outline w:val="0"/>
          <w:color w:val="222222"/>
          <w:u w:color="222222"/>
          <w:shd w:val="clear" w:color="auto" w:fill="ffffff"/>
          <w:rtl w:val="0"/>
          <w:lang w:val="de-DE"/>
          <w14:textFill>
            <w14:solidFill>
              <w14:srgbClr w14:val="222222"/>
            </w14:solidFill>
          </w14:textFill>
        </w:rPr>
        <w:t>L</w:t>
      </w:r>
      <w:r>
        <w:rPr>
          <w:rFonts w:ascii="Times New Roman" w:hAnsi="Times New Roman" w:hint="default"/>
          <w:outline w:val="0"/>
          <w:color w:val="222222"/>
          <w:u w:color="222222"/>
          <w:shd w:val="clear" w:color="auto" w:fill="ffffff"/>
          <w:rtl w:val="0"/>
          <w:lang w:val="sv-SE"/>
          <w14:textFill>
            <w14:solidFill>
              <w14:srgbClr w14:val="222222"/>
            </w14:solidFill>
          </w14:textFill>
        </w:rPr>
        <w:t>ö</w:t>
      </w:r>
      <w:r>
        <w:rPr>
          <w:rFonts w:ascii="Times New Roman" w:hAnsi="Times New Roman"/>
          <w:outline w:val="0"/>
          <w:color w:val="222222"/>
          <w:u w:color="222222"/>
          <w:shd w:val="clear" w:color="auto" w:fill="ffffff"/>
          <w:rtl w:val="0"/>
          <w:lang w:val="en-US"/>
          <w14:textFill>
            <w14:solidFill>
              <w14:srgbClr w14:val="222222"/>
            </w14:solidFill>
          </w14:textFill>
        </w:rPr>
        <w:t xml:space="preserve">hne, C., Borsch, T., Jacobs, S. W., Hellquist, C. B., &amp; Wiersema, J. H. (2008). Nuclear and plastid DNA sequences reveal complex reticulate patterns in Australian water-lilies (Nymphaea subgenus Anecphya, Nymphaeaceae). </w:t>
      </w:r>
      <w:r>
        <w:rPr>
          <w:rFonts w:ascii="Times New Roman" w:hAnsi="Times New Roman"/>
          <w:i w:val="1"/>
          <w:iCs w:val="1"/>
          <w:outline w:val="0"/>
          <w:color w:val="222222"/>
          <w:u w:color="222222"/>
          <w:shd w:val="clear" w:color="auto" w:fill="ffffff"/>
          <w:rtl w:val="0"/>
          <w:lang w:val="en-US"/>
          <w14:textFill>
            <w14:solidFill>
              <w14:srgbClr w14:val="222222"/>
            </w14:solidFill>
          </w14:textFill>
        </w:rPr>
        <w:t>Australian Systematic Botany</w:t>
      </w:r>
      <w:r>
        <w:rPr>
          <w:rFonts w:ascii="Times New Roman" w:hAnsi="Times New Roman"/>
          <w:outline w:val="0"/>
          <w:color w:val="222222"/>
          <w:u w:color="222222"/>
          <w:shd w:val="clear" w:color="auto" w:fill="ffffff"/>
          <w:rtl w:val="0"/>
          <w:lang w:val="de-DE"/>
          <w14:textFill>
            <w14:solidFill>
              <w14:srgbClr w14:val="222222"/>
            </w14:solidFill>
          </w14:textFill>
        </w:rPr>
        <w:t xml:space="preserve">, </w:t>
      </w:r>
      <w:r>
        <w:rPr>
          <w:rFonts w:ascii="Times New Roman" w:hAnsi="Times New Roman"/>
          <w:i w:val="1"/>
          <w:iCs w:val="1"/>
          <w:outline w:val="0"/>
          <w:color w:val="222222"/>
          <w:u w:color="222222"/>
          <w:shd w:val="clear" w:color="auto" w:fill="ffffff"/>
          <w:rtl w:val="0"/>
          <w:lang w:val="de-DE"/>
          <w14:textFill>
            <w14:solidFill>
              <w14:srgbClr w14:val="222222"/>
            </w14:solidFill>
          </w14:textFill>
        </w:rPr>
        <w:t>21</w:t>
      </w:r>
      <w:r>
        <w:rPr>
          <w:rFonts w:ascii="Times New Roman" w:hAnsi="Times New Roman"/>
          <w:outline w:val="0"/>
          <w:color w:val="222222"/>
          <w:u w:color="222222"/>
          <w:shd w:val="clear" w:color="auto" w:fill="ffffff"/>
          <w:rtl w:val="0"/>
          <w:lang w:val="de-DE"/>
          <w14:textFill>
            <w14:solidFill>
              <w14:srgbClr w14:val="222222"/>
            </w14:solidFill>
          </w14:textFill>
        </w:rPr>
        <w:t>(4), 229-250.</w:t>
      </w:r>
      <w:r>
        <w:rPr>
          <w:rFonts w:ascii="Times New Roman" w:cs="Times New Roman" w:hAnsi="Times New Roman" w:eastAsia="Times New Roman"/>
          <w:outline w:val="0"/>
          <w:color w:val="222222"/>
          <w:u w:color="222222"/>
          <w:shd w:val="clear" w:color="auto" w:fill="ffffff"/>
          <w14:textFill>
            <w14:solidFill>
              <w14:srgbClr w14:val="222222"/>
            </w14:solidFill>
          </w14:textFill>
        </w:rPr>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330" w:hanging="33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lowerLetter"/>
      <w:suff w:val="tab"/>
      <w:lvlText w:val="%2."/>
      <w:lvlJc w:val="left"/>
      <w:pPr>
        <w:ind w:left="1050" w:hanging="33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lowerRoman"/>
      <w:suff w:val="tab"/>
      <w:lvlText w:val="%3."/>
      <w:lvlJc w:val="left"/>
      <w:pPr>
        <w:ind w:left="1776" w:hanging="2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decimal"/>
      <w:suff w:val="tab"/>
      <w:lvlText w:val="%4."/>
      <w:lvlJc w:val="left"/>
      <w:pPr>
        <w:ind w:left="2490" w:hanging="33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start w:val="1"/>
      <w:numFmt w:val="lowerLetter"/>
      <w:suff w:val="tab"/>
      <w:lvlText w:val="%5."/>
      <w:lvlJc w:val="left"/>
      <w:pPr>
        <w:ind w:left="3210" w:hanging="33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start w:val="1"/>
      <w:numFmt w:val="lowerRoman"/>
      <w:suff w:val="tab"/>
      <w:lvlText w:val="%6."/>
      <w:lvlJc w:val="left"/>
      <w:pPr>
        <w:ind w:left="3936" w:hanging="2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start w:val="1"/>
      <w:numFmt w:val="decimal"/>
      <w:suff w:val="tab"/>
      <w:lvlText w:val="%7."/>
      <w:lvlJc w:val="left"/>
      <w:pPr>
        <w:ind w:left="4650" w:hanging="33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start w:val="1"/>
      <w:numFmt w:val="lowerLetter"/>
      <w:suff w:val="tab"/>
      <w:lvlText w:val="%8."/>
      <w:lvlJc w:val="left"/>
      <w:pPr>
        <w:ind w:left="5370" w:hanging="33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start w:val="1"/>
      <w:numFmt w:val="lowerRoman"/>
      <w:suff w:val="tab"/>
      <w:lvlText w:val="%9."/>
      <w:lvlJc w:val="left"/>
      <w:pPr>
        <w:ind w:left="6096" w:hanging="2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num w:numId="1">
    <w:abstractNumId w:val="1"/>
  </w:num>
  <w:num w:numId="2">
    <w:abstractNumId w:val="0"/>
  </w:num>
  <w:num w:numId="3">
    <w:abstractNumId w:val="0"/>
    <w:lvlOverride w:ilvl="0">
      <w:startOverride w:val="2"/>
      <w:lvl w:ilvl="0">
        <w:start w:val="2"/>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180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