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062ED" w14:textId="12DBF34C" w:rsidR="002203AE" w:rsidRDefault="00AD3514">
      <w:r>
        <w:rPr>
          <w:rFonts w:hint="eastAsia"/>
        </w:rPr>
        <w:t>AC</w:t>
      </w:r>
      <w:r>
        <w:t>16 cells with different treatment were loaded and analyzed by flow cytometry. After gating live cells according to FSC and SSC, cells were further analyzed by dot plots labeled with FITC-active caspase-1 and PE-PI.</w:t>
      </w:r>
    </w:p>
    <w:sectPr w:rsidR="002203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6D4"/>
    <w:rsid w:val="005938CF"/>
    <w:rsid w:val="00912F49"/>
    <w:rsid w:val="00AD3514"/>
    <w:rsid w:val="00CF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61DF9"/>
  <w15:chartTrackingRefBased/>
  <w15:docId w15:val="{5723DE2F-4311-4213-B5F1-B32B5D7C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Yi</dc:creator>
  <cp:keywords/>
  <dc:description/>
  <cp:lastModifiedBy>Zhang Yi</cp:lastModifiedBy>
  <cp:revision>3</cp:revision>
  <dcterms:created xsi:type="dcterms:W3CDTF">2021-09-15T06:49:00Z</dcterms:created>
  <dcterms:modified xsi:type="dcterms:W3CDTF">2021-09-15T06:53:00Z</dcterms:modified>
</cp:coreProperties>
</file>