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CFEFCA" w14:textId="0187D6E5" w:rsidR="009A7EA8" w:rsidRDefault="00654E8F" w:rsidP="009A7EA8">
      <w:pPr>
        <w:pStyle w:val="SupplementaryMaterial"/>
      </w:pPr>
      <w:r w:rsidRPr="001549D3">
        <w:t>Supplementary Material</w:t>
      </w:r>
    </w:p>
    <w:p w14:paraId="534BB089" w14:textId="40EBE6A1" w:rsidR="009A7EA8" w:rsidRPr="009A7EA8" w:rsidRDefault="009A7EA8" w:rsidP="009A7EA8">
      <w:pPr>
        <w:pStyle w:val="Titel"/>
        <w:spacing w:after="120"/>
        <w:jc w:val="left"/>
        <w:rPr>
          <w:sz w:val="24"/>
          <w:szCs w:val="24"/>
        </w:rPr>
      </w:pPr>
      <w:r w:rsidRPr="009A7EA8">
        <w:rPr>
          <w:sz w:val="24"/>
          <w:szCs w:val="24"/>
        </w:rPr>
        <w:t>S</w:t>
      </w:r>
      <w:r>
        <w:rPr>
          <w:sz w:val="24"/>
          <w:szCs w:val="24"/>
        </w:rPr>
        <w:t>upplementary Figure 1</w:t>
      </w:r>
    </w:p>
    <w:p w14:paraId="1744D2CD" w14:textId="6D8517F2" w:rsidR="009A7EA8" w:rsidRPr="009A7EA8" w:rsidRDefault="009A7EA8" w:rsidP="009A7EA8">
      <w:pPr>
        <w:spacing w:before="0" w:after="0"/>
        <w:ind w:left="1985"/>
      </w:pPr>
      <w:r w:rsidRPr="009A7EA8">
        <w:rPr>
          <w:b/>
          <w:bCs/>
        </w:rPr>
        <w:t>A</w:t>
      </w:r>
    </w:p>
    <w:p w14:paraId="4F94FB35" w14:textId="77777777" w:rsidR="009A7EA8" w:rsidRDefault="009A7EA8" w:rsidP="009A7EA8">
      <w:pPr>
        <w:ind w:left="2127" w:hanging="567"/>
        <w:outlineLvl w:val="0"/>
      </w:pPr>
      <w:r>
        <w:rPr>
          <w:noProof/>
          <w:lang w:val="en-GB" w:eastAsia="en-GB"/>
        </w:rPr>
        <w:drawing>
          <wp:inline distT="0" distB="0" distL="0" distR="0" wp14:anchorId="0E4AE7BB" wp14:editId="0AA220C1">
            <wp:extent cx="4118560" cy="1962978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tMed_Supplementary Figure 1.pdf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8" t="18472" r="10727" b="53858"/>
                    <a:stretch/>
                  </pic:blipFill>
                  <pic:spPr bwMode="auto">
                    <a:xfrm>
                      <a:off x="0" y="0"/>
                      <a:ext cx="4134734" cy="1970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0BD78" w14:textId="7508CBF3" w:rsidR="009A7EA8" w:rsidRPr="009A7EA8" w:rsidRDefault="009A7EA8" w:rsidP="009A7EA8">
      <w:pPr>
        <w:pStyle w:val="HTML-voorafopgemaakt"/>
        <w:shd w:val="clear" w:color="auto" w:fill="FFFFFF"/>
        <w:ind w:left="1985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A7EA8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</w:p>
    <w:p w14:paraId="4F6753CE" w14:textId="35BC020D" w:rsidR="009A7EA8" w:rsidRDefault="009A7EA8" w:rsidP="009A7EA8">
      <w:pPr>
        <w:pStyle w:val="HTML-voorafopgemaakt"/>
        <w:shd w:val="clear" w:color="auto" w:fill="FFFFFF"/>
        <w:spacing w:line="360" w:lineRule="auto"/>
        <w:ind w:left="1985"/>
        <w:jc w:val="both"/>
        <w:rPr>
          <w:rFonts w:ascii="Arial" w:hAnsi="Arial" w:cs="Arial"/>
          <w:b/>
          <w:lang w:val="en-US"/>
        </w:rPr>
      </w:pPr>
      <w:r>
        <w:rPr>
          <w:noProof/>
          <w:lang w:eastAsia="en-GB"/>
        </w:rPr>
        <w:drawing>
          <wp:inline distT="0" distB="0" distL="0" distR="0" wp14:anchorId="08A78F1B" wp14:editId="4981AD74">
            <wp:extent cx="4118006" cy="234961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tMed_Supplementary Figure 1.pdf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8" t="55245" r="10727" b="11631"/>
                    <a:stretch/>
                  </pic:blipFill>
                  <pic:spPr bwMode="auto">
                    <a:xfrm>
                      <a:off x="0" y="0"/>
                      <a:ext cx="4134734" cy="2359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6F9DA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b/>
          <w:lang w:val="en-US"/>
        </w:rPr>
      </w:pPr>
    </w:p>
    <w:p w14:paraId="49441725" w14:textId="041194E6" w:rsidR="009A7EA8" w:rsidRPr="009A7EA8" w:rsidRDefault="009A7EA8" w:rsidP="009A7EA8">
      <w:pPr>
        <w:pStyle w:val="HTML-voorafopgemaakt"/>
        <w:shd w:val="clear" w:color="auto" w:fill="FFFFFF"/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A7EA8"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Figure 1. Virologic and immunologic characteristics of Patient 15 who experienced </w:t>
      </w:r>
      <w:proofErr w:type="gramStart"/>
      <w:r w:rsidRPr="009A7EA8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proofErr w:type="gramEnd"/>
      <w:r w:rsidRPr="009A7EA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HCV-superinfection. (</w:t>
      </w:r>
      <w:r w:rsidR="00C663F9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A7EA8">
        <w:rPr>
          <w:rFonts w:ascii="Times New Roman" w:hAnsi="Times New Roman" w:cs="Times New Roman"/>
          <w:b/>
          <w:sz w:val="24"/>
          <w:szCs w:val="24"/>
          <w:lang w:val="en-US"/>
        </w:rPr>
        <w:t xml:space="preserve">) </w:t>
      </w:r>
      <w:r w:rsidRPr="009A7EA8">
        <w:rPr>
          <w:rFonts w:ascii="Times New Roman" w:hAnsi="Times New Roman" w:cs="Times New Roman"/>
          <w:sz w:val="24"/>
          <w:szCs w:val="24"/>
          <w:lang w:val="en-US"/>
        </w:rPr>
        <w:t>Serum and B cells, examined in the present study, have been taken in 2006 and 2009 and are shown as P15_2006 and P15_2009 (shaded areas). HCV-g</w:t>
      </w:r>
      <w:r w:rsidRPr="009A7EA8">
        <w:rPr>
          <w:rFonts w:ascii="Times New Roman" w:hAnsi="Times New Roman" w:cs="Times New Roman"/>
          <w:sz w:val="24"/>
          <w:szCs w:val="24"/>
        </w:rPr>
        <w:t>enotyping of human sera was performed using a Line Probe Assay</w:t>
      </w:r>
      <w:r w:rsidR="00C663F9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C663F9">
        <w:rPr>
          <w:rFonts w:ascii="Times New Roman" w:hAnsi="Times New Roman" w:cs="Times New Roman"/>
          <w:sz w:val="24"/>
          <w:szCs w:val="24"/>
        </w:rPr>
        <w:t>LiPA</w:t>
      </w:r>
      <w:proofErr w:type="spellEnd"/>
      <w:r w:rsidR="00C663F9">
        <w:rPr>
          <w:rFonts w:ascii="Times New Roman" w:hAnsi="Times New Roman" w:cs="Times New Roman"/>
          <w:sz w:val="24"/>
          <w:szCs w:val="24"/>
        </w:rPr>
        <w:t>)</w:t>
      </w:r>
      <w:r w:rsidRPr="009A7EA8">
        <w:rPr>
          <w:rFonts w:ascii="Times New Roman" w:hAnsi="Times New Roman" w:cs="Times New Roman"/>
          <w:sz w:val="24"/>
          <w:szCs w:val="24"/>
        </w:rPr>
        <w:t xml:space="preserve"> developed by </w:t>
      </w:r>
      <w:proofErr w:type="spellStart"/>
      <w:r w:rsidRPr="009A7EA8">
        <w:rPr>
          <w:rFonts w:ascii="Times New Roman" w:hAnsi="Times New Roman" w:cs="Times New Roman"/>
          <w:sz w:val="24"/>
          <w:szCs w:val="24"/>
        </w:rPr>
        <w:t>Innogenetics</w:t>
      </w:r>
      <w:proofErr w:type="spellEnd"/>
      <w:r w:rsidRPr="009A7EA8">
        <w:rPr>
          <w:rFonts w:ascii="Times New Roman" w:hAnsi="Times New Roman" w:cs="Times New Roman"/>
          <w:sz w:val="24"/>
          <w:szCs w:val="24"/>
        </w:rPr>
        <w:t xml:space="preserve"> (Versant® HCV genotype Assay) and by genotype specific PCR-amplification of the E1E2 region (</w:t>
      </w:r>
      <w:r w:rsidRPr="009A7EA8">
        <w:rPr>
          <w:rFonts w:ascii="Times New Roman" w:hAnsi="Times New Roman" w:cs="Times New Roman"/>
          <w:i/>
          <w:sz w:val="24"/>
          <w:szCs w:val="24"/>
        </w:rPr>
        <w:t>in house</w:t>
      </w:r>
      <w:r w:rsidRPr="009A7EA8">
        <w:rPr>
          <w:rFonts w:ascii="Times New Roman" w:hAnsi="Times New Roman" w:cs="Times New Roman"/>
          <w:sz w:val="24"/>
          <w:szCs w:val="24"/>
        </w:rPr>
        <w:t>). The patient reported intravenous drug use at the time of superinfection</w:t>
      </w:r>
      <w:r w:rsidRPr="009A7EA8">
        <w:rPr>
          <w:rFonts w:ascii="Times New Roman" w:hAnsi="Times New Roman" w:cs="Times New Roman"/>
          <w:color w:val="212121"/>
          <w:sz w:val="24"/>
          <w:szCs w:val="24"/>
          <w:lang w:val="en" w:eastAsia="nl-BE"/>
        </w:rPr>
        <w:t xml:space="preserve">. </w:t>
      </w:r>
      <w:r w:rsidRPr="009A7EA8">
        <w:rPr>
          <w:rFonts w:ascii="Times New Roman" w:hAnsi="Times New Roman" w:cs="Times New Roman"/>
          <w:b/>
          <w:color w:val="212121"/>
          <w:sz w:val="24"/>
          <w:szCs w:val="24"/>
          <w:lang w:val="en" w:eastAsia="nl-BE"/>
        </w:rPr>
        <w:t>(</w:t>
      </w:r>
      <w:r w:rsidR="00C663F9">
        <w:rPr>
          <w:rFonts w:ascii="Times New Roman" w:hAnsi="Times New Roman" w:cs="Times New Roman"/>
          <w:b/>
          <w:color w:val="212121"/>
          <w:sz w:val="24"/>
          <w:szCs w:val="24"/>
          <w:lang w:val="en" w:eastAsia="nl-BE"/>
        </w:rPr>
        <w:t>B</w:t>
      </w:r>
      <w:r w:rsidRPr="009A7EA8">
        <w:rPr>
          <w:rFonts w:ascii="Times New Roman" w:hAnsi="Times New Roman" w:cs="Times New Roman"/>
          <w:b/>
          <w:color w:val="212121"/>
          <w:sz w:val="24"/>
          <w:szCs w:val="24"/>
          <w:lang w:val="en" w:eastAsia="nl-BE"/>
        </w:rPr>
        <w:t>)</w:t>
      </w:r>
      <w:r w:rsidRPr="009A7EA8">
        <w:rPr>
          <w:rFonts w:ascii="Times New Roman" w:hAnsi="Times New Roman" w:cs="Times New Roman"/>
          <w:color w:val="212121"/>
          <w:sz w:val="24"/>
          <w:szCs w:val="24"/>
          <w:lang w:val="en" w:eastAsia="nl-BE"/>
        </w:rPr>
        <w:t xml:space="preserve"> Evolution of E1E2-specific immunological responses since time of initial viremia. </w:t>
      </w:r>
      <w:r w:rsidRPr="009A7EA8">
        <w:rPr>
          <w:rFonts w:ascii="Times New Roman" w:hAnsi="Times New Roman" w:cs="Times New Roman"/>
          <w:sz w:val="24"/>
          <w:szCs w:val="24"/>
          <w:lang w:val="en-US"/>
        </w:rPr>
        <w:t>Anti-E1E2</w:t>
      </w:r>
      <w:r w:rsidRPr="009A7EA8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H77</w:t>
      </w:r>
      <w:r w:rsidRPr="009A7EA8">
        <w:rPr>
          <w:rFonts w:ascii="Times New Roman" w:hAnsi="Times New Roman" w:cs="Times New Roman"/>
          <w:sz w:val="24"/>
          <w:szCs w:val="24"/>
          <w:lang w:val="en-US"/>
        </w:rPr>
        <w:t xml:space="preserve"> IgG and anti-E1E2</w:t>
      </w:r>
      <w:r w:rsidRPr="009A7EA8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S52</w:t>
      </w:r>
      <w:r w:rsidRPr="009A7EA8">
        <w:rPr>
          <w:rFonts w:ascii="Times New Roman" w:hAnsi="Times New Roman" w:cs="Times New Roman"/>
          <w:sz w:val="24"/>
          <w:szCs w:val="24"/>
          <w:lang w:val="en-US"/>
        </w:rPr>
        <w:t xml:space="preserve"> IgG levels are expressed as reciprocal EIA-titer. </w:t>
      </w:r>
      <w:r w:rsidRPr="009A7EA8">
        <w:rPr>
          <w:rFonts w:ascii="Times New Roman" w:hAnsi="Times New Roman" w:cs="Times New Roman"/>
          <w:sz w:val="24"/>
          <w:szCs w:val="24"/>
          <w:lang w:val="en-US"/>
        </w:rPr>
        <w:lastRenderedPageBreak/>
        <w:t>Neutralizing responses of autologous serum to HCV-pseudoviral particles expressing envelope proteins of gt1a (HCVpp_H77) or gt3a (HCVpp_S52) are expressed as IC</w:t>
      </w:r>
      <w:r w:rsidRPr="009A7EA8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50 </w:t>
      </w:r>
      <w:r w:rsidRPr="009A7EA8">
        <w:rPr>
          <w:rFonts w:ascii="Times New Roman" w:hAnsi="Times New Roman" w:cs="Times New Roman"/>
          <w:sz w:val="24"/>
          <w:szCs w:val="24"/>
          <w:lang w:val="en-US"/>
        </w:rPr>
        <w:t>(reciprocal titer).</w:t>
      </w:r>
    </w:p>
    <w:p w14:paraId="6FF36C36" w14:textId="77777777" w:rsidR="00583BCC" w:rsidRDefault="00583BCC">
      <w:pPr>
        <w:spacing w:before="0" w:after="200" w:line="276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14:paraId="36CDCFAA" w14:textId="77777777" w:rsidR="00583BCC" w:rsidRDefault="00583BCC" w:rsidP="00583BCC">
      <w:pPr>
        <w:spacing w:line="360" w:lineRule="auto"/>
        <w:rPr>
          <w:rFonts w:cs="Times New Roman"/>
          <w:b/>
          <w:szCs w:val="24"/>
        </w:rPr>
        <w:sectPr w:rsidR="00583BCC" w:rsidSect="0093429D">
          <w:headerReference w:type="even" r:id="rId9"/>
          <w:footerReference w:type="even" r:id="rId10"/>
          <w:footerReference w:type="default" r:id="rId11"/>
          <w:headerReference w:type="first" r:id="rId12"/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5438C23A" w14:textId="7DAED27C" w:rsidR="009A7EA8" w:rsidRPr="00583BCC" w:rsidRDefault="00583BCC" w:rsidP="00583BCC">
      <w:pPr>
        <w:spacing w:line="360" w:lineRule="auto"/>
        <w:rPr>
          <w:rFonts w:cs="Times New Roman"/>
          <w:b/>
          <w:szCs w:val="24"/>
        </w:rPr>
      </w:pPr>
      <w:r w:rsidRPr="00583BCC">
        <w:rPr>
          <w:rFonts w:cs="Times New Roman"/>
          <w:b/>
          <w:szCs w:val="24"/>
        </w:rPr>
        <w:lastRenderedPageBreak/>
        <w:t>Supplementary Figure 2</w:t>
      </w:r>
    </w:p>
    <w:p w14:paraId="6D376E8F" w14:textId="688B3865" w:rsidR="009A7EA8" w:rsidRDefault="009A7EA8" w:rsidP="00583BCC">
      <w:pPr>
        <w:spacing w:line="36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val="en-GB" w:eastAsia="en-GB"/>
        </w:rPr>
        <w:drawing>
          <wp:inline distT="0" distB="0" distL="0" distR="0" wp14:anchorId="6536451B" wp14:editId="6E05FC0A">
            <wp:extent cx="7200900" cy="5070173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071" cy="5079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5797FC" w14:textId="77777777" w:rsidR="00583BCC" w:rsidRDefault="00583BCC" w:rsidP="000B7517">
      <w:pPr>
        <w:spacing w:line="360" w:lineRule="auto"/>
        <w:jc w:val="both"/>
        <w:rPr>
          <w:rFonts w:cs="Times New Roman"/>
          <w:b/>
          <w:szCs w:val="24"/>
        </w:rPr>
      </w:pPr>
    </w:p>
    <w:p w14:paraId="12D7ECBD" w14:textId="486E8CEB" w:rsidR="00583BCC" w:rsidRPr="00583BCC" w:rsidRDefault="00583BCC" w:rsidP="00583BCC">
      <w:pPr>
        <w:spacing w:line="360" w:lineRule="auto"/>
        <w:ind w:left="720"/>
        <w:jc w:val="both"/>
        <w:rPr>
          <w:rFonts w:cs="Times New Roman"/>
          <w:szCs w:val="24"/>
        </w:rPr>
        <w:sectPr w:rsidR="00583BCC" w:rsidRPr="00583BCC" w:rsidSect="00583BCC">
          <w:pgSz w:w="15840" w:h="12240" w:orient="landscape"/>
          <w:pgMar w:top="1181" w:right="1138" w:bottom="1282" w:left="1138" w:header="720" w:footer="720" w:gutter="0"/>
          <w:cols w:space="720"/>
          <w:titlePg/>
          <w:docGrid w:linePitch="360"/>
        </w:sectPr>
      </w:pPr>
      <w:r>
        <w:rPr>
          <w:rFonts w:cs="Times New Roman"/>
          <w:b/>
          <w:szCs w:val="24"/>
        </w:rPr>
        <w:t xml:space="preserve">Supplementary Figure 2. </w:t>
      </w:r>
      <w:r w:rsidR="009A7EA8" w:rsidRPr="00583BCC">
        <w:rPr>
          <w:rFonts w:cs="Times New Roman"/>
          <w:b/>
          <w:szCs w:val="24"/>
        </w:rPr>
        <w:t xml:space="preserve">Phylogenetic analyses of HCV-infected patients. </w:t>
      </w:r>
      <w:r w:rsidR="009A7EA8" w:rsidRPr="00583BCC">
        <w:rPr>
          <w:rFonts w:cs="Times New Roman"/>
          <w:szCs w:val="24"/>
        </w:rPr>
        <w:t>Maximum-Likelihood phylogenetic trees showing the relationship between E1E2</w:t>
      </w:r>
      <w:r w:rsidR="009A7EA8" w:rsidRPr="00583BCC">
        <w:rPr>
          <w:rFonts w:cs="Times New Roman"/>
          <w:szCs w:val="24"/>
          <w:vertAlign w:val="subscript"/>
        </w:rPr>
        <w:t xml:space="preserve">192-745 </w:t>
      </w:r>
      <w:r w:rsidR="009A7EA8" w:rsidRPr="00583BCC">
        <w:rPr>
          <w:rFonts w:cs="Times New Roman"/>
          <w:szCs w:val="24"/>
        </w:rPr>
        <w:t xml:space="preserve">sequences of the major viral variants were inferred under the LG model of AA substitution with estimated </w:t>
      </w:r>
      <w:r w:rsidR="009A7EA8" w:rsidRPr="00583BCC">
        <w:rPr>
          <w:rFonts w:cs="Times New Roman"/>
          <w:szCs w:val="24"/>
        </w:rPr>
        <w:sym w:font="Symbol" w:char="F067"/>
      </w:r>
      <w:r w:rsidR="009A7EA8" w:rsidRPr="00583BCC">
        <w:rPr>
          <w:rFonts w:cs="Times New Roman"/>
          <w:szCs w:val="24"/>
        </w:rPr>
        <w:t xml:space="preserve">- distribution parameter, using PhyML software (v3.0; South of France bioinformatics platform; ATGC). The tree topology (starting with a Neighbor-Joining tree) was optimized using the Nearest Neighbor Interchange (NNI) approach. Bootstrapping with 1000 replicates tested the statistical robustness of the phylogenetic trees. Only branching with a bootstrap value of </w:t>
      </w:r>
      <w:r w:rsidR="009A7EA8" w:rsidRPr="00583BCC">
        <w:rPr>
          <w:rFonts w:eastAsia="MS Gothic" w:cs="Times New Roman"/>
          <w:color w:val="000000"/>
          <w:szCs w:val="24"/>
        </w:rPr>
        <w:t>≥70% was defined as robust clustering (depicted in blue). P</w:t>
      </w:r>
      <w:r w:rsidR="009A7EA8" w:rsidRPr="00583BCC">
        <w:rPr>
          <w:rFonts w:cs="Times New Roman"/>
          <w:szCs w:val="24"/>
        </w:rPr>
        <w:t>hylogenetic trees are rooted on the consensus sequence for each genotype (HCV-H77 for gt1a, HCV-J4 for gt1b and HCV-S52 for gt3a). For each tree, the black numbers (tree-leaves) are clone-codes, each corresponding to a unique E1E2-AA sequence. An estimate of the genetic distance is presented as a bar at the bottom of each tree.</w:t>
      </w:r>
    </w:p>
    <w:p w14:paraId="4D71511E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6A8DA6D8" w14:textId="5CD003E3" w:rsidR="009A7EA8" w:rsidRPr="00583BCC" w:rsidRDefault="00583BCC" w:rsidP="00583BCC">
      <w:pPr>
        <w:spacing w:line="360" w:lineRule="auto"/>
        <w:rPr>
          <w:rFonts w:cs="Times New Roman"/>
          <w:b/>
          <w:szCs w:val="24"/>
        </w:rPr>
      </w:pPr>
      <w:r w:rsidRPr="00583BCC">
        <w:rPr>
          <w:rFonts w:cs="Times New Roman"/>
          <w:b/>
          <w:szCs w:val="24"/>
        </w:rPr>
        <w:t>Supplementary Figure 3.</w:t>
      </w:r>
    </w:p>
    <w:p w14:paraId="4D1BD700" w14:textId="354B44F2" w:rsidR="009A7EA8" w:rsidRDefault="009A7EA8" w:rsidP="00583BCC">
      <w:pPr>
        <w:spacing w:line="360" w:lineRule="auto"/>
        <w:jc w:val="center"/>
        <w:rPr>
          <w:rFonts w:ascii="Arial" w:hAnsi="Arial" w:cs="Arial"/>
        </w:rPr>
      </w:pPr>
      <w:r w:rsidRPr="0015156D">
        <w:rPr>
          <w:rFonts w:ascii="Arial" w:hAnsi="Arial" w:cs="Arial"/>
          <w:noProof/>
          <w:lang w:val="en-GB" w:eastAsia="en-GB"/>
        </w:rPr>
        <w:drawing>
          <wp:inline distT="0" distB="0" distL="0" distR="0" wp14:anchorId="76A306A9" wp14:editId="67438B7C">
            <wp:extent cx="6632098" cy="2681416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5730" b="12396"/>
                    <a:stretch/>
                  </pic:blipFill>
                  <pic:spPr bwMode="auto">
                    <a:xfrm>
                      <a:off x="0" y="0"/>
                      <a:ext cx="6635140" cy="2682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140254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5AAA167F" w14:textId="314EC0E8" w:rsidR="009A7EA8" w:rsidRPr="00583BCC" w:rsidRDefault="00583BCC" w:rsidP="00583BCC">
      <w:pPr>
        <w:pStyle w:val="HTML-voorafopgemaakt"/>
        <w:shd w:val="clear" w:color="auto" w:fill="FFFFFF"/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83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Figure 3. </w:t>
      </w:r>
      <w:r w:rsidR="009A7EA8" w:rsidRPr="00583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HVR1-diversity in human serum and in uPA-SCID mice plasma following inoculation with serum from patients with low QS-diversity. </w:t>
      </w:r>
      <w:r w:rsidR="009A7EA8" w:rsidRPr="00583BCC">
        <w:rPr>
          <w:rFonts w:ascii="Times New Roman" w:hAnsi="Times New Roman" w:cs="Times New Roman"/>
          <w:color w:val="000000" w:themeColor="text1"/>
          <w:sz w:val="24"/>
          <w:szCs w:val="24"/>
        </w:rPr>
        <w:t>Schematic representation of the E1E2-HVR1 viral quasispecies (QS) distribution in human serum and mouse plasma for four gt1a-patients (P01, P02, P32 and P03), one gt1b-patient (P06) and one gt3a-patient (P15_2006) with QS-score &lt;0.2 (Figure 1, Supplementary Figure 2). The number of clones analysed per compartment is shown beneath each pie chart that represents the fraction of each clone/compartment based on diversity in HVR1. Based on individual AA-similarity and clustering in phylogenetic analysis, all HVR1-sequences shown are closely related within each patient.</w:t>
      </w:r>
    </w:p>
    <w:p w14:paraId="4A2DF900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60B6604C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4F9921A5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40AC8F35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36FEBD0B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65A73233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5A3DBB3F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0D454F3C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36FD6120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3183E889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32D44EE4" w14:textId="7EE548FB" w:rsidR="009A7EA8" w:rsidRPr="0022267E" w:rsidRDefault="00583BCC" w:rsidP="009A7EA8">
      <w:pPr>
        <w:pStyle w:val="HTML-voorafopgemaakt"/>
        <w:shd w:val="clear" w:color="auto" w:fill="FFFFFF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83BCC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Supplementary Figure 4.</w:t>
      </w:r>
    </w:p>
    <w:p w14:paraId="44D1FF92" w14:textId="21359183" w:rsidR="0022267E" w:rsidRPr="0022267E" w:rsidRDefault="0022267E" w:rsidP="009A7EA8">
      <w:pPr>
        <w:pStyle w:val="HTML-voorafopgemaakt"/>
        <w:shd w:val="clear" w:color="auto" w:fill="FFFFFF"/>
        <w:spacing w:line="360" w:lineRule="auto"/>
        <w:jc w:val="both"/>
        <w:rPr>
          <w:rFonts w:asciiTheme="majorHAnsi" w:hAnsiTheme="majorHAnsi" w:cstheme="majorHAnsi"/>
          <w:color w:val="000000" w:themeColor="text1"/>
          <w:sz w:val="22"/>
          <w:szCs w:val="22"/>
          <w:lang w:val="en-US"/>
        </w:rPr>
      </w:pPr>
      <w:r w:rsidRPr="0022267E">
        <w:rPr>
          <w:rFonts w:asciiTheme="majorHAnsi" w:hAnsiTheme="majorHAnsi" w:cstheme="majorHAnsi"/>
          <w:color w:val="000000" w:themeColor="text1"/>
          <w:sz w:val="22"/>
          <w:szCs w:val="22"/>
          <w:lang w:val="en-US"/>
        </w:rPr>
        <w:drawing>
          <wp:inline distT="0" distB="0" distL="0" distR="0" wp14:anchorId="43DE411F" wp14:editId="5B889128">
            <wp:extent cx="6026380" cy="7964906"/>
            <wp:effectExtent l="0" t="0" r="6350" b="0"/>
            <wp:docPr id="6" name="Afbeelding 6" descr="Afbeelding met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35135" cy="797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3434B" w14:textId="38C77FCA" w:rsidR="009A7EA8" w:rsidRPr="00583BCC" w:rsidRDefault="00583BCC" w:rsidP="00583BCC">
      <w:pPr>
        <w:pStyle w:val="HTML-voorafopgemaakt"/>
        <w:shd w:val="clear" w:color="auto" w:fill="FFFFFF"/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83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 xml:space="preserve">Supplementary Figure 4. </w:t>
      </w:r>
      <w:r w:rsidR="009A7EA8" w:rsidRPr="00583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mino acid</w:t>
      </w:r>
      <w:r w:rsidR="009A7EA8" w:rsidRPr="00583BC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sequences and corresponding colour codes of viral variants (HVR1) depicted in Figure 3</w:t>
      </w:r>
      <w:r w:rsidR="009A7EA8" w:rsidRPr="00583BCC">
        <w:rPr>
          <w:rFonts w:ascii="Times New Roman" w:hAnsi="Times New Roman" w:cs="Times New Roman"/>
          <w:color w:val="000000" w:themeColor="text1"/>
          <w:sz w:val="24"/>
          <w:szCs w:val="24"/>
        </w:rPr>
        <w:t>.  Schematic representation of the E1E2-HVR1 viral quasispecies (QS) distribution in human serum and B cells at the time of injection and in uPA-SCID plasma for three gt1b-patients (P09, P10 and P12) and one gt3a-patient (P16) is shown in Figure 3. Viral HVR1-isolates are indicated by different colours and are unique for each patient. The AA sequences of the HVR1 region (AA</w:t>
      </w:r>
      <w:r w:rsidR="009A7EA8" w:rsidRPr="00583BCC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384-410</w:t>
      </w:r>
      <w:r w:rsidR="009A7EA8" w:rsidRPr="00583BCC">
        <w:rPr>
          <w:rFonts w:ascii="Times New Roman" w:hAnsi="Times New Roman" w:cs="Times New Roman"/>
          <w:color w:val="000000" w:themeColor="text1"/>
          <w:sz w:val="24"/>
          <w:szCs w:val="24"/>
        </w:rPr>
        <w:t>) and their corresponding colour codes are shown. The consensus sequences HCV-J4 (gt1b) and HCV-S52 (gt3a) are used for HVR1-alignments and shown on top. Closely related HVR1-variants (based on individual AA-similarity and clustering in phylogenetic analysis) are depicted in different intensities of the same colour.</w:t>
      </w:r>
    </w:p>
    <w:p w14:paraId="4A994C24" w14:textId="77777777" w:rsidR="009A7EA8" w:rsidRDefault="009A7EA8" w:rsidP="009A7EA8">
      <w:pPr>
        <w:pStyle w:val="HTML-voorafopgemaakt"/>
        <w:shd w:val="clear" w:color="auto" w:fill="FFFFFF"/>
        <w:spacing w:line="360" w:lineRule="auto"/>
        <w:jc w:val="both"/>
        <w:rPr>
          <w:rFonts w:ascii="Arial" w:hAnsi="Arial" w:cs="Arial"/>
          <w:lang w:val="en-US"/>
        </w:rPr>
      </w:pPr>
    </w:p>
    <w:p w14:paraId="38E028F3" w14:textId="77777777" w:rsidR="00B55B20" w:rsidRDefault="00B55B20">
      <w:pPr>
        <w:spacing w:before="0" w:after="200" w:line="276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760AEE3F" w14:textId="659CD882" w:rsidR="009A7EA8" w:rsidRPr="00B55B20" w:rsidRDefault="00B55B20" w:rsidP="00B55B20">
      <w:pPr>
        <w:spacing w:line="360" w:lineRule="auto"/>
        <w:rPr>
          <w:rFonts w:cs="Times New Roman"/>
          <w:b/>
          <w:szCs w:val="24"/>
        </w:rPr>
      </w:pPr>
      <w:r w:rsidRPr="00B55B20">
        <w:rPr>
          <w:rFonts w:cs="Times New Roman"/>
          <w:b/>
          <w:szCs w:val="24"/>
        </w:rPr>
        <w:lastRenderedPageBreak/>
        <w:t>Supplementary Figure 5</w:t>
      </w:r>
    </w:p>
    <w:p w14:paraId="1C62D9AE" w14:textId="0336FB3C" w:rsidR="009A7EA8" w:rsidRPr="00B55B20" w:rsidRDefault="00B55B20" w:rsidP="008E0390">
      <w:pPr>
        <w:spacing w:before="0" w:after="0"/>
        <w:ind w:left="851"/>
        <w:jc w:val="both"/>
        <w:rPr>
          <w:rFonts w:cs="Times New Roman"/>
          <w:b/>
          <w:szCs w:val="24"/>
        </w:rPr>
      </w:pPr>
      <w:r w:rsidRPr="00B55B20">
        <w:rPr>
          <w:rFonts w:cs="Times New Roman"/>
          <w:b/>
          <w:szCs w:val="24"/>
        </w:rPr>
        <w:t>A</w:t>
      </w:r>
    </w:p>
    <w:p w14:paraId="1745A62E" w14:textId="77777777" w:rsidR="009A7EA8" w:rsidRPr="004C4467" w:rsidRDefault="009A7EA8" w:rsidP="009A7EA8">
      <w:pPr>
        <w:spacing w:line="360" w:lineRule="auto"/>
        <w:ind w:left="851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val="en-GB" w:eastAsia="en-GB"/>
        </w:rPr>
        <w:drawing>
          <wp:inline distT="0" distB="0" distL="0" distR="0" wp14:anchorId="3679103F" wp14:editId="5D710884">
            <wp:extent cx="5009492" cy="4040094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hermafbeelding 2021-04-15 om 17.58.06.png"/>
                    <pic:cNvPicPr/>
                  </pic:nvPicPr>
                  <pic:blipFill rotWithShape="1">
                    <a:blip r:embed="rId16"/>
                    <a:srcRect l="5742" t="4454" r="3473" b="2646"/>
                    <a:stretch/>
                  </pic:blipFill>
                  <pic:spPr bwMode="auto">
                    <a:xfrm>
                      <a:off x="0" y="0"/>
                      <a:ext cx="5064766" cy="4084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04EE80" w14:textId="44F9D29A" w:rsidR="009A7EA8" w:rsidRDefault="00B55B20" w:rsidP="008E0390">
      <w:pPr>
        <w:spacing w:before="0" w:after="0"/>
        <w:ind w:left="851"/>
        <w:jc w:val="both"/>
        <w:rPr>
          <w:rFonts w:ascii="Arial" w:hAnsi="Arial" w:cs="Arial"/>
          <w:b/>
          <w:sz w:val="20"/>
          <w:szCs w:val="20"/>
        </w:rPr>
      </w:pPr>
      <w:r w:rsidRPr="00B55B20">
        <w:rPr>
          <w:rFonts w:cs="Times New Roman"/>
          <w:b/>
          <w:szCs w:val="24"/>
        </w:rPr>
        <w:t>B</w:t>
      </w:r>
      <w:r w:rsidR="009A7EA8">
        <w:rPr>
          <w:rFonts w:ascii="Arial" w:hAnsi="Arial" w:cs="Arial"/>
          <w:noProof/>
          <w:color w:val="FF0000"/>
          <w:sz w:val="20"/>
          <w:szCs w:val="20"/>
          <w:lang w:val="en-GB" w:eastAsia="en-GB"/>
        </w:rPr>
        <w:drawing>
          <wp:inline distT="0" distB="0" distL="0" distR="0" wp14:anchorId="5460A2AB" wp14:editId="0FF695FE">
            <wp:extent cx="6419620" cy="2146844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hermafbeelding 2021-01-10 om 12.10.05.png"/>
                    <pic:cNvPicPr/>
                  </pic:nvPicPr>
                  <pic:blipFill rotWithShape="1">
                    <a:blip r:embed="rId17"/>
                    <a:srcRect t="2236" b="59413"/>
                    <a:stretch/>
                  </pic:blipFill>
                  <pic:spPr bwMode="auto">
                    <a:xfrm>
                      <a:off x="0" y="0"/>
                      <a:ext cx="6444566" cy="2155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E4FBD8" w14:textId="77777777" w:rsidR="00E448C8" w:rsidRDefault="00E448C8" w:rsidP="00B55B20">
      <w:pPr>
        <w:autoSpaceDE w:val="0"/>
        <w:autoSpaceDN w:val="0"/>
        <w:adjustRightInd w:val="0"/>
        <w:spacing w:line="360" w:lineRule="auto"/>
        <w:jc w:val="both"/>
        <w:rPr>
          <w:rFonts w:cs="Times New Roman"/>
          <w:b/>
          <w:szCs w:val="24"/>
        </w:rPr>
      </w:pPr>
    </w:p>
    <w:p w14:paraId="4BCD18E8" w14:textId="5D85824F" w:rsidR="009A7EA8" w:rsidRPr="00B55B20" w:rsidRDefault="00B55B20" w:rsidP="00B55B20">
      <w:pPr>
        <w:autoSpaceDE w:val="0"/>
        <w:autoSpaceDN w:val="0"/>
        <w:adjustRightInd w:val="0"/>
        <w:spacing w:line="360" w:lineRule="auto"/>
        <w:jc w:val="both"/>
        <w:rPr>
          <w:rFonts w:cs="Times New Roman"/>
          <w:color w:val="FF0000"/>
          <w:szCs w:val="24"/>
        </w:rPr>
      </w:pPr>
      <w:r w:rsidRPr="00B55B20">
        <w:rPr>
          <w:rFonts w:cs="Times New Roman"/>
          <w:b/>
          <w:szCs w:val="24"/>
        </w:rPr>
        <w:t xml:space="preserve">Supplementary Figure 5. </w:t>
      </w:r>
      <w:r w:rsidR="009A7EA8" w:rsidRPr="00B55B20">
        <w:rPr>
          <w:rFonts w:cs="Times New Roman"/>
          <w:b/>
          <w:szCs w:val="24"/>
        </w:rPr>
        <w:t xml:space="preserve">Presence of (+) and (-) single strand HCV-RNA in infectious and non-infectious B cells. </w:t>
      </w:r>
      <w:r w:rsidR="009A7EA8" w:rsidRPr="00B55B20">
        <w:rPr>
          <w:rFonts w:cs="Times New Roman"/>
          <w:bCs/>
          <w:szCs w:val="24"/>
        </w:rPr>
        <w:t>(</w:t>
      </w:r>
      <w:r w:rsidR="00392AB9">
        <w:rPr>
          <w:rFonts w:cs="Times New Roman"/>
          <w:b/>
          <w:bCs/>
          <w:szCs w:val="24"/>
        </w:rPr>
        <w:t>A</w:t>
      </w:r>
      <w:r w:rsidR="009A7EA8" w:rsidRPr="00B55B20">
        <w:rPr>
          <w:rFonts w:cs="Times New Roman"/>
          <w:szCs w:val="24"/>
        </w:rPr>
        <w:t xml:space="preserve">) Flow chart illustrates the sequence of basic steps in (i) the quantification of </w:t>
      </w:r>
      <w:r w:rsidR="009A7EA8" w:rsidRPr="00B55B20">
        <w:rPr>
          <w:rFonts w:cs="Times New Roman"/>
          <w:szCs w:val="24"/>
        </w:rPr>
        <w:lastRenderedPageBreak/>
        <w:t xml:space="preserve">HCV-RNA in B cells using the </w:t>
      </w:r>
      <w:r w:rsidR="009A7EA8" w:rsidRPr="00B55B20">
        <w:rPr>
          <w:rFonts w:cs="Times New Roman"/>
          <w:szCs w:val="24"/>
          <w:lang w:eastAsia="nl-NL"/>
        </w:rPr>
        <w:t xml:space="preserve">COBAS® TaqMan® HCV Test v2.0 (Roche) and (ii) the detection of (+)ssRNA and (-)ssRNA in B cells and serum using a strand-specific RT-PCR based on Tth DNA polymerase (detailed in methods). </w:t>
      </w:r>
      <w:r w:rsidR="009A7EA8" w:rsidRPr="00B55B20">
        <w:rPr>
          <w:rFonts w:cs="Times New Roman"/>
          <w:szCs w:val="24"/>
        </w:rPr>
        <w:t>(</w:t>
      </w:r>
      <w:r w:rsidR="00392AB9">
        <w:rPr>
          <w:rFonts w:cs="Times New Roman"/>
          <w:b/>
          <w:szCs w:val="24"/>
        </w:rPr>
        <w:t>B</w:t>
      </w:r>
      <w:r w:rsidR="009A7EA8" w:rsidRPr="00B55B20">
        <w:rPr>
          <w:rFonts w:cs="Times New Roman"/>
          <w:szCs w:val="24"/>
        </w:rPr>
        <w:t xml:space="preserve">) Representative example of an agarose gel electrophoresis showing the semi-quantitative detection of (+)ssRNA (Plus-PCR, upper part of both left and right panels) and (-)ssRNA (Min-PCR, lower part of both left and right panels) in non-infectious B cells (P05, HCV-gt1a) and infectious B cells (P08, HCV-gt1b). After total RNA extraction from B cells, (-) and (+) strand-specific cDNA was generated and amplified using a Tth-based RT-PCR-protocol. The presence of ssRNA was monitored on a dilution series representing absolute amounts of B cells (normalized for total RNA content after extraction). HCV_JC1-infected Huh7.5 hepatoma-cells (referred as </w:t>
      </w:r>
      <w:r w:rsidR="009A7EA8" w:rsidRPr="00B55B20">
        <w:rPr>
          <w:rFonts w:cs="Times New Roman"/>
          <w:b/>
          <w:szCs w:val="24"/>
        </w:rPr>
        <w:t>Hep+</w:t>
      </w:r>
      <w:r w:rsidR="009A7EA8" w:rsidRPr="00B55B20">
        <w:rPr>
          <w:rFonts w:cs="Times New Roman"/>
          <w:szCs w:val="24"/>
        </w:rPr>
        <w:t xml:space="preserve">) and B cells from non-infected individuals (referred as </w:t>
      </w:r>
      <w:r w:rsidR="009A7EA8" w:rsidRPr="00B55B20">
        <w:rPr>
          <w:rFonts w:cs="Times New Roman"/>
          <w:b/>
          <w:szCs w:val="24"/>
        </w:rPr>
        <w:t>B-</w:t>
      </w:r>
      <w:r w:rsidR="009A7EA8" w:rsidRPr="00B55B20">
        <w:rPr>
          <w:rFonts w:cs="Times New Roman"/>
          <w:szCs w:val="24"/>
        </w:rPr>
        <w:t>) were used as HCV-positive and -negative control cells, respectively. Synthesized appropriate positive- (</w:t>
      </w:r>
      <w:r w:rsidR="009A7EA8" w:rsidRPr="00B55B20">
        <w:rPr>
          <w:rFonts w:cs="Times New Roman"/>
          <w:b/>
          <w:szCs w:val="24"/>
        </w:rPr>
        <w:t>T7</w:t>
      </w:r>
      <w:r w:rsidR="009A7EA8" w:rsidRPr="00B55B20">
        <w:rPr>
          <w:rFonts w:cs="Times New Roman"/>
          <w:szCs w:val="24"/>
        </w:rPr>
        <w:t>) and negative-strand (</w:t>
      </w:r>
      <w:r w:rsidR="009A7EA8" w:rsidRPr="00B55B20">
        <w:rPr>
          <w:rFonts w:cs="Times New Roman"/>
          <w:b/>
          <w:szCs w:val="24"/>
        </w:rPr>
        <w:t>SP6</w:t>
      </w:r>
      <w:r w:rsidR="009A7EA8" w:rsidRPr="00B55B20">
        <w:rPr>
          <w:rFonts w:cs="Times New Roman"/>
          <w:szCs w:val="24"/>
        </w:rPr>
        <w:t xml:space="preserve">) HCV-RNA control fragments were added in each run (kindly provided by Harvey Alter, NIH). M, 100 bp DNA ladder </w:t>
      </w:r>
    </w:p>
    <w:p w14:paraId="08B5AC20" w14:textId="760C2CEB" w:rsidR="00FC75D7" w:rsidRPr="00FC75D7" w:rsidRDefault="009A7EA8" w:rsidP="00FC75D7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br w:type="page"/>
      </w:r>
    </w:p>
    <w:p w14:paraId="49AAC591" w14:textId="77777777" w:rsidR="00FC75D7" w:rsidRPr="00B55B20" w:rsidRDefault="00FC75D7" w:rsidP="00FC75D7">
      <w:pPr>
        <w:spacing w:before="0" w:after="0" w:line="360" w:lineRule="auto"/>
        <w:rPr>
          <w:rFonts w:cs="Times New Roman"/>
          <w:b/>
          <w:szCs w:val="24"/>
        </w:rPr>
      </w:pPr>
      <w:r w:rsidRPr="00B55B20">
        <w:rPr>
          <w:rFonts w:cs="Times New Roman"/>
          <w:b/>
          <w:szCs w:val="24"/>
        </w:rPr>
        <w:lastRenderedPageBreak/>
        <w:t>Supplementary Table 1.</w:t>
      </w:r>
    </w:p>
    <w:p w14:paraId="555015D2" w14:textId="754CE550" w:rsidR="00FC75D7" w:rsidRDefault="00FC75D7" w:rsidP="00B55B20">
      <w:pPr>
        <w:spacing w:before="0" w:after="0" w:line="360" w:lineRule="auto"/>
        <w:rPr>
          <w:rFonts w:cs="Times New Roman"/>
          <w:b/>
          <w:szCs w:val="24"/>
        </w:rPr>
      </w:pPr>
      <w:r w:rsidRPr="00003EF1">
        <w:rPr>
          <w:noProof/>
        </w:rPr>
        <w:drawing>
          <wp:inline distT="0" distB="0" distL="0" distR="0" wp14:anchorId="22061CF5" wp14:editId="1BE5D31A">
            <wp:extent cx="6208395" cy="3372485"/>
            <wp:effectExtent l="0" t="0" r="1905" b="571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37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8AC4B" w14:textId="40E9EC6C" w:rsidR="00FC75D7" w:rsidRPr="00927C35" w:rsidRDefault="00FC75D7" w:rsidP="00FC75D7">
      <w:pPr>
        <w:spacing w:before="240" w:line="360" w:lineRule="auto"/>
        <w:ind w:right="-4"/>
        <w:jc w:val="both"/>
        <w:rPr>
          <w:rFonts w:ascii="Arial" w:hAnsi="Arial" w:cs="Arial"/>
          <w:sz w:val="20"/>
          <w:szCs w:val="20"/>
        </w:rPr>
      </w:pPr>
      <w:proofErr w:type="spellStart"/>
      <w:r w:rsidRPr="00927C35">
        <w:rPr>
          <w:rFonts w:ascii="Arial" w:hAnsi="Arial" w:cs="Arial"/>
          <w:vertAlign w:val="superscript"/>
        </w:rPr>
        <w:t>a</w:t>
      </w:r>
      <w:r w:rsidRPr="00927C35">
        <w:rPr>
          <w:rFonts w:ascii="Arial" w:hAnsi="Arial" w:cs="Arial"/>
          <w:sz w:val="20"/>
          <w:szCs w:val="20"/>
        </w:rPr>
        <w:t>IDU</w:t>
      </w:r>
      <w:proofErr w:type="spellEnd"/>
      <w:r w:rsidRPr="00927C35">
        <w:rPr>
          <w:rFonts w:ascii="Arial" w:hAnsi="Arial" w:cs="Arial"/>
          <w:sz w:val="20"/>
          <w:szCs w:val="20"/>
        </w:rPr>
        <w:t xml:space="preserve">, injecting drug use. </w:t>
      </w:r>
      <w:proofErr w:type="spellStart"/>
      <w:r w:rsidRPr="00927C35">
        <w:rPr>
          <w:rFonts w:ascii="Arial" w:hAnsi="Arial" w:cs="Arial"/>
          <w:vertAlign w:val="superscript"/>
        </w:rPr>
        <w:t>b</w:t>
      </w:r>
      <w:r w:rsidRPr="00927C35">
        <w:rPr>
          <w:rFonts w:ascii="Arial" w:hAnsi="Arial" w:cs="Arial"/>
          <w:sz w:val="20"/>
          <w:szCs w:val="20"/>
        </w:rPr>
        <w:t>Time</w:t>
      </w:r>
      <w:proofErr w:type="spellEnd"/>
      <w:r w:rsidRPr="00927C35">
        <w:rPr>
          <w:rFonts w:ascii="Arial" w:hAnsi="Arial" w:cs="Arial"/>
          <w:sz w:val="20"/>
          <w:szCs w:val="20"/>
        </w:rPr>
        <w:t xml:space="preserve"> elapsed</w:t>
      </w:r>
      <w:r w:rsidRPr="00927C35">
        <w:rPr>
          <w:rFonts w:ascii="Arial" w:hAnsi="Arial" w:cs="Arial"/>
          <w:sz w:val="20"/>
          <w:szCs w:val="20"/>
          <w:vertAlign w:val="superscript"/>
        </w:rPr>
        <w:t xml:space="preserve"> </w:t>
      </w:r>
      <w:r w:rsidRPr="00927C35">
        <w:rPr>
          <w:rFonts w:ascii="Arial" w:hAnsi="Arial" w:cs="Arial"/>
          <w:sz w:val="20"/>
          <w:szCs w:val="20"/>
        </w:rPr>
        <w:t xml:space="preserve">between initial HCV-infection/diagnosis and biological sampling for the present study (y, year; m, month). </w:t>
      </w:r>
      <w:r w:rsidRPr="00927C35">
        <w:rPr>
          <w:rFonts w:ascii="Arial" w:hAnsi="Arial" w:cs="Arial"/>
          <w:vertAlign w:val="superscript"/>
        </w:rPr>
        <w:t>c</w:t>
      </w:r>
      <w:r w:rsidRPr="00927C35">
        <w:rPr>
          <w:rFonts w:ascii="Arial" w:hAnsi="Arial" w:cs="Arial"/>
          <w:sz w:val="20"/>
          <w:szCs w:val="20"/>
        </w:rPr>
        <w:t>Anti-E1E2</w:t>
      </w:r>
      <w:r w:rsidRPr="00927C35">
        <w:rPr>
          <w:rFonts w:ascii="Arial" w:hAnsi="Arial" w:cs="Arial"/>
          <w:sz w:val="20"/>
          <w:szCs w:val="20"/>
          <w:vertAlign w:val="subscript"/>
        </w:rPr>
        <w:t>H77</w:t>
      </w:r>
      <w:r w:rsidRPr="00927C35">
        <w:rPr>
          <w:rFonts w:ascii="Arial" w:hAnsi="Arial" w:cs="Arial"/>
          <w:sz w:val="20"/>
          <w:szCs w:val="20"/>
        </w:rPr>
        <w:t xml:space="preserve"> IgG levels are expressed as reciprocal endpoint dilution titer of autologous serum in EIA; &lt;10, IgG was not detected at serum-dilution 1/10.</w:t>
      </w:r>
      <w:r w:rsidRPr="00927C35">
        <w:rPr>
          <w:rFonts w:ascii="Arial" w:hAnsi="Arial" w:cs="Arial"/>
          <w:vertAlign w:val="superscript"/>
        </w:rPr>
        <w:t xml:space="preserve"> </w:t>
      </w:r>
      <w:proofErr w:type="spellStart"/>
      <w:r w:rsidRPr="00927C35">
        <w:rPr>
          <w:rFonts w:ascii="Arial" w:hAnsi="Arial" w:cs="Arial"/>
          <w:vertAlign w:val="superscript"/>
        </w:rPr>
        <w:t>d</w:t>
      </w:r>
      <w:r w:rsidRPr="00927C35">
        <w:rPr>
          <w:rFonts w:ascii="Arial" w:hAnsi="Arial" w:cs="Arial"/>
          <w:sz w:val="20"/>
          <w:szCs w:val="20"/>
        </w:rPr>
        <w:t>Neutrali</w:t>
      </w:r>
      <w:r>
        <w:rPr>
          <w:rFonts w:ascii="Arial" w:hAnsi="Arial" w:cs="Arial"/>
          <w:sz w:val="20"/>
          <w:szCs w:val="20"/>
        </w:rPr>
        <w:t>z</w:t>
      </w:r>
      <w:r w:rsidRPr="00927C35">
        <w:rPr>
          <w:rFonts w:ascii="Arial" w:hAnsi="Arial" w:cs="Arial"/>
          <w:sz w:val="20"/>
          <w:szCs w:val="20"/>
        </w:rPr>
        <w:t>ing</w:t>
      </w:r>
      <w:proofErr w:type="spellEnd"/>
      <w:r w:rsidRPr="00927C35">
        <w:rPr>
          <w:rFonts w:ascii="Arial" w:hAnsi="Arial" w:cs="Arial"/>
          <w:sz w:val="20"/>
          <w:szCs w:val="20"/>
        </w:rPr>
        <w:t xml:space="preserve"> activities of autologous serum to HCV-pseudoviral particles expressing envelope proteins of gt1a (HCVpp_H77) are expressed as IC</w:t>
      </w:r>
      <w:r w:rsidRPr="00927C35">
        <w:rPr>
          <w:rFonts w:ascii="Arial" w:hAnsi="Arial" w:cs="Arial"/>
          <w:sz w:val="20"/>
          <w:szCs w:val="20"/>
          <w:vertAlign w:val="subscript"/>
        </w:rPr>
        <w:t xml:space="preserve">50 </w:t>
      </w:r>
      <w:r w:rsidRPr="00927C35">
        <w:rPr>
          <w:rFonts w:ascii="Arial" w:hAnsi="Arial" w:cs="Arial"/>
          <w:sz w:val="20"/>
          <w:szCs w:val="20"/>
        </w:rPr>
        <w:t xml:space="preserve">(reciprocal titer); &lt;50%, neutralization did not reach 50%. </w:t>
      </w:r>
    </w:p>
    <w:p w14:paraId="5753ECA8" w14:textId="5AE03BF3" w:rsidR="00FC75D7" w:rsidRDefault="00FC75D7" w:rsidP="00B55B20">
      <w:pPr>
        <w:spacing w:before="0" w:after="0" w:line="360" w:lineRule="auto"/>
        <w:rPr>
          <w:rFonts w:cs="Times New Roman"/>
          <w:b/>
          <w:szCs w:val="24"/>
        </w:rPr>
      </w:pPr>
    </w:p>
    <w:p w14:paraId="6768B942" w14:textId="37980CF7" w:rsidR="00FC75D7" w:rsidRDefault="00FC75D7" w:rsidP="00B55B20">
      <w:pPr>
        <w:spacing w:before="0" w:after="0" w:line="360" w:lineRule="auto"/>
        <w:rPr>
          <w:rFonts w:cs="Times New Roman"/>
          <w:b/>
          <w:szCs w:val="24"/>
        </w:rPr>
      </w:pPr>
    </w:p>
    <w:p w14:paraId="5F364076" w14:textId="3F53DBD0" w:rsidR="00FC75D7" w:rsidRDefault="00FC75D7" w:rsidP="00B55B20">
      <w:pPr>
        <w:spacing w:before="0" w:after="0" w:line="360" w:lineRule="auto"/>
        <w:rPr>
          <w:rFonts w:cs="Times New Roman"/>
          <w:b/>
          <w:szCs w:val="24"/>
        </w:rPr>
      </w:pPr>
    </w:p>
    <w:p w14:paraId="0F249873" w14:textId="09F93E1C" w:rsidR="00FC75D7" w:rsidRDefault="00FC75D7" w:rsidP="00B55B20">
      <w:pPr>
        <w:spacing w:before="0" w:after="0" w:line="360" w:lineRule="auto"/>
        <w:rPr>
          <w:rFonts w:cs="Times New Roman"/>
          <w:b/>
          <w:szCs w:val="24"/>
        </w:rPr>
      </w:pPr>
    </w:p>
    <w:p w14:paraId="39D072D7" w14:textId="0CD28491" w:rsidR="00FC75D7" w:rsidRDefault="00FC75D7" w:rsidP="00B55B20">
      <w:pPr>
        <w:spacing w:before="0" w:after="0" w:line="360" w:lineRule="auto"/>
        <w:rPr>
          <w:rFonts w:cs="Times New Roman"/>
          <w:b/>
          <w:szCs w:val="24"/>
        </w:rPr>
      </w:pPr>
    </w:p>
    <w:p w14:paraId="02DCBEA7" w14:textId="698AB3B2" w:rsidR="00FC75D7" w:rsidRDefault="00FC75D7" w:rsidP="00FC75D7">
      <w:pPr>
        <w:spacing w:before="0" w:after="200" w:line="276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14:paraId="0B0C0039" w14:textId="28CA5ADA" w:rsidR="009A7EA8" w:rsidRPr="00B55B20" w:rsidRDefault="00B55B20" w:rsidP="00B55B20">
      <w:pPr>
        <w:spacing w:before="0" w:after="0" w:line="360" w:lineRule="auto"/>
        <w:rPr>
          <w:rFonts w:cs="Times New Roman"/>
          <w:b/>
          <w:szCs w:val="24"/>
        </w:rPr>
      </w:pPr>
      <w:r w:rsidRPr="00B55B20">
        <w:rPr>
          <w:rFonts w:cs="Times New Roman"/>
          <w:b/>
          <w:szCs w:val="24"/>
        </w:rPr>
        <w:lastRenderedPageBreak/>
        <w:t>Supplementary Table</w:t>
      </w:r>
      <w:r w:rsidR="009A7EA8" w:rsidRPr="00B55B20">
        <w:rPr>
          <w:rFonts w:cs="Times New Roman"/>
          <w:b/>
          <w:szCs w:val="24"/>
        </w:rPr>
        <w:t xml:space="preserve"> </w:t>
      </w:r>
      <w:r w:rsidR="00FC75D7">
        <w:rPr>
          <w:rFonts w:cs="Times New Roman"/>
          <w:b/>
          <w:szCs w:val="24"/>
        </w:rPr>
        <w:t>2</w:t>
      </w:r>
      <w:r w:rsidRPr="00B55B20">
        <w:rPr>
          <w:rFonts w:cs="Times New Roman"/>
          <w:b/>
          <w:szCs w:val="24"/>
        </w:rPr>
        <w:t>.</w:t>
      </w:r>
    </w:p>
    <w:tbl>
      <w:tblPr>
        <w:tblW w:w="10868" w:type="dxa"/>
        <w:tblInd w:w="-450" w:type="dxa"/>
        <w:tblLook w:val="04A0" w:firstRow="1" w:lastRow="0" w:firstColumn="1" w:lastColumn="0" w:noHBand="0" w:noVBand="1"/>
      </w:tblPr>
      <w:tblGrid>
        <w:gridCol w:w="1170"/>
        <w:gridCol w:w="2970"/>
        <w:gridCol w:w="896"/>
        <w:gridCol w:w="1087"/>
        <w:gridCol w:w="280"/>
        <w:gridCol w:w="1013"/>
        <w:gridCol w:w="1087"/>
        <w:gridCol w:w="280"/>
        <w:gridCol w:w="755"/>
        <w:gridCol w:w="1343"/>
      </w:tblGrid>
      <w:tr w:rsidR="00867F2C" w:rsidRPr="00867F2C" w14:paraId="2777E5A9" w14:textId="77777777" w:rsidTr="00867F2C">
        <w:trPr>
          <w:trHeight w:val="375"/>
        </w:trPr>
        <w:tc>
          <w:tcPr>
            <w:tcW w:w="117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AFC060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180337B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97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E43AF9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b/>
                <w:bCs/>
                <w:color w:val="000000"/>
                <w:sz w:val="22"/>
                <w:lang w:val="en-GB" w:eastAsia="en-GB"/>
              </w:rPr>
              <w:t>serum injection</w:t>
            </w:r>
          </w:p>
        </w:tc>
        <w:tc>
          <w:tcPr>
            <w:tcW w:w="28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5B4907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10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B1635A9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b/>
                <w:bCs/>
                <w:color w:val="000000"/>
                <w:sz w:val="22"/>
                <w:lang w:val="en-GB" w:eastAsia="en-GB"/>
              </w:rPr>
              <w:t>B cell injection</w:t>
            </w:r>
          </w:p>
        </w:tc>
        <w:tc>
          <w:tcPr>
            <w:tcW w:w="28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E1582D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098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A49420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b/>
                <w:bCs/>
                <w:color w:val="000000"/>
                <w:sz w:val="22"/>
                <w:lang w:val="en-GB" w:eastAsia="en-GB"/>
              </w:rPr>
              <w:t>% CD19+ cells</w:t>
            </w:r>
          </w:p>
        </w:tc>
      </w:tr>
      <w:tr w:rsidR="00867F2C" w:rsidRPr="00867F2C" w14:paraId="5C9135E8" w14:textId="77777777" w:rsidTr="00867F2C">
        <w:trPr>
          <w:trHeight w:val="945"/>
        </w:trPr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DB23E5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A0D6C8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Patient ID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00AA08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mouse ID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14:paraId="62BE7C7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hu-Alb (mg/ml)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0B9DE70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597362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mouse ID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14:paraId="0505F46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hu-Alb (mg/ml)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07DD2A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6075C90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PBMC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14:paraId="6376B88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after purification (=injected)</w:t>
            </w:r>
          </w:p>
        </w:tc>
      </w:tr>
      <w:tr w:rsidR="00867F2C" w:rsidRPr="00867F2C" w14:paraId="2B7D5347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CDE796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Figure 1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B3A4B5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P01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6685CDD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K753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CBF3644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5.6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E91C071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890A510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K750L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01933F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5.8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1EAC2A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63A3E30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6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3706FC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96</w:t>
            </w:r>
          </w:p>
        </w:tc>
      </w:tr>
      <w:tr w:rsidR="00867F2C" w:rsidRPr="00867F2C" w14:paraId="2C94BA75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F09BCB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6957BC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P02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FBA9AF9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K874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4D821D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8.7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296BBB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BAD0B34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B133L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8939B4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5.1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1B9AD3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B3610E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12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4347C6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57738A8F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C1E1D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01A596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P32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3A32F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B582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C25F3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3.3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CC666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813C94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K874R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FDFEB1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4.0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2088C4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2BB77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19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296E2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5679B8F3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97793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126169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P03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2FF3F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B629L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AEA66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4.1</w:t>
            </w: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32207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157DA2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K813R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816CF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3.9</w:t>
            </w: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3F2E8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E7E9B8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12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FE366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6611576A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B930A6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98C1922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EAD1C7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22A0FC0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2AAD87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F3E60E4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B147L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717BC4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6.2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49EEB8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FBD631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13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F8E6DA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2F04A1EF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535CB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19B9B2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P06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F59EE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K594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DD06F0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2.9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5FFFE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E9FFA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K628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01EB0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2.7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A3712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396CD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14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11555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280183AD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C51CC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7EEA92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P15_2006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9DD393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B78R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6E8648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4.4</w:t>
            </w: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C6519F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DA29FF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K874RL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2DF3174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2.4</w:t>
            </w: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778F28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5FBFDA8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22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F3ED1B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5E01AABF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253DE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8C5317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P13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006AA6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B160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AC4BA2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4.8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825C6C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C488A80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K884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5F63D2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6.9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2949CF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A56987B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8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7247DF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23D95E94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0053C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49BC754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P14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73A8B8D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K993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C0881B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10.2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D65FE4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CD81892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B673RL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93376C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4.8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6606CA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C365ED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13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CE18C89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7C16ABA6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0E228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4EF81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P05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9192C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B295R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B7D99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3.8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2464A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355359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K687R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CB558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4.3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9CC780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9E60D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22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F56AF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51CFC089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C3F88B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229C1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CA6BDB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B682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987A11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3.7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8F98EB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EA58C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K1030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5D536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9.0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54EF8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7603D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18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7DCA8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7B25DBB3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1A2EA6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97C644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420E18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B507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C79903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4.9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E9DD44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7E5D39B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K1290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6F3A80B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5.0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C82737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394119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20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273AFA4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7C1AB4BC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6A59E9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08317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P15_2009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5E526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B85L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8C581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4.0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1D45F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1146F4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K811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DBEA0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9.6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AD5A2B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68FEBB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18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01475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3A683409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94924D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9BD4D26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E454E9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B828L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3E5FCD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4.7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922484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33AD8A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3956B5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6447E3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CAADCF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1ECF46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</w:tr>
      <w:tr w:rsidR="00867F2C" w:rsidRPr="00867F2C" w14:paraId="4B32D1D2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A10E5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B00DF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P08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14F8A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K738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93E76B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2.0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22026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C2560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K693R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6AF7A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2.1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AB82A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BF46D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15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0D4C3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7B21A62E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A84352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2B9F6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8FA4C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B259L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B28A5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4.8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72101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DFE5B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B186R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7CB9D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4.4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F2E39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13152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13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1FD45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385DFDF6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F122B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1CE28B0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CFBD01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K1197L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36AC84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6.3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2919E3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770533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K1196R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B3542A4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6.1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54A695D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2B9022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14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E95800B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4DAEEEDC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E4A9A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4D12A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P09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D095B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K1045R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0C3E2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6.8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BA6D9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0BE00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K1019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9E24A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3.6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F1698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6AE6E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29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289A29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45CF25A9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0E5134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4E053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2AFA3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B528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CD7408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8.5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E93A5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6FD082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B720RL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9EC7D8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6.9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65814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1DA2D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27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FDCDD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7A5AB5E1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E4B08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E55A9D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762C700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3790F8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656C28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970BBB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K1461R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4DEF23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8.2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7FEF66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B40BA9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30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D442560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46FB9F84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00690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CB22B6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P10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FF9E26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K579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62DF5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3.4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1FB82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E92B4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K628R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2D2A1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2.0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B4872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B1B1F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6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063A68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374C96D8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236ED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5FC016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58FC9D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B505RL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DFC6D1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DAE0B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ECC84B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CCB4F9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477220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F1FBE9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59DBA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</w:tr>
      <w:tr w:rsidR="00867F2C" w:rsidRPr="00867F2C" w14:paraId="553068C3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43BC0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1903C8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56F739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B528R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FB2528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6.5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715DE3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CFB9D1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BC6F1A4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A3122C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A1106F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A45DCB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</w:tr>
      <w:tr w:rsidR="00867F2C" w:rsidRPr="00867F2C" w14:paraId="698597E3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2FE159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E4EB5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P11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2685C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K829L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E65331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2.1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12785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9F46B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K797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67F12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3.3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9A708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DAE5D1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26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AF84C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2AFAF32C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20D85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817C17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265DFD9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K1190R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9497E11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4.0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376442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B20FD8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BAC20A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56E82DD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B9F0F0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01183D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</w:tr>
      <w:tr w:rsidR="00867F2C" w:rsidRPr="00867F2C" w14:paraId="506F8B3A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4F9754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6D622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P12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5A8C7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K1106L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CC84F4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4.5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1573E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0C8172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K983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CEB70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3.6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512FE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A6D9E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16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03375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42110A76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3D22D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E6F4D4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EF38FB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0DCC51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082790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86A8BD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K1772R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A837FB7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5.2</w:t>
            </w: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1C74ED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6281E2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17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C1A8FF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99</w:t>
            </w:r>
          </w:p>
        </w:tc>
      </w:tr>
      <w:tr w:rsidR="00867F2C" w:rsidRPr="00867F2C" w14:paraId="52A2D398" w14:textId="77777777" w:rsidTr="00867F2C">
        <w:trPr>
          <w:trHeight w:val="315"/>
        </w:trPr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2CB18A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47D729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P16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BA20656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B584R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1D9F84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3.1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2163F8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A906E1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B582R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1DD5EB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4.8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486BEC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05202F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12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549287B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98</w:t>
            </w:r>
          </w:p>
        </w:tc>
      </w:tr>
      <w:tr w:rsidR="00867F2C" w:rsidRPr="00867F2C" w14:paraId="1A1CCEBB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9C510C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Figure 2A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DE299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mP09_K1019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EED68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A8F43B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3.4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AE2039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170BA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27543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D7C66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E37599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23450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</w:tr>
      <w:tr w:rsidR="00867F2C" w:rsidRPr="00867F2C" w14:paraId="4D207E31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33889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0BEC9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mP09_K1461R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800744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A38E59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3.9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98D395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F9E082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26ABD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9B8EC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C063AC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BC83FF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</w:tr>
      <w:tr w:rsidR="00867F2C" w:rsidRPr="00867F2C" w14:paraId="41F66166" w14:textId="77777777" w:rsidTr="00867F2C">
        <w:trPr>
          <w:trHeight w:val="300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95EC3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9533E7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mP10_K628R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F5316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7552C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5.4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F64B29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AE0F5B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8FD70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38C72A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3D79C3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75101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</w:tr>
      <w:tr w:rsidR="00867F2C" w:rsidRPr="00867F2C" w14:paraId="1A9A58A1" w14:textId="77777777" w:rsidTr="00867F2C">
        <w:trPr>
          <w:trHeight w:val="315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035E3F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4368B6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mP12_K983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14CF15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591E9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5.0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F8398A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C4281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41F236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F5D9E3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B48BE4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678D09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</w:tr>
      <w:tr w:rsidR="00867F2C" w:rsidRPr="00867F2C" w14:paraId="1D7B61E0" w14:textId="77777777" w:rsidTr="00867F2C">
        <w:trPr>
          <w:trHeight w:val="327"/>
        </w:trPr>
        <w:tc>
          <w:tcPr>
            <w:tcW w:w="117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46E17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Figure 2B</w:t>
            </w:r>
          </w:p>
        </w:tc>
        <w:tc>
          <w:tcPr>
            <w:tcW w:w="297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448F48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proofErr w:type="spellStart"/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B_healthy</w:t>
            </w:r>
            <w:proofErr w:type="spellEnd"/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 xml:space="preserve"> + mK983</w:t>
            </w:r>
          </w:p>
        </w:tc>
        <w:tc>
          <w:tcPr>
            <w:tcW w:w="88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39C36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0B199E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E2A740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372EF9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11CF82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4.5</w:t>
            </w:r>
          </w:p>
        </w:tc>
        <w:tc>
          <w:tcPr>
            <w:tcW w:w="28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52B241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8D1D30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34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A58F68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</w:tr>
      <w:tr w:rsidR="00867F2C" w:rsidRPr="00867F2C" w14:paraId="167D9E02" w14:textId="77777777" w:rsidTr="00867F2C">
        <w:trPr>
          <w:trHeight w:val="315"/>
        </w:trPr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16680BB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29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4653BC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proofErr w:type="spellStart"/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B_healthy</w:t>
            </w:r>
            <w:proofErr w:type="spellEnd"/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 xml:space="preserve"> + mK983 + IgG_P12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AB43EAD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FD561F8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81C28E1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B592C02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6FA34A0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70C0"/>
                <w:sz w:val="22"/>
                <w:lang w:val="en-GB" w:eastAsia="en-GB"/>
              </w:rPr>
              <w:t>4.0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7C1A72E" w14:textId="77777777" w:rsidR="00867F2C" w:rsidRPr="00867F2C" w:rsidRDefault="00867F2C" w:rsidP="00867F2C">
            <w:pPr>
              <w:spacing w:before="0" w:after="0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75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B376D60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86BB14D" w14:textId="77777777" w:rsidR="00867F2C" w:rsidRPr="00867F2C" w:rsidRDefault="00867F2C" w:rsidP="00867F2C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</w:pPr>
            <w:r w:rsidRPr="00867F2C">
              <w:rPr>
                <w:rFonts w:ascii="Calibri" w:eastAsia="Times New Roman" w:hAnsi="Calibri" w:cs="Calibri"/>
                <w:color w:val="000000"/>
                <w:sz w:val="22"/>
                <w:lang w:val="en-GB" w:eastAsia="en-GB"/>
              </w:rPr>
              <w:t> </w:t>
            </w:r>
          </w:p>
        </w:tc>
      </w:tr>
    </w:tbl>
    <w:p w14:paraId="37498942" w14:textId="77777777" w:rsidR="00FC75D7" w:rsidRPr="00B55B20" w:rsidRDefault="00FC75D7">
      <w:pPr>
        <w:spacing w:line="360" w:lineRule="auto"/>
        <w:rPr>
          <w:rFonts w:ascii="Arial" w:hAnsi="Arial" w:cs="Arial"/>
          <w:color w:val="FF0000"/>
          <w:sz w:val="20"/>
          <w:szCs w:val="20"/>
        </w:rPr>
      </w:pPr>
    </w:p>
    <w:sectPr w:rsidR="00FC75D7" w:rsidRPr="00B55B20" w:rsidSect="0093429D"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8DBD4D" w14:textId="77777777" w:rsidR="002247E6" w:rsidRDefault="002247E6" w:rsidP="00117666">
      <w:pPr>
        <w:spacing w:after="0"/>
      </w:pPr>
      <w:r>
        <w:separator/>
      </w:r>
    </w:p>
  </w:endnote>
  <w:endnote w:type="continuationSeparator" w:id="0">
    <w:p w14:paraId="460AFF0E" w14:textId="77777777" w:rsidR="002247E6" w:rsidRDefault="002247E6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2B624014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7D070A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10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2B624014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7D070A">
                      <w:rPr>
                        <w:noProof/>
                        <w:color w:val="000000" w:themeColor="text1"/>
                        <w:szCs w:val="40"/>
                      </w:rPr>
                      <w:t>10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2FBB498A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7D070A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9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2FBB498A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7D070A">
                      <w:rPr>
                        <w:noProof/>
                        <w:color w:val="000000" w:themeColor="text1"/>
                        <w:szCs w:val="40"/>
                      </w:rPr>
                      <w:t>9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DE7DCBD" w14:textId="77777777" w:rsidR="002247E6" w:rsidRDefault="002247E6" w:rsidP="00117666">
      <w:pPr>
        <w:spacing w:after="0"/>
      </w:pPr>
      <w:r>
        <w:separator/>
      </w:r>
    </w:p>
  </w:footnote>
  <w:footnote w:type="continuationSeparator" w:id="0">
    <w:p w14:paraId="49052853" w14:textId="77777777" w:rsidR="002247E6" w:rsidRDefault="002247E6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AEF00C" w14:textId="4AF72FED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B55B20">
      <w:rPr>
        <w:rFonts w:cs="Times New Roman"/>
      </w:rPr>
      <w:t xml:space="preserve">HCV in B </w:t>
    </w:r>
    <w:proofErr w:type="spellStart"/>
    <w:r w:rsidR="00B55B20">
      <w:rPr>
        <w:rFonts w:cs="Times New Roman"/>
      </w:rPr>
      <w:t>cells_</w:t>
    </w:r>
    <w:r w:rsidR="001549D3" w:rsidRPr="009151AA">
      <w:rPr>
        <w:rFonts w:cs="Times New Roman"/>
      </w:rPr>
      <w:t>Supplementary</w:t>
    </w:r>
    <w:proofErr w:type="spellEnd"/>
    <w:r w:rsidR="001549D3" w:rsidRPr="009151AA">
      <w:rPr>
        <w:rFonts w:cs="Times New Roman"/>
      </w:rPr>
      <w:t xml:space="preserve">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Kop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Kop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Kop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Kop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Kop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jstaline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9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0001436A"/>
    <w:rsid w:val="00034304"/>
    <w:rsid w:val="00035434"/>
    <w:rsid w:val="00052A14"/>
    <w:rsid w:val="00077D53"/>
    <w:rsid w:val="000B7517"/>
    <w:rsid w:val="001021F7"/>
    <w:rsid w:val="00105FD9"/>
    <w:rsid w:val="00117666"/>
    <w:rsid w:val="001549D3"/>
    <w:rsid w:val="00160065"/>
    <w:rsid w:val="00177D84"/>
    <w:rsid w:val="0022267E"/>
    <w:rsid w:val="002247E6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92AB9"/>
    <w:rsid w:val="003D2F2D"/>
    <w:rsid w:val="00401590"/>
    <w:rsid w:val="0040496D"/>
    <w:rsid w:val="00447801"/>
    <w:rsid w:val="00452E9C"/>
    <w:rsid w:val="004735C8"/>
    <w:rsid w:val="004947A6"/>
    <w:rsid w:val="004961FF"/>
    <w:rsid w:val="004E29A9"/>
    <w:rsid w:val="00502995"/>
    <w:rsid w:val="00517A89"/>
    <w:rsid w:val="005250F2"/>
    <w:rsid w:val="00583BCC"/>
    <w:rsid w:val="00593EEA"/>
    <w:rsid w:val="005A5EEE"/>
    <w:rsid w:val="0061260B"/>
    <w:rsid w:val="006375C7"/>
    <w:rsid w:val="00654E8F"/>
    <w:rsid w:val="00660D05"/>
    <w:rsid w:val="006820B1"/>
    <w:rsid w:val="006B7D14"/>
    <w:rsid w:val="00701727"/>
    <w:rsid w:val="0070566C"/>
    <w:rsid w:val="007149D8"/>
    <w:rsid w:val="00714C50"/>
    <w:rsid w:val="00725A7D"/>
    <w:rsid w:val="007501BE"/>
    <w:rsid w:val="00790BB3"/>
    <w:rsid w:val="007C206C"/>
    <w:rsid w:val="007D070A"/>
    <w:rsid w:val="00817DD6"/>
    <w:rsid w:val="0083759F"/>
    <w:rsid w:val="00867F2C"/>
    <w:rsid w:val="00885156"/>
    <w:rsid w:val="008E0390"/>
    <w:rsid w:val="009151AA"/>
    <w:rsid w:val="0093429D"/>
    <w:rsid w:val="00943573"/>
    <w:rsid w:val="00964134"/>
    <w:rsid w:val="00970F7D"/>
    <w:rsid w:val="00987F2E"/>
    <w:rsid w:val="00994A3D"/>
    <w:rsid w:val="009A7EA8"/>
    <w:rsid w:val="009C2B12"/>
    <w:rsid w:val="00A174D9"/>
    <w:rsid w:val="00A80A69"/>
    <w:rsid w:val="00AA4D24"/>
    <w:rsid w:val="00AB6715"/>
    <w:rsid w:val="00AD7B7E"/>
    <w:rsid w:val="00B1671E"/>
    <w:rsid w:val="00B25EB8"/>
    <w:rsid w:val="00B37F4D"/>
    <w:rsid w:val="00B55B20"/>
    <w:rsid w:val="00C52A7B"/>
    <w:rsid w:val="00C56BAF"/>
    <w:rsid w:val="00C663F9"/>
    <w:rsid w:val="00C679AA"/>
    <w:rsid w:val="00C75972"/>
    <w:rsid w:val="00CD066B"/>
    <w:rsid w:val="00CE4FEE"/>
    <w:rsid w:val="00D060CF"/>
    <w:rsid w:val="00D256DF"/>
    <w:rsid w:val="00DB59C3"/>
    <w:rsid w:val="00DC259A"/>
    <w:rsid w:val="00DE23E8"/>
    <w:rsid w:val="00E448C8"/>
    <w:rsid w:val="00E52377"/>
    <w:rsid w:val="00E537AD"/>
    <w:rsid w:val="00E64E17"/>
    <w:rsid w:val="00E866C9"/>
    <w:rsid w:val="00EA3D3C"/>
    <w:rsid w:val="00EB4586"/>
    <w:rsid w:val="00EC090A"/>
    <w:rsid w:val="00ED20B5"/>
    <w:rsid w:val="00F46900"/>
    <w:rsid w:val="00F61D89"/>
    <w:rsid w:val="00F7441C"/>
    <w:rsid w:val="00F91460"/>
    <w:rsid w:val="00FC7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Kop1">
    <w:name w:val="heading 1"/>
    <w:basedOn w:val="Lijstalinea"/>
    <w:next w:val="Standaard"/>
    <w:link w:val="Kop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Kop2">
    <w:name w:val="heading 2"/>
    <w:basedOn w:val="Kop1"/>
    <w:next w:val="Standaard"/>
    <w:link w:val="Kop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Kop3">
    <w:name w:val="heading 3"/>
    <w:basedOn w:val="Standaard"/>
    <w:next w:val="Standaard"/>
    <w:link w:val="Kop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Kop4">
    <w:name w:val="heading 4"/>
    <w:basedOn w:val="Kop3"/>
    <w:next w:val="Standaard"/>
    <w:link w:val="Kop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Kop5">
    <w:name w:val="heading 5"/>
    <w:basedOn w:val="Kop4"/>
    <w:next w:val="Standaard"/>
    <w:link w:val="Kop5Char"/>
    <w:uiPriority w:val="2"/>
    <w:qFormat/>
    <w:rsid w:val="00AB6715"/>
    <w:pPr>
      <w:numPr>
        <w:ilvl w:val="4"/>
      </w:numPr>
      <w:outlineLvl w:val="4"/>
    </w:p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Kop2Char">
    <w:name w:val="Kop 2 Char"/>
    <w:basedOn w:val="Standaardalinea-lettertype"/>
    <w:link w:val="Kop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Ondertitel">
    <w:name w:val="Subtitle"/>
    <w:basedOn w:val="Standaard"/>
    <w:next w:val="Standaard"/>
    <w:link w:val="Ondertitel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OndertitelChar">
    <w:name w:val="Ondertitel Char"/>
    <w:basedOn w:val="Standaardalinea-lettertype"/>
    <w:link w:val="Ondertitel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Ondertitel"/>
    <w:next w:val="Standaard"/>
    <w:uiPriority w:val="1"/>
    <w:qFormat/>
    <w:rsid w:val="00AB6715"/>
  </w:style>
  <w:style w:type="paragraph" w:styleId="Ballontekst">
    <w:name w:val="Balloon Text"/>
    <w:basedOn w:val="Standaard"/>
    <w:link w:val="Ballonteks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elvanboek">
    <w:name w:val="Book Title"/>
    <w:basedOn w:val="Standaardalinea-lettertype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Bijschrift">
    <w:name w:val="caption"/>
    <w:basedOn w:val="Standaard"/>
    <w:next w:val="Geenafstand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Geenafstand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AB6715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AB6715"/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AB6715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Nadruk">
    <w:name w:val="Emphasis"/>
    <w:basedOn w:val="Standaardalinea-lettertype"/>
    <w:uiPriority w:val="20"/>
    <w:qFormat/>
    <w:rsid w:val="00AB6715"/>
    <w:rPr>
      <w:rFonts w:ascii="Times New Roman" w:hAnsi="Times New Roman"/>
      <w:i/>
      <w:iCs/>
    </w:rPr>
  </w:style>
  <w:style w:type="character" w:styleId="Eindnootmarkering">
    <w:name w:val="endnote reference"/>
    <w:basedOn w:val="Standaardalinea-lettertype"/>
    <w:uiPriority w:val="99"/>
    <w:semiHidden/>
    <w:unhideWhenUsed/>
    <w:rsid w:val="00AB6715"/>
    <w:rPr>
      <w:vertAlign w:val="superscript"/>
    </w:rPr>
  </w:style>
  <w:style w:type="paragraph" w:styleId="Eindnoottekst">
    <w:name w:val="endnote text"/>
    <w:basedOn w:val="Standaard"/>
    <w:link w:val="Eindnootteks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indnoottekstChar">
    <w:name w:val="Eindnoottekst Char"/>
    <w:basedOn w:val="Standaardalinea-lettertype"/>
    <w:link w:val="Eindnootteks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GevolgdeHyperlink">
    <w:name w:val="FollowedHyperlink"/>
    <w:basedOn w:val="Standaardalinea-lettertype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Voettekst">
    <w:name w:val="footer"/>
    <w:basedOn w:val="Standaard"/>
    <w:link w:val="Voettekst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VoettekstChar">
    <w:name w:val="Voettekst Char"/>
    <w:basedOn w:val="Standaardalinea-lettertype"/>
    <w:link w:val="Voettekst"/>
    <w:uiPriority w:val="99"/>
    <w:rsid w:val="00AB6715"/>
    <w:rPr>
      <w:rFonts w:ascii="Times New Roman" w:hAnsi="Times New Roman"/>
      <w:sz w:val="24"/>
    </w:rPr>
  </w:style>
  <w:style w:type="character" w:styleId="Voetnootmarkering">
    <w:name w:val="footnote reference"/>
    <w:basedOn w:val="Standaardalinea-lettertype"/>
    <w:uiPriority w:val="99"/>
    <w:semiHidden/>
    <w:unhideWhenUsed/>
    <w:rsid w:val="00AB6715"/>
    <w:rPr>
      <w:vertAlign w:val="superscript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VoetnoottekstChar">
    <w:name w:val="Voetnoottekst Char"/>
    <w:basedOn w:val="Standaardalinea-lettertype"/>
    <w:link w:val="Voetnootteks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Koptekst">
    <w:name w:val="header"/>
    <w:basedOn w:val="Standaard"/>
    <w:link w:val="Koptekst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KoptekstChar">
    <w:name w:val="Koptekst Char"/>
    <w:basedOn w:val="Standaardalinea-lettertype"/>
    <w:link w:val="Koptekst"/>
    <w:uiPriority w:val="99"/>
    <w:rsid w:val="00AB6715"/>
    <w:rPr>
      <w:rFonts w:ascii="Times New Roman" w:hAnsi="Times New Roman"/>
      <w:b/>
      <w:sz w:val="24"/>
    </w:rPr>
  </w:style>
  <w:style w:type="paragraph" w:styleId="Lijstalinea">
    <w:name w:val="List Paragraph"/>
    <w:basedOn w:val="Standaard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Standaardalinea-lettertype"/>
    <w:uiPriority w:val="99"/>
    <w:unhideWhenUsed/>
    <w:rsid w:val="00AB6715"/>
    <w:rPr>
      <w:color w:val="0000FF"/>
      <w:u w:val="single"/>
    </w:rPr>
  </w:style>
  <w:style w:type="character" w:styleId="Intensievebenadrukking">
    <w:name w:val="Intense Emphasis"/>
    <w:basedOn w:val="Standaardalinea-lettertype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ieveverwijzing">
    <w:name w:val="Intense Reference"/>
    <w:basedOn w:val="Standaardalinea-lettertype"/>
    <w:uiPriority w:val="32"/>
    <w:qFormat/>
    <w:rsid w:val="00AB6715"/>
    <w:rPr>
      <w:b/>
      <w:bCs/>
      <w:smallCaps/>
      <w:color w:val="auto"/>
      <w:spacing w:val="5"/>
    </w:rPr>
  </w:style>
  <w:style w:type="character" w:styleId="Regelnummer">
    <w:name w:val="line number"/>
    <w:basedOn w:val="Standaardalinea-lettertype"/>
    <w:uiPriority w:val="99"/>
    <w:semiHidden/>
    <w:unhideWhenUsed/>
    <w:rsid w:val="00AB6715"/>
  </w:style>
  <w:style w:type="character" w:customStyle="1" w:styleId="Kop3Char">
    <w:name w:val="Kop 3 Char"/>
    <w:basedOn w:val="Standaardalinea-lettertype"/>
    <w:link w:val="Kop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Kop4Char">
    <w:name w:val="Kop 4 Char"/>
    <w:basedOn w:val="Standaardalinea-lettertype"/>
    <w:link w:val="Kop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Kop5Char">
    <w:name w:val="Kop 5 Char"/>
    <w:basedOn w:val="Standaardalinea-lettertype"/>
    <w:link w:val="Kop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alweb">
    <w:name w:val="Normal (Web)"/>
    <w:basedOn w:val="Standaard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at">
    <w:name w:val="Quote"/>
    <w:basedOn w:val="Standaard"/>
    <w:next w:val="Standaard"/>
    <w:link w:val="Citaat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Zwaar">
    <w:name w:val="Strong"/>
    <w:basedOn w:val="Standaardalinea-lettertype"/>
    <w:uiPriority w:val="22"/>
    <w:qFormat/>
    <w:rsid w:val="00AB6715"/>
    <w:rPr>
      <w:rFonts w:ascii="Times New Roman" w:hAnsi="Times New Roman"/>
      <w:b/>
      <w:bCs/>
    </w:rPr>
  </w:style>
  <w:style w:type="character" w:styleId="Subtielebenadrukking">
    <w:name w:val="Subtle Emphasis"/>
    <w:basedOn w:val="Standaardalinea-lettertype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elraster">
    <w:name w:val="Table Grid"/>
    <w:basedOn w:val="Standaardtabe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el">
    <w:name w:val="Title"/>
    <w:basedOn w:val="Standaard"/>
    <w:next w:val="Standaard"/>
    <w:link w:val="Titel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elChar">
    <w:name w:val="Titel Char"/>
    <w:basedOn w:val="Standaardalinea-lettertype"/>
    <w:link w:val="Titel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el"/>
    <w:next w:val="Titel"/>
    <w:qFormat/>
    <w:rsid w:val="0001436A"/>
    <w:pPr>
      <w:spacing w:after="120"/>
    </w:pPr>
    <w:rPr>
      <w:i/>
    </w:rPr>
  </w:style>
  <w:style w:type="paragraph" w:styleId="HTML-voorafopgemaakt">
    <w:name w:val="HTML Preformatted"/>
    <w:basedOn w:val="Standaard"/>
    <w:link w:val="HTML-voorafopgemaaktChar"/>
    <w:rsid w:val="009A7EA8"/>
    <w:pPr>
      <w:spacing w:before="0" w:after="0"/>
    </w:pPr>
    <w:rPr>
      <w:rFonts w:ascii="Consolas" w:eastAsia="Times New Roman" w:hAnsi="Consolas" w:cs="Consolas"/>
      <w:sz w:val="20"/>
      <w:szCs w:val="20"/>
      <w:lang w:val="en-GB"/>
    </w:rPr>
  </w:style>
  <w:style w:type="character" w:customStyle="1" w:styleId="HTML-voorafopgemaaktChar">
    <w:name w:val="HTML - vooraf opgemaakt Char"/>
    <w:basedOn w:val="Standaardalinea-lettertype"/>
    <w:link w:val="HTML-voorafopgemaakt"/>
    <w:rsid w:val="009A7EA8"/>
    <w:rPr>
      <w:rFonts w:ascii="Consolas" w:eastAsia="Times New Roman" w:hAnsi="Consolas" w:cs="Consolas"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51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53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2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png"/><Relationship Id="rId18" Type="http://schemas.openxmlformats.org/officeDocument/2006/relationships/image" Target="media/image8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5.tiff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E66DC224-4A7B-9749-A1F6-DCAC1CB1AE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1</TotalTime>
  <Pages>11</Pages>
  <Words>1067</Words>
  <Characters>5869</Characters>
  <Application>Microsoft Office Word</Application>
  <DocSecurity>0</DocSecurity>
  <Lines>48</Lines>
  <Paragraphs>13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Geert Leroux-Roels</cp:lastModifiedBy>
  <cp:revision>2</cp:revision>
  <cp:lastPrinted>2013-10-03T12:51:00Z</cp:lastPrinted>
  <dcterms:created xsi:type="dcterms:W3CDTF">2021-10-17T09:29:00Z</dcterms:created>
  <dcterms:modified xsi:type="dcterms:W3CDTF">2021-10-17T09:29:00Z</dcterms:modified>
</cp:coreProperties>
</file>