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  <w:lang w:eastAsia="zh-CN"/>
        </w:rPr>
        <w:drawing>
          <wp:inline distT="0" distB="0" distL="114300" distR="114300">
            <wp:extent cx="5269865" cy="4131945"/>
            <wp:effectExtent l="0" t="0" r="6985" b="1905"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FIGURE S1</w:t>
      </w:r>
      <w:r>
        <w:rPr>
          <w:rFonts w:ascii="Times New Roman" w:hAnsi="Times New Roman"/>
          <w:sz w:val="24"/>
        </w:rPr>
        <w:t xml:space="preserve"> | Relative expression of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PAL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C4H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4CL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CCR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CAD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HCT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C3H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CCoAOMT</w:t>
      </w:r>
      <w:r>
        <w:rPr>
          <w:rFonts w:ascii="Times New Roman" w:hAnsi="Times New Roman"/>
          <w:sz w:val="24"/>
        </w:rPr>
        <w:t xml:space="preserve">, and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>COMT</w:t>
      </w:r>
      <w:r>
        <w:rPr>
          <w:rFonts w:ascii="Times New Roman" w:hAnsi="Times New Roman"/>
          <w:sz w:val="24"/>
        </w:rPr>
        <w:t xml:space="preserve"> in the skin</w:t>
      </w:r>
      <w:r>
        <w:rPr>
          <w:rFonts w:hint="eastAsia" w:ascii="Times New Roman" w:hAnsi="Times New Roman"/>
          <w:sz w:val="24"/>
        </w:rPr>
        <w:t xml:space="preserve">s </w:t>
      </w:r>
      <w:r>
        <w:rPr>
          <w:rFonts w:ascii="Times New Roman" w:hAnsi="Times New Roman"/>
          <w:sz w:val="24"/>
        </w:rPr>
        <w:t xml:space="preserve">of russet (R) </w:t>
      </w:r>
      <w:r>
        <w:rPr>
          <w:rFonts w:hint="eastAsia"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non-russet (NR) skin fruits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pear fruits from 25 to 125 d</w:t>
      </w:r>
      <w:r>
        <w:rPr>
          <w:rFonts w:hint="eastAsia" w:ascii="Times New Roman" w:hAnsi="Times New Roman"/>
          <w:sz w:val="24"/>
        </w:rPr>
        <w:t>ays</w:t>
      </w:r>
      <w:r>
        <w:rPr>
          <w:rFonts w:ascii="Times New Roman" w:hAnsi="Times New Roman"/>
          <w:sz w:val="24"/>
        </w:rPr>
        <w:t xml:space="preserve"> after full bloom.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Different lowercase letters above bars mean significant differences between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>NR and R groups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>by Tukey</w:t>
      </w:r>
      <w:r>
        <w:rPr>
          <w:rFonts w:ascii="Times New Roman" w:hAnsi="Times New Roman"/>
          <w:color w:val="000000"/>
          <w:kern w:val="0"/>
          <w:sz w:val="24"/>
          <w:lang w:bidi="ar"/>
        </w:rPr>
        <w:t>’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s multiple range tests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sz w:val="24"/>
        </w:rPr>
        <w:t>&lt;0.05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).</w:t>
      </w:r>
    </w:p>
    <w:p>
      <w:pPr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br w:type="page"/>
      </w:r>
      <w:bookmarkStart w:id="0" w:name="_GoBack"/>
      <w:r>
        <w:rPr>
          <w:rFonts w:hint="eastAsia" w:ascii="Times New Roman" w:hAnsi="Times New Roman" w:eastAsia="宋体"/>
          <w:sz w:val="24"/>
          <w:lang w:eastAsia="zh-CN"/>
        </w:rPr>
        <w:drawing>
          <wp:inline distT="0" distB="0" distL="114300" distR="114300">
            <wp:extent cx="5269865" cy="4211955"/>
            <wp:effectExtent l="0" t="0" r="6985" b="17145"/>
            <wp:docPr id="2" name="图片 2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FIGURE S2 | </w:t>
      </w:r>
      <w:r>
        <w:rPr>
          <w:rFonts w:ascii="Times New Roman" w:hAnsi="Times New Roman"/>
          <w:sz w:val="24"/>
        </w:rPr>
        <w:t>Relative expression levels of genes related to lignin biosynthesis in pear fruit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skins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infiltrated with </w:t>
      </w:r>
      <w:r>
        <w:rPr>
          <w:rFonts w:ascii="Times New Roman" w:hAnsi="Times New Roman"/>
          <w:i/>
          <w:iCs/>
          <w:sz w:val="24"/>
        </w:rPr>
        <w:t>35S::</w:t>
      </w:r>
      <w:r>
        <w:rPr>
          <w:rFonts w:hint="eastAsia" w:ascii="Times New Roman" w:hAnsi="Times New Roman"/>
          <w:i/>
          <w:iCs/>
          <w:sz w:val="24"/>
        </w:rPr>
        <w:t>PpMYB36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i/>
          <w:iCs/>
          <w:sz w:val="24"/>
        </w:rPr>
        <w:t>35S::anti-</w:t>
      </w:r>
      <w:r>
        <w:rPr>
          <w:rFonts w:hint="eastAsia" w:ascii="Times New Roman" w:hAnsi="Times New Roman"/>
          <w:i/>
          <w:iCs/>
          <w:sz w:val="24"/>
        </w:rPr>
        <w:t>PpMYB36</w:t>
      </w:r>
      <w:r>
        <w:rPr>
          <w:rFonts w:ascii="Times New Roman" w:hAnsi="Times New Roman"/>
          <w:sz w:val="24"/>
        </w:rPr>
        <w:t xml:space="preserve"> for overexpression and RNAi silencing of </w:t>
      </w:r>
      <w:r>
        <w:rPr>
          <w:rFonts w:hint="eastAsia" w:ascii="Times New Roman" w:hAnsi="Times New Roman"/>
          <w:i/>
          <w:iCs/>
          <w:sz w:val="24"/>
        </w:rPr>
        <w:t>PpMYB36</w:t>
      </w:r>
      <w:r>
        <w:rPr>
          <w:rFonts w:ascii="Times New Roman" w:hAnsi="Times New Roman"/>
          <w:sz w:val="24"/>
        </w:rPr>
        <w:t xml:space="preserve">, respectively. The infiltration control was </w:t>
      </w:r>
      <w:r>
        <w:rPr>
          <w:rFonts w:ascii="Times New Roman" w:hAnsi="Times New Roman"/>
          <w:i/>
          <w:iCs/>
          <w:sz w:val="24"/>
        </w:rPr>
        <w:t>35S::GUS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Different lowercase letters above bars mean significant differences among the treatments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>by Tukey</w:t>
      </w:r>
      <w:r>
        <w:rPr>
          <w:rFonts w:ascii="Times New Roman" w:hAnsi="Times New Roman"/>
          <w:color w:val="000000"/>
          <w:kern w:val="0"/>
          <w:sz w:val="24"/>
          <w:lang w:bidi="ar"/>
        </w:rPr>
        <w:t>’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s multiple range tests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sz w:val="24"/>
        </w:rPr>
        <w:t>&lt;0.05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bCs/>
          <w:sz w:val="24"/>
        </w:rPr>
        <w:t>TABLE S1</w:t>
      </w:r>
      <w:r>
        <w:rPr>
          <w:rFonts w:ascii="Times New Roman" w:hAnsi="Times New Roman"/>
          <w:sz w:val="24"/>
        </w:rPr>
        <w:t xml:space="preserve"> | </w:t>
      </w:r>
      <w:r>
        <w:rPr>
          <w:rFonts w:hint="eastAsia" w:ascii="Times New Roman" w:hAnsi="Times New Roman"/>
          <w:sz w:val="24"/>
        </w:rPr>
        <w:t xml:space="preserve">Genome </w:t>
      </w:r>
      <w:r>
        <w:rPr>
          <w:rFonts w:ascii="Times New Roman" w:hAnsi="Times New Roman"/>
          <w:sz w:val="24"/>
        </w:rPr>
        <w:t xml:space="preserve">sequencing </w:t>
      </w:r>
      <w:r>
        <w:rPr>
          <w:rFonts w:hint="eastAsia" w:ascii="Times New Roman" w:hAnsi="Times New Roman"/>
          <w:sz w:val="24"/>
        </w:rPr>
        <w:t>result</w:t>
      </w:r>
      <w:r>
        <w:rPr>
          <w:rFonts w:ascii="Times New Roman" w:hAnsi="Times New Roman"/>
          <w:sz w:val="24"/>
        </w:rPr>
        <w:t>s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 the </w:t>
      </w:r>
      <w:r>
        <w:rPr>
          <w:rFonts w:hint="eastAsia" w:ascii="Times New Roman" w:hAnsi="Times New Roman"/>
          <w:sz w:val="24"/>
        </w:rPr>
        <w:t>parent</w:t>
      </w:r>
      <w:r>
        <w:rPr>
          <w:rFonts w:ascii="Times New Roman" w:hAnsi="Times New Roman"/>
          <w:sz w:val="24"/>
        </w:rPr>
        <w:t>al cultivars</w:t>
      </w:r>
      <w:r>
        <w:rPr>
          <w:rFonts w:hint="eastAsia"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the two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bulk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</w:t>
      </w:r>
    </w:p>
    <w:tbl>
      <w:tblPr>
        <w:tblStyle w:val="2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227"/>
        <w:gridCol w:w="1837"/>
        <w:gridCol w:w="1503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kern w:val="0"/>
                <w:sz w:val="24"/>
                <w:shd w:val="clear" w:color="auto" w:fill="FFFFFF"/>
                <w:lang w:bidi="ar"/>
              </w:rPr>
              <w:t>Sample name</w:t>
            </w:r>
          </w:p>
        </w:tc>
        <w:tc>
          <w:tcPr>
            <w:tcW w:w="222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Clean mapped reads</w:t>
            </w:r>
            <w:r>
              <w:rPr>
                <w:rFonts w:ascii="Times New Roman" w:hAnsi="Times New Roman" w:eastAsia="Calibri"/>
                <w:b/>
                <w:bCs/>
                <w:kern w:val="0"/>
                <w:sz w:val="24"/>
                <w:vertAlign w:val="superscript"/>
                <w:lang w:bidi="ar"/>
              </w:rPr>
              <w:t>1</w:t>
            </w:r>
          </w:p>
        </w:tc>
        <w:tc>
          <w:tcPr>
            <w:tcW w:w="183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Mapping rate (%)</w:t>
            </w:r>
            <w:r>
              <w:rPr>
                <w:rFonts w:ascii="Times New Roman" w:hAnsi="Times New Roman" w:eastAsia="Calibri"/>
                <w:b/>
                <w:bCs/>
                <w:kern w:val="0"/>
                <w:sz w:val="24"/>
                <w:vertAlign w:val="superscript"/>
                <w:lang w:bidi="ar"/>
              </w:rPr>
              <w:t>2</w:t>
            </w:r>
          </w:p>
        </w:tc>
        <w:tc>
          <w:tcPr>
            <w:tcW w:w="150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Median depth</w:t>
            </w:r>
          </w:p>
        </w:tc>
        <w:tc>
          <w:tcPr>
            <w:tcW w:w="158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Coverage rate (%)</w:t>
            </w:r>
            <w:r>
              <w:rPr>
                <w:rFonts w:ascii="Times New Roman" w:hAnsi="Times New Roman" w:eastAsia="Calibri"/>
                <w:b/>
                <w:bCs/>
                <w:kern w:val="0"/>
                <w:sz w:val="24"/>
                <w:vertAlign w:val="superscript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DSS</w:t>
            </w:r>
          </w:p>
        </w:tc>
        <w:tc>
          <w:tcPr>
            <w:tcW w:w="222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89818348</w:t>
            </w:r>
          </w:p>
        </w:tc>
        <w:tc>
          <w:tcPr>
            <w:tcW w:w="18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76.08</w:t>
            </w:r>
          </w:p>
        </w:tc>
        <w:tc>
          <w:tcPr>
            <w:tcW w:w="150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58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81.43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NTK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109864680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76.55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81.39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kern w:val="0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B1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bCs/>
                <w:i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80821482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80.70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B2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72144928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77.34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 w:val="0"/>
              <w:spacing w:before="120" w:after="240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77.82</w:t>
            </w:r>
          </w:p>
        </w:tc>
      </w:tr>
    </w:tbl>
    <w:p>
      <w:pPr>
        <w:rPr>
          <w:rFonts w:ascii="Times New Roman" w:hAnsi="Times New Roman"/>
          <w:color w:val="FF0000"/>
          <w:sz w:val="24"/>
        </w:rPr>
      </w:pP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DSS: ‘Dangshansu’</w:t>
      </w:r>
      <w:r>
        <w:rPr>
          <w:rFonts w:hint="eastAsia"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non-russet skin pear cultivar</w:t>
      </w:r>
      <w:r>
        <w:rPr>
          <w:rFonts w:hint="eastAsia"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 NTK: ‘Niitaka’</w:t>
      </w:r>
      <w:r>
        <w:rPr>
          <w:rFonts w:hint="eastAsia"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russet skin pear cultivar</w:t>
      </w:r>
      <w:r>
        <w:rPr>
          <w:rFonts w:hint="eastAsia"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  <w:r>
        <w:rPr>
          <w:rFonts w:hint="eastAsia" w:ascii="Times New Roman" w:hAnsi="Times New Roman"/>
          <w:sz w:val="24"/>
        </w:rPr>
        <w:t xml:space="preserve"> B1</w:t>
      </w:r>
      <w:r>
        <w:rPr>
          <w:rFonts w:ascii="Times New Roman" w:hAnsi="Times New Roman"/>
          <w:sz w:val="24"/>
        </w:rPr>
        <w:t xml:space="preserve">: </w:t>
      </w:r>
      <w:r>
        <w:rPr>
          <w:rFonts w:hint="eastAsia" w:ascii="Times New Roman" w:hAnsi="Times New Roman"/>
          <w:sz w:val="24"/>
        </w:rPr>
        <w:t>non-russet skin</w:t>
      </w:r>
      <w:r>
        <w:rPr>
          <w:rFonts w:ascii="Times New Roman" w:hAnsi="Times New Roman"/>
          <w:sz w:val="24"/>
        </w:rPr>
        <w:t xml:space="preserve"> fruit</w:t>
      </w:r>
      <w:r>
        <w:rPr>
          <w:rFonts w:hint="eastAsia" w:ascii="Times New Roman" w:hAnsi="Times New Roman"/>
          <w:sz w:val="24"/>
        </w:rPr>
        <w:t xml:space="preserve"> bulk</w:t>
      </w:r>
      <w:r>
        <w:rPr>
          <w:rFonts w:ascii="Times New Roman" w:hAnsi="Times New Roman"/>
          <w:sz w:val="24"/>
        </w:rPr>
        <w:t xml:space="preserve">; </w:t>
      </w:r>
      <w:r>
        <w:rPr>
          <w:rFonts w:hint="eastAsia" w:ascii="Times New Roman" w:hAnsi="Times New Roman"/>
          <w:sz w:val="24"/>
        </w:rPr>
        <w:t>B2</w:t>
      </w:r>
      <w:r>
        <w:rPr>
          <w:rFonts w:ascii="Times New Roman" w:hAnsi="Times New Roman"/>
          <w:sz w:val="24"/>
        </w:rPr>
        <w:t>:</w:t>
      </w:r>
      <w:r>
        <w:rPr>
          <w:rFonts w:hint="eastAsia" w:ascii="Times New Roman" w:hAnsi="Times New Roman"/>
          <w:sz w:val="24"/>
        </w:rPr>
        <w:t xml:space="preserve"> russet skin</w:t>
      </w:r>
      <w:r>
        <w:rPr>
          <w:rFonts w:ascii="Times New Roman" w:hAnsi="Times New Roman"/>
          <w:sz w:val="24"/>
        </w:rPr>
        <w:t xml:space="preserve"> fruit</w:t>
      </w:r>
      <w:r>
        <w:rPr>
          <w:rFonts w:hint="eastAsia" w:ascii="Times New Roman" w:hAnsi="Times New Roman"/>
          <w:sz w:val="24"/>
        </w:rPr>
        <w:t xml:space="preserve"> bulk</w:t>
      </w:r>
      <w:r>
        <w:rPr>
          <w:rFonts w:ascii="Times New Roman" w:hAnsi="Times New Roman"/>
          <w:sz w:val="24"/>
        </w:rPr>
        <w:t>.</w:t>
      </w:r>
    </w:p>
    <w:p>
      <w:pPr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Number of reads retained after trimming and adapter removal</w:t>
      </w:r>
      <w:r>
        <w:rPr>
          <w:rFonts w:hint="eastAsia" w:ascii="Times New Roman" w:hAnsi="Times New Roman"/>
          <w:sz w:val="24"/>
        </w:rPr>
        <w:t>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Alignment of clean reads to the </w:t>
      </w:r>
      <w:r>
        <w:rPr>
          <w:rFonts w:hint="eastAsia" w:ascii="Times New Roman" w:hAnsi="Times New Roman"/>
          <w:sz w:val="24"/>
        </w:rPr>
        <w:t>pear (</w:t>
      </w:r>
      <w:r>
        <w:rPr>
          <w:rFonts w:ascii="Times New Roman" w:hAnsi="Times New Roman"/>
          <w:i/>
          <w:iCs/>
          <w:sz w:val="24"/>
        </w:rPr>
        <w:t>Pyrus</w:t>
      </w:r>
      <w:r>
        <w:rPr>
          <w:rFonts w:hint="eastAsia"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bretschneideri</w:t>
      </w:r>
      <w:r>
        <w:rPr>
          <w:rFonts w:ascii="Times New Roman" w:hAnsi="Times New Roman"/>
          <w:sz w:val="24"/>
        </w:rPr>
        <w:t>) genome (https://www.ncbi.nlm.nih.gov/assembly/GCF_000315295.1/)</w:t>
      </w:r>
      <w:r>
        <w:rPr>
          <w:rFonts w:hint="eastAsia" w:ascii="Times New Roman" w:hAnsi="Times New Roman"/>
          <w:sz w:val="24"/>
        </w:rPr>
        <w:t>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Coverage (≥1 read).</w:t>
      </w:r>
    </w:p>
    <w:p>
      <w:pPr>
        <w:rPr>
          <w:rFonts w:ascii="Times New Roman" w:hAnsi="Times New Roman" w:eastAsia="STKaiti"/>
          <w:sz w:val="24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sz w:val="24"/>
        </w:rPr>
        <w:t>TABLE S2 |</w:t>
      </w:r>
      <w:r>
        <w:rPr>
          <w:rFonts w:hint="eastAsia"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eastAsia="STKaiti"/>
          <w:sz w:val="24"/>
          <w:shd w:val="clear" w:color="auto" w:fill="FFFFFF"/>
        </w:rPr>
        <w:t>SNP-</w:t>
      </w:r>
      <w:r>
        <w:rPr>
          <w:rFonts w:hint="eastAsia" w:ascii="Times New Roman" w:hAnsi="Times New Roman" w:eastAsia="STKaiti"/>
          <w:sz w:val="24"/>
          <w:shd w:val="clear" w:color="auto" w:fill="FFFFFF"/>
        </w:rPr>
        <w:t>Indel</w:t>
      </w:r>
      <w:r>
        <w:rPr>
          <w:rFonts w:ascii="Times New Roman" w:hAnsi="Times New Roman" w:eastAsia="STKaiti"/>
          <w:sz w:val="24"/>
          <w:shd w:val="clear" w:color="auto" w:fill="FFFFFF"/>
        </w:rPr>
        <w:t xml:space="preserve"> statistics for</w:t>
      </w:r>
      <w:r>
        <w:rPr>
          <w:rFonts w:hint="eastAsia" w:ascii="Times New Roman" w:hAnsi="Times New Roman" w:eastAsia="STKaiti"/>
          <w:sz w:val="24"/>
          <w:shd w:val="clear" w:color="auto" w:fill="FFFFFF"/>
        </w:rPr>
        <w:t xml:space="preserve"> the</w:t>
      </w:r>
      <w:r>
        <w:rPr>
          <w:rFonts w:ascii="Times New Roman" w:hAnsi="Times New Roman" w:eastAsia="STKaiti"/>
          <w:sz w:val="24"/>
          <w:shd w:val="clear" w:color="auto" w:fill="FFFFFF"/>
        </w:rPr>
        <w:t xml:space="preserve"> four genome</w:t>
      </w:r>
      <w:r>
        <w:rPr>
          <w:rFonts w:hint="eastAsia" w:ascii="Times New Roman" w:hAnsi="Times New Roman" w:eastAsia="STKaiti"/>
          <w:sz w:val="24"/>
          <w:shd w:val="clear" w:color="auto" w:fill="FFFFFF"/>
        </w:rPr>
        <w:t xml:space="preserve"> sequencing samples</w:t>
      </w:r>
    </w:p>
    <w:tbl>
      <w:tblPr>
        <w:tblStyle w:val="2"/>
        <w:tblW w:w="8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227"/>
        <w:gridCol w:w="2737"/>
        <w:gridCol w:w="2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kern w:val="0"/>
                <w:sz w:val="24"/>
                <w:shd w:val="clear" w:color="auto" w:fill="FFFFFF"/>
                <w:lang w:bidi="ar"/>
              </w:rPr>
              <w:t>Sample name</w:t>
            </w:r>
          </w:p>
        </w:tc>
        <w:tc>
          <w:tcPr>
            <w:tcW w:w="222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kern w:val="0"/>
                <w:sz w:val="24"/>
                <w:shd w:val="clear" w:color="auto" w:fill="FFFFFF"/>
                <w:lang w:bidi="ar"/>
              </w:rPr>
              <w:t>SNP number</w:t>
            </w:r>
          </w:p>
        </w:tc>
        <w:tc>
          <w:tcPr>
            <w:tcW w:w="273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kern w:val="0"/>
                <w:sz w:val="24"/>
                <w:shd w:val="clear" w:color="auto" w:fill="FFFFFF"/>
                <w:lang w:bidi="ar"/>
              </w:rPr>
              <w:t>InDel number</w:t>
            </w:r>
          </w:p>
        </w:tc>
        <w:tc>
          <w:tcPr>
            <w:tcW w:w="263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kern w:val="0"/>
                <w:sz w:val="24"/>
                <w:shd w:val="clear" w:color="auto" w:fill="FFFFFF"/>
                <w:lang w:bidi="ar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DSS</w:t>
            </w:r>
          </w:p>
        </w:tc>
        <w:tc>
          <w:tcPr>
            <w:tcW w:w="222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28,122,87</w:t>
            </w:r>
          </w:p>
        </w:tc>
        <w:tc>
          <w:tcPr>
            <w:tcW w:w="27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2,589,78</w:t>
            </w:r>
          </w:p>
        </w:tc>
        <w:tc>
          <w:tcPr>
            <w:tcW w:w="263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30,712,65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NTK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32,895,50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3,021,64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35,917,14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/>
                <w:kern w:val="0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B1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bCs/>
                <w:i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39,837,15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3,535,74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43,372,89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B2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38,294,15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3,340,61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kern w:val="0"/>
                <w:sz w:val="24"/>
                <w:shd w:val="clear" w:color="auto" w:fill="FFFFFF"/>
                <w:lang w:bidi="ar"/>
              </w:rPr>
              <w:t>41,634,76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DSS: ‘Dangshansu’</w:t>
      </w:r>
      <w:r>
        <w:rPr>
          <w:rFonts w:hint="eastAsia"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non-russet skin pear cultivar</w:t>
      </w:r>
      <w:r>
        <w:rPr>
          <w:rFonts w:hint="eastAsia"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NTK: ‘Niitaka’</w:t>
      </w:r>
      <w:r>
        <w:rPr>
          <w:rFonts w:hint="eastAsia"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russet skin pear cultivar</w:t>
      </w:r>
      <w:r>
        <w:rPr>
          <w:rFonts w:hint="eastAsia"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  <w:r>
        <w:rPr>
          <w:rFonts w:hint="eastAsia" w:ascii="Times New Roman" w:hAnsi="Times New Roman"/>
          <w:sz w:val="24"/>
        </w:rPr>
        <w:t xml:space="preserve"> B1</w:t>
      </w:r>
      <w:r>
        <w:rPr>
          <w:rFonts w:ascii="Times New Roman" w:hAnsi="Times New Roman"/>
          <w:sz w:val="24"/>
        </w:rPr>
        <w:t xml:space="preserve">: </w:t>
      </w:r>
      <w:r>
        <w:rPr>
          <w:rFonts w:hint="eastAsia" w:ascii="Times New Roman" w:hAnsi="Times New Roman"/>
          <w:sz w:val="24"/>
        </w:rPr>
        <w:t>non-russet skin</w:t>
      </w:r>
      <w:r>
        <w:rPr>
          <w:rFonts w:ascii="Times New Roman" w:hAnsi="Times New Roman"/>
          <w:sz w:val="24"/>
        </w:rPr>
        <w:t xml:space="preserve"> fruit</w:t>
      </w:r>
      <w:r>
        <w:rPr>
          <w:rFonts w:hint="eastAsia" w:ascii="Times New Roman" w:hAnsi="Times New Roman"/>
          <w:sz w:val="24"/>
        </w:rPr>
        <w:t xml:space="preserve"> bulk</w:t>
      </w:r>
      <w:r>
        <w:rPr>
          <w:rFonts w:ascii="Times New Roman" w:hAnsi="Times New Roman"/>
          <w:sz w:val="24"/>
        </w:rPr>
        <w:t xml:space="preserve">; </w:t>
      </w:r>
      <w:r>
        <w:rPr>
          <w:rFonts w:hint="eastAsia" w:ascii="Times New Roman" w:hAnsi="Times New Roman"/>
          <w:sz w:val="24"/>
        </w:rPr>
        <w:t>B2</w:t>
      </w:r>
      <w:r>
        <w:rPr>
          <w:rFonts w:ascii="Times New Roman" w:hAnsi="Times New Roman"/>
          <w:sz w:val="24"/>
        </w:rPr>
        <w:t>:</w:t>
      </w:r>
      <w:r>
        <w:rPr>
          <w:rFonts w:hint="eastAsia" w:ascii="Times New Roman" w:hAnsi="Times New Roman"/>
          <w:sz w:val="24"/>
        </w:rPr>
        <w:t xml:space="preserve"> russet skin</w:t>
      </w:r>
      <w:r>
        <w:rPr>
          <w:rFonts w:ascii="Times New Roman" w:hAnsi="Times New Roman"/>
          <w:sz w:val="24"/>
        </w:rPr>
        <w:t xml:space="preserve"> fruit</w:t>
      </w:r>
      <w:r>
        <w:rPr>
          <w:rFonts w:hint="eastAsia" w:ascii="Times New Roman" w:hAnsi="Times New Roman"/>
          <w:sz w:val="24"/>
        </w:rPr>
        <w:t xml:space="preserve"> bulk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sz w:val="24"/>
        </w:rPr>
        <w:t>TABLE S3 |</w:t>
      </w:r>
      <w:r>
        <w:rPr>
          <w:rFonts w:ascii="Times New Roman" w:hAnsi="Times New Roman"/>
          <w:sz w:val="24"/>
        </w:rPr>
        <w:t xml:space="preserve"> Oligonucleotide primers used for amplification of</w:t>
      </w:r>
      <w:r>
        <w:rPr>
          <w:rFonts w:hint="eastAsia" w:ascii="Times New Roman" w:hAnsi="Times New Roman"/>
          <w:sz w:val="24"/>
        </w:rPr>
        <w:t xml:space="preserve"> the two SSR markers linked to </w:t>
      </w:r>
      <w:r>
        <w:rPr>
          <w:rFonts w:hint="eastAsia" w:ascii="Times New Roman" w:hAnsi="Times New Roman"/>
          <w:i/>
          <w:iCs/>
          <w:sz w:val="24"/>
        </w:rPr>
        <w:t>PpRus</w:t>
      </w:r>
      <w:r>
        <w:rPr>
          <w:rFonts w:hint="eastAsia" w:ascii="Times New Roman" w:hAnsi="Times New Roman"/>
          <w:sz w:val="24"/>
        </w:rPr>
        <w:t xml:space="preserve"> locus</w:t>
      </w:r>
    </w:p>
    <w:p>
      <w:pPr>
        <w:outlineLvl w:val="0"/>
        <w:rPr>
          <w:rFonts w:ascii="Times New Roman" w:hAnsi="Times New Roman"/>
          <w:b/>
          <w:sz w:val="20"/>
          <w:szCs w:val="20"/>
          <w:lang w:bidi="ar"/>
        </w:rPr>
      </w:pPr>
    </w:p>
    <w:tbl>
      <w:tblPr>
        <w:tblStyle w:val="2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914"/>
        <w:gridCol w:w="2826"/>
        <w:gridCol w:w="850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kern w:val="0"/>
                <w:sz w:val="24"/>
                <w:shd w:val="clear" w:color="auto" w:fill="FFFFFF"/>
                <w:lang w:bidi="ar"/>
              </w:rPr>
              <w:t>Primer name</w:t>
            </w:r>
          </w:p>
        </w:tc>
        <w:tc>
          <w:tcPr>
            <w:tcW w:w="291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Forward primer sequence (5′–3′)</w:t>
            </w:r>
          </w:p>
        </w:tc>
        <w:tc>
          <w:tcPr>
            <w:tcW w:w="282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Reverse primer sequence (5′–3′)</w:t>
            </w: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Motif</w:t>
            </w:r>
          </w:p>
        </w:tc>
        <w:tc>
          <w:tcPr>
            <w:tcW w:w="114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No. of Repeats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PpSSRa19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AACCAGGACACTAACTAATTTGAGG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ATTTTATTAAAGTTAAATCCAACGG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lang w:bidi="ar"/>
              </w:rPr>
              <w:t>PpSSRa60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AAGGCAAGACAAGGCAATAATGATA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spacing w:before="120" w:after="24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TAGGAACAAAAGCAGAGCCAAGA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TC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before="120" w:after="24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</w:t>
            </w:r>
          </w:p>
        </w:tc>
      </w:tr>
    </w:tbl>
    <w:p>
      <w:pPr>
        <w:jc w:val="left"/>
        <w:rPr>
          <w:rFonts w:ascii="Times New Roman" w:hAnsi="Times New Roman"/>
          <w:bCs/>
          <w:sz w:val="24"/>
          <w:lang w:bidi="ar"/>
        </w:rPr>
      </w:pPr>
      <w:r>
        <w:rPr>
          <w:rFonts w:ascii="Times New Roman" w:hAnsi="Times New Roman"/>
          <w:b/>
          <w:sz w:val="20"/>
          <w:szCs w:val="20"/>
          <w:lang w:bidi="ar"/>
        </w:rPr>
        <w:br w:type="page"/>
      </w:r>
      <w:r>
        <w:rPr>
          <w:rFonts w:ascii="Times New Roman" w:hAnsi="Times New Roman"/>
          <w:b/>
          <w:sz w:val="24"/>
          <w:lang w:bidi="ar"/>
        </w:rPr>
        <w:t>TABLE S</w:t>
      </w:r>
      <w:r>
        <w:rPr>
          <w:rFonts w:hint="eastAsia" w:ascii="Times New Roman" w:hAnsi="Times New Roman"/>
          <w:b/>
          <w:sz w:val="24"/>
          <w:lang w:bidi="ar"/>
        </w:rPr>
        <w:t>4</w:t>
      </w:r>
      <w:r>
        <w:rPr>
          <w:rFonts w:ascii="Times New Roman" w:hAnsi="Times New Roman"/>
          <w:b/>
          <w:sz w:val="24"/>
          <w:lang w:bidi="ar"/>
        </w:rPr>
        <w:t xml:space="preserve"> | </w:t>
      </w:r>
      <w:r>
        <w:rPr>
          <w:rFonts w:ascii="Times New Roman" w:hAnsi="Times New Roman"/>
          <w:bCs/>
          <w:sz w:val="24"/>
          <w:lang w:bidi="ar"/>
        </w:rPr>
        <w:t xml:space="preserve">Annotation and physical positions of eight predicted genes within the region flanked by the </w:t>
      </w:r>
      <w:r>
        <w:rPr>
          <w:rFonts w:hint="eastAsia" w:ascii="Times New Roman" w:hAnsi="Times New Roman"/>
          <w:bCs/>
          <w:sz w:val="24"/>
          <w:lang w:bidi="ar"/>
        </w:rPr>
        <w:t>Pp</w:t>
      </w:r>
      <w:r>
        <w:rPr>
          <w:rFonts w:ascii="Times New Roman" w:hAnsi="Times New Roman"/>
          <w:bCs/>
          <w:sz w:val="24"/>
          <w:lang w:bidi="ar"/>
        </w:rPr>
        <w:t xml:space="preserve">SSRa19 and </w:t>
      </w:r>
      <w:r>
        <w:rPr>
          <w:rFonts w:hint="eastAsia" w:ascii="Times New Roman" w:hAnsi="Times New Roman"/>
          <w:bCs/>
          <w:sz w:val="24"/>
          <w:lang w:bidi="ar"/>
        </w:rPr>
        <w:t>PpSSRa60</w:t>
      </w:r>
      <w:r>
        <w:rPr>
          <w:rFonts w:ascii="Times New Roman" w:hAnsi="Times New Roman"/>
          <w:bCs/>
          <w:sz w:val="24"/>
          <w:lang w:bidi="ar"/>
        </w:rPr>
        <w:t xml:space="preserve"> marker loci on pear chromosome 8</w:t>
      </w:r>
    </w:p>
    <w:tbl>
      <w:tblPr>
        <w:tblStyle w:val="2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800"/>
        <w:gridCol w:w="1925"/>
        <w:gridCol w:w="580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STKaiti"/>
                <w:b/>
                <w:bCs/>
                <w:sz w:val="24"/>
                <w:shd w:val="clear" w:color="auto" w:fill="FFFFFF"/>
                <w:lang w:bidi="ar"/>
              </w:rPr>
              <w:t>Gene_ID</w:t>
            </w:r>
          </w:p>
        </w:tc>
        <w:tc>
          <w:tcPr>
            <w:tcW w:w="28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Description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b/>
                <w:bCs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STKaiti"/>
                <w:b/>
                <w:bCs/>
                <w:sz w:val="24"/>
                <w:shd w:val="clear" w:color="auto" w:fill="FFFFFF"/>
                <w:lang w:bidi="ar"/>
              </w:rPr>
              <w:t xml:space="preserve">Scafflod 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b/>
                <w:bCs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STKaiti"/>
                <w:b/>
                <w:bCs/>
                <w:sz w:val="24"/>
                <w:shd w:val="clear" w:color="auto" w:fill="FFFFFF"/>
                <w:lang w:bidi="ar"/>
              </w:rPr>
              <w:t>Chr</w:t>
            </w:r>
          </w:p>
        </w:tc>
        <w:tc>
          <w:tcPr>
            <w:tcW w:w="17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Physical position (start–end)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74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LOC103929635</w:t>
            </w:r>
          </w:p>
        </w:tc>
        <w:tc>
          <w:tcPr>
            <w:tcW w:w="28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homeobox-leucine zipper protein HAT22-like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Pyrus bretschneideri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106916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108885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 xml:space="preserve"> homeobox protein knotted-1-like 1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Pyrus bretschneideri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118674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122929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endo-1,4-beta-xylanase A-like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Malus domestica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149046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154696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zinc finger CCCH domain-containing protein 23-like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Pyrus bretschneideri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171023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172475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transcription factor MYB36-like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Pyrus bretschneideri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183653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184752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vacuolar protein sorting-associated protein 32 homolog 2-like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Pyrus bretschneideri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188970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191606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clathrin interactor EPSIN 1-like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Pyrus bretschneideri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194240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199008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LOC103929643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exosome component 10 isoform X2 (</w:t>
            </w:r>
            <w:r>
              <w:rPr>
                <w:rFonts w:ascii="Times New Roman" w:hAnsi="Times New Roman" w:eastAsia="STKaiti"/>
                <w:i/>
                <w:iCs/>
                <w:sz w:val="24"/>
                <w:shd w:val="clear" w:color="auto" w:fill="FFFFFF"/>
                <w:lang w:bidi="ar"/>
              </w:rPr>
              <w:t>Prunus mume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NW_008988489.1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chr8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STKaiti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200073</w:t>
            </w:r>
            <w:r>
              <w:rPr>
                <w:rFonts w:ascii="Times New Roman" w:hAnsi="Times New Roman"/>
                <w:b/>
                <w:bCs/>
                <w:sz w:val="24"/>
                <w:lang w:bidi="ar"/>
              </w:rPr>
              <w:t>–</w:t>
            </w:r>
            <w:r>
              <w:rPr>
                <w:rFonts w:ascii="Times New Roman" w:hAnsi="Times New Roman" w:eastAsia="STKaiti"/>
                <w:sz w:val="24"/>
                <w:shd w:val="clear" w:color="auto" w:fill="FFFFFF"/>
                <w:lang w:bidi="ar"/>
              </w:rPr>
              <w:t>203926</w:t>
            </w:r>
          </w:p>
        </w:tc>
      </w:tr>
    </w:tbl>
    <w:p>
      <w:pPr>
        <w:jc w:val="center"/>
        <w:rPr>
          <w:rFonts w:ascii="Times New Roman" w:hAnsi="Times New Roman"/>
          <w:sz w:val="24"/>
          <w:lang w:bidi="ar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  <w:szCs w:val="20"/>
          <w:lang w:bidi="ar"/>
        </w:rPr>
        <w:br w:type="page"/>
      </w:r>
      <w:r>
        <w:rPr>
          <w:rFonts w:ascii="Times New Roman" w:hAnsi="Times New Roman"/>
          <w:b/>
          <w:sz w:val="24"/>
          <w:lang w:bidi="ar"/>
        </w:rPr>
        <w:t>TABLE S</w:t>
      </w:r>
      <w:r>
        <w:rPr>
          <w:rFonts w:hint="eastAsia" w:ascii="Times New Roman" w:hAnsi="Times New Roman"/>
          <w:b/>
          <w:sz w:val="24"/>
          <w:lang w:bidi="ar"/>
        </w:rPr>
        <w:t>5</w:t>
      </w:r>
      <w:r>
        <w:rPr>
          <w:rFonts w:ascii="Times New Roman" w:hAnsi="Times New Roman"/>
          <w:b/>
          <w:sz w:val="24"/>
          <w:lang w:bidi="ar"/>
        </w:rPr>
        <w:t xml:space="preserve"> | </w:t>
      </w:r>
      <w:r>
        <w:rPr>
          <w:rFonts w:ascii="Times New Roman" w:hAnsi="Times New Roman"/>
          <w:sz w:val="24"/>
          <w:lang w:bidi="ar"/>
        </w:rPr>
        <w:t>Gene-specific oligonucleotide primers used in the quantitative real-time PCR assays.</w:t>
      </w:r>
    </w:p>
    <w:tbl>
      <w:tblPr>
        <w:tblStyle w:val="2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488"/>
        <w:gridCol w:w="3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5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bidi="ar"/>
              </w:rPr>
              <w:t>Primer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 xml:space="preserve"> name</w:t>
            </w:r>
          </w:p>
        </w:tc>
        <w:tc>
          <w:tcPr>
            <w:tcW w:w="34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Sense primer (5ʹ–3ʹ)</w:t>
            </w:r>
          </w:p>
        </w:tc>
        <w:tc>
          <w:tcPr>
            <w:tcW w:w="354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Anti-sense primer (5ʹ–3ʹ)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LOC103929635</w:t>
            </w:r>
          </w:p>
        </w:tc>
        <w:tc>
          <w:tcPr>
            <w:tcW w:w="348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TTCTTCGTTCTCCAACTCATCTAGT</w:t>
            </w:r>
          </w:p>
        </w:tc>
        <w:tc>
          <w:tcPr>
            <w:tcW w:w="354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GCTCTCTGAAGGTGTCCTCTAAAG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LOC103929636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ATCAGTGTAATTTTCAGTCTCCAGG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TCCTGTCTGGCAACTGAGAGTC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LOC103929637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ACCGAGGTACAGCGACCAACTA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GTCCTTCCACTCTGGCATTCAC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LOC103929638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CACTTGACGATCACGTTATTCATAC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GAGATCGGGTTCATGGGC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LOC103929640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GGAGGAAAGATAAAGAATATCAGCA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ATGAAACAGTAGTGCTGTAACTCCC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LOC103929641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CACGATTCACAAATTAAACGATACA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AACAGTTTCTGTCGTAGCGTTTG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LOC103929642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GGAGATGGAGCAGAAGGTATTG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TGATGAGATTTGGAAAGTATGTTCT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LOC103929643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TTGGCTCCTATTCGTATAGTCACTC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TGGTGATATAGGAAGACTCAAGTGC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PpPAL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ACGCTCTCCGAACATCACCTC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GGCAAACCATTGTTGTAAAAGTCAT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PpC4H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AGATCACAGAGCCCGACGTTCATAA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AGATACCTGAAGTCGTTCCCGTTAG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Pp4CL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ATCTCTCAATGGTCTCCTTCCTCTT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GCAATAATCCCGAAGAGACAAATG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PpCCR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ATTTTTCACACCTCCTCTTTTATTG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CCAGCTATGCTCATCAATGATCT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PpCAD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AGAAAATCTGGACATACGCTGACG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CTACACCTCCAAGTCCAAGTATTCC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PpHCT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AGGGTGTTCTGTTTGTTGAGG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TCATCTGTGGAGCAGGTTGG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PpC3H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TTCTCCGCCCTATTTGCTG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CGCCGTCTTCCTCTGTATCA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PpCCoAOMT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GAGATTGGGGTCTACACTGGCTACT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ACGACCCATGATTCTTCTTATCTTC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PpCOMT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GGCTGACCACTCTACCATTACCA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TCTCCTCCAACATGCTCCACA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PpActin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TGGTGTCATGGTTGGTATGG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CAGGAGCAACACGAAGTTCA</w:t>
            </w:r>
          </w:p>
        </w:tc>
      </w:tr>
    </w:tbl>
    <w:p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0"/>
          <w:szCs w:val="20"/>
          <w:lang w:bidi="ar"/>
        </w:rPr>
        <w:br w:type="page"/>
      </w:r>
      <w:r>
        <w:rPr>
          <w:rFonts w:ascii="Times New Roman" w:hAnsi="Times New Roman"/>
          <w:b/>
          <w:sz w:val="24"/>
          <w:lang w:bidi="ar"/>
        </w:rPr>
        <w:t>TABLE S</w:t>
      </w:r>
      <w:r>
        <w:rPr>
          <w:rFonts w:hint="eastAsia" w:ascii="Times New Roman" w:hAnsi="Times New Roman"/>
          <w:b/>
          <w:sz w:val="24"/>
          <w:lang w:bidi="ar"/>
        </w:rPr>
        <w:t>6</w:t>
      </w:r>
      <w:r>
        <w:rPr>
          <w:rFonts w:ascii="Times New Roman" w:hAnsi="Times New Roman"/>
          <w:b/>
          <w:sz w:val="24"/>
          <w:lang w:bidi="ar"/>
        </w:rPr>
        <w:t xml:space="preserve"> | </w:t>
      </w:r>
      <w:r>
        <w:rPr>
          <w:rFonts w:ascii="Times New Roman" w:hAnsi="Times New Roman"/>
          <w:sz w:val="24"/>
          <w:lang w:bidi="ar"/>
        </w:rPr>
        <w:t>Sequences of the oligonucleotide primers used</w:t>
      </w:r>
      <w:r>
        <w:rPr>
          <w:rFonts w:ascii="Times New Roman" w:hAnsi="Times New Roman"/>
          <w:bCs/>
          <w:sz w:val="24"/>
          <w:lang w:bidi="ar"/>
        </w:rPr>
        <w:t xml:space="preserve"> for cloning and construction of the </w:t>
      </w:r>
      <w:r>
        <w:rPr>
          <w:rFonts w:hint="eastAsia" w:ascii="Times New Roman" w:hAnsi="Times New Roman"/>
          <w:i/>
          <w:iCs/>
          <w:sz w:val="24"/>
          <w:lang w:bidi="ar"/>
        </w:rPr>
        <w:t>PpMYB36</w:t>
      </w:r>
      <w:r>
        <w:rPr>
          <w:rFonts w:ascii="Times New Roman" w:hAnsi="Times New Roman"/>
          <w:sz w:val="24"/>
          <w:lang w:bidi="ar"/>
        </w:rPr>
        <w:t xml:space="preserve"> vectors</w:t>
      </w:r>
    </w:p>
    <w:tbl>
      <w:tblPr>
        <w:tblStyle w:val="2"/>
        <w:tblW w:w="8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424"/>
        <w:gridCol w:w="3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3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bidi="ar"/>
              </w:rPr>
              <w:t>Primer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 xml:space="preserve"> name</w:t>
            </w:r>
          </w:p>
        </w:tc>
        <w:tc>
          <w:tcPr>
            <w:tcW w:w="342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Sense primer (5ʹ–3ʹ)</w:t>
            </w:r>
          </w:p>
        </w:tc>
        <w:tc>
          <w:tcPr>
            <w:tcW w:w="352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bidi="ar"/>
              </w:rPr>
              <w:t>Anti-sense primer (5ʹ–3ʹ)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lang w:bidi="ar"/>
              </w:rPr>
              <w:t>PpMYB36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ATGGGACGCACTCCATGCT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CAAAAGAAATCACCCAAATCTGTG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ProMYB36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GATTCAAGGCAGGTATGGCTAAAGA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AAGTGAGGGAGCACAATAAGTAACC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ProNR-GUS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CATGATTACGCCAAGCTTGGTTACTTATTGTGCTCCCTCA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ACCACCCGGGGATCCTCTAGACTACAGTAAAACATCATTT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ProR-GUS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CATGATTACGCCAAGCTTGGTTACTTATTGTGCTCCCTCA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ACCACCCGGGGATCCTCTAGACTACAGTAAAACATCATTT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ProNR-MYB36-pBI121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GCACAATAAGTAACCTCTAGAATGGGACGCACTCCATGCT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ACTGACCACCCGGGGATCCTCAAAAGAAATCACCCAAATC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ProR-MYB36-pBI121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GCACAATAAGTAACCTCTAGAATGGGACGCACTCCATGCT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utoSpaceDE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ACTGACCACCCGGGGATCCTCAAAAGAAATCACCCAAATC</w:t>
            </w:r>
          </w:p>
        </w:tc>
      </w:tr>
    </w:tbl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37FD3"/>
    <w:rsid w:val="2C137FD3"/>
    <w:rsid w:val="7C8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2021-09-14T02:55:00Z</dcterms:created>
  <dc:creator>Administrator</dc:creator>
  <cp:lastModifiedBy>Administrator</cp:lastModifiedBy>
  <dcterms:modified xsi:type="dcterms:W3CDTF">2021-09-14T08:00:59Z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8ACB0A2EC4E04D4C94E11BF80BCC94B2</vt:lpwstr>
  </property>
</Properties>
</file>