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vertAlign w:val="baseline"/>
        </w:rPr>
      </w:pPr>
      <w:r>
        <w:rPr>
          <w:b/>
          <w:bCs/>
          <w:vertAlign w:val="baseline"/>
        </w:rPr>
        <w:t xml:space="preserve">Table S1. </w:t>
      </w:r>
      <w:r>
        <w:rPr>
          <w:rFonts w:hint="eastAsia"/>
          <w:b/>
          <w:bCs/>
          <w:vertAlign w:val="baseline"/>
        </w:rPr>
        <w:t>Multicollinearity test for three</w:t>
      </w:r>
      <w:r>
        <w:rPr>
          <w:rFonts w:hint="default"/>
          <w:b/>
          <w:bCs/>
          <w:vertAlign w:val="baseline"/>
        </w:rPr>
        <w:t xml:space="preserve"> C</w:t>
      </w:r>
      <w:r>
        <w:rPr>
          <w:rFonts w:hint="eastAsia"/>
          <w:b/>
          <w:bCs/>
          <w:vertAlign w:val="baseline"/>
          <w:lang w:val="en-US" w:eastAsia="zh-Hans"/>
        </w:rPr>
        <w:t>o</w:t>
      </w:r>
      <w:r>
        <w:rPr>
          <w:rFonts w:hint="default"/>
          <w:b/>
          <w:bCs/>
          <w:vertAlign w:val="baseline"/>
          <w:lang w:eastAsia="zh-Hans"/>
        </w:rPr>
        <w:t>x</w:t>
      </w:r>
      <w:r>
        <w:rPr>
          <w:rFonts w:hint="eastAsia"/>
          <w:b/>
          <w:bCs/>
          <w:vertAlign w:val="baseline"/>
        </w:rPr>
        <w:t xml:space="preserve"> models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restart"/>
            <w:tcBorders>
              <w:top w:val="single" w:color="000000" w:themeColor="text1" w:sz="18" w:space="0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Variables </w:t>
            </w:r>
          </w:p>
        </w:tc>
        <w:tc>
          <w:tcPr>
            <w:tcW w:w="6392" w:type="dxa"/>
            <w:gridSpan w:val="3"/>
            <w:tcBorders>
              <w:top w:val="single" w:color="000000" w:themeColor="text1" w:sz="18" w:space="0"/>
              <w:left w:val="nil"/>
              <w:bottom w:val="single" w:color="000000" w:themeColor="text1" w:sz="18" w:space="0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Outcomes (the variance </w:t>
            </w:r>
            <w:r>
              <w:rPr>
                <w:rFonts w:hint="eastAsia"/>
                <w:vertAlign w:val="baseline"/>
              </w:rPr>
              <w:t>inflation factor</w:t>
            </w:r>
            <w:r>
              <w:rPr>
                <w:rFonts w:hint="default"/>
                <w:vertAlign w:val="baseline"/>
              </w:rPr>
              <w:t xml:space="preserve"> in three Cox models</w:t>
            </w:r>
            <w:r>
              <w:rPr>
                <w:vertAlign w:val="baseli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continue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  <w:tcBorders>
              <w:top w:val="single" w:color="000000" w:themeColor="text1" w:sz="18" w:space="0"/>
              <w:left w:val="nil"/>
              <w:bottom w:val="single" w:color="000000" w:themeColor="text1" w:sz="18" w:space="0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Stroke</w:t>
            </w:r>
          </w:p>
        </w:tc>
        <w:tc>
          <w:tcPr>
            <w:tcW w:w="2131" w:type="dxa"/>
            <w:tcBorders>
              <w:top w:val="single" w:color="000000" w:themeColor="text1" w:sz="18" w:space="0"/>
              <w:left w:val="nil"/>
              <w:bottom w:val="single" w:color="000000" w:themeColor="text1" w:sz="18" w:space="0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Composite outcome</w:t>
            </w:r>
          </w:p>
        </w:tc>
        <w:tc>
          <w:tcPr>
            <w:tcW w:w="2131" w:type="dxa"/>
            <w:tcBorders>
              <w:top w:val="single" w:color="000000" w:themeColor="text1" w:sz="18" w:space="0"/>
              <w:left w:val="nil"/>
              <w:bottom w:val="single" w:color="000000" w:themeColor="text1" w:sz="18" w:space="0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All-cause mortality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tcBorders>
              <w:top w:val="single" w:color="000000" w:themeColor="text1" w:sz="18" w:space="0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Treatment arm</w:t>
            </w:r>
          </w:p>
        </w:tc>
        <w:tc>
          <w:tcPr>
            <w:tcW w:w="2130" w:type="dxa"/>
            <w:tcBorders>
              <w:top w:val="single" w:color="000000" w:themeColor="text1" w:sz="18" w:space="0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</w:p>
        </w:tc>
        <w:tc>
          <w:tcPr>
            <w:tcW w:w="2131" w:type="dxa"/>
            <w:tcBorders>
              <w:top w:val="single" w:color="000000" w:themeColor="text1" w:sz="18" w:space="0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</w:p>
        </w:tc>
        <w:tc>
          <w:tcPr>
            <w:tcW w:w="2131" w:type="dxa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t>1</w:t>
            </w:r>
          </w:p>
        </w:tc>
      </w:tr>
      <w:t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age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1.3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1.3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t>1.3</w:t>
            </w:r>
          </w:p>
        </w:tc>
      </w:tr>
      <w:t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sex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1.4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1.4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t>1.4</w:t>
            </w:r>
          </w:p>
        </w:tc>
      </w:tr>
      <w:t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ethnicity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t>1.1</w:t>
            </w:r>
          </w:p>
        </w:tc>
      </w:tr>
      <w:t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Body mass index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t>1.1</w:t>
            </w:r>
          </w:p>
        </w:tc>
      </w:tr>
      <w:t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Systolic blood pressure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t>1.2</w:t>
            </w:r>
          </w:p>
        </w:tc>
      </w:tr>
      <w:t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Smoking status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t>1.2</w:t>
            </w:r>
          </w:p>
        </w:tc>
      </w:tr>
      <w:t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Aspirin use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t>1.1</w:t>
            </w:r>
          </w:p>
        </w:tc>
      </w:tr>
      <w:t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Statin use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1.3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1.3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t>1.3</w:t>
            </w:r>
          </w:p>
        </w:tc>
      </w:tr>
      <w:t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Previous CVD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t>1.2</w:t>
            </w:r>
          </w:p>
        </w:tc>
      </w:tr>
      <w:t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Previous CKD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t>1.7</w:t>
            </w:r>
          </w:p>
        </w:tc>
      </w:tr>
      <w:t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Framingham 10-y CVD risk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t>1.2</w:t>
            </w:r>
          </w:p>
        </w:tc>
      </w:tr>
      <w:tr>
        <w:tc>
          <w:tcPr>
            <w:tcW w:w="2130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Frailty status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vertAlign w:val="baseline"/>
              </w:rPr>
              <w:t>1.2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t>1.2</w:t>
            </w:r>
          </w:p>
        </w:tc>
      </w:tr>
    </w:tbl>
    <w:p>
      <w:pPr>
        <w:rPr>
          <w:rFonts w:hint="default" w:ascii="Times New Roman Regular" w:hAnsi="Times New Roman Regular" w:eastAsia="等线" w:cs="Times New Roman Regular"/>
          <w:sz w:val="18"/>
          <w:szCs w:val="18"/>
        </w:rPr>
      </w:pPr>
      <w:r>
        <w:rPr>
          <w:rFonts w:hint="default" w:ascii="Times New Roman Regular" w:hAnsi="Times New Roman Regular" w:eastAsia="等线" w:cs="Times New Roman Regular"/>
          <w:sz w:val="18"/>
          <w:szCs w:val="18"/>
        </w:rPr>
        <w:t xml:space="preserve"># For multicollinearity test, we included adjustment for treatment arm (intensive versus standard blood pressure control), age (&lt; 75 and </w:t>
      </w:r>
      <w:r>
        <w:rPr>
          <w:rFonts w:hint="default" w:ascii="Times New Roman Regular" w:hAnsi="Times New Roman Regular" w:eastAsia="等线" w:cs="Times New Roman Regular"/>
          <w:sz w:val="18"/>
          <w:szCs w:val="18"/>
          <w:lang w:val="en-US" w:eastAsia="zh-Hans"/>
        </w:rPr>
        <w:t>≥</w:t>
      </w:r>
      <w:r>
        <w:rPr>
          <w:rFonts w:hint="default" w:ascii="Times New Roman Regular" w:hAnsi="Times New Roman Regular" w:eastAsia="等线" w:cs="Times New Roman Regular"/>
          <w:sz w:val="18"/>
          <w:szCs w:val="18"/>
          <w:lang w:eastAsia="zh-Hans"/>
        </w:rPr>
        <w:t xml:space="preserve"> 75 years of age</w:t>
      </w:r>
      <w:r>
        <w:rPr>
          <w:rFonts w:hint="default" w:ascii="Times New Roman Regular" w:hAnsi="Times New Roman Regular" w:eastAsia="等线" w:cs="Times New Roman Regular"/>
          <w:sz w:val="18"/>
          <w:szCs w:val="18"/>
        </w:rPr>
        <w:t>), sex (female, male), ethnicity (black, no black), body mass index; smoking status (never smoked, former smoker, current smoker), baseline systolic blood pressure (</w:t>
      </w:r>
      <w:r>
        <w:rPr>
          <w:rFonts w:hint="default" w:ascii="Times New Roman Regular" w:hAnsi="Times New Roman Regular" w:eastAsia="等线" w:cs="Times New Roman Regular"/>
          <w:sz w:val="18"/>
          <w:szCs w:val="18"/>
          <w:lang w:val="en-US" w:eastAsia="zh-Hans"/>
        </w:rPr>
        <w:t>≤</w:t>
      </w:r>
      <w:r>
        <w:rPr>
          <w:rFonts w:hint="default" w:ascii="Times New Roman Regular" w:hAnsi="Times New Roman Regular" w:eastAsia="等线" w:cs="Times New Roman Regular"/>
          <w:sz w:val="18"/>
          <w:szCs w:val="18"/>
          <w:lang w:eastAsia="zh-Hans"/>
        </w:rPr>
        <w:t xml:space="preserve"> 132, 132 to 145, </w:t>
      </w:r>
      <w:r>
        <w:rPr>
          <w:rFonts w:hint="default" w:ascii="Times New Roman Regular" w:hAnsi="Times New Roman Regular" w:eastAsia="等线" w:cs="Times New Roman Regular"/>
          <w:sz w:val="18"/>
          <w:szCs w:val="18"/>
          <w:lang w:val="en-US" w:eastAsia="zh-Hans"/>
        </w:rPr>
        <w:t>≥</w:t>
      </w:r>
      <w:r>
        <w:rPr>
          <w:rFonts w:hint="default" w:ascii="Times New Roman Regular" w:hAnsi="Times New Roman Regular" w:eastAsia="等线" w:cs="Times New Roman Regular"/>
          <w:sz w:val="18"/>
          <w:szCs w:val="18"/>
          <w:lang w:eastAsia="zh-Hans"/>
        </w:rPr>
        <w:t xml:space="preserve"> 145 mmHg</w:t>
      </w:r>
      <w:r>
        <w:rPr>
          <w:rFonts w:hint="default" w:ascii="Times New Roman Regular" w:hAnsi="Times New Roman Regular" w:eastAsia="等线" w:cs="Times New Roman Regular"/>
          <w:sz w:val="18"/>
          <w:szCs w:val="18"/>
        </w:rPr>
        <w:t>), Framingham 10-year CVD risk score (</w:t>
      </w:r>
      <w:r>
        <w:rPr>
          <w:rFonts w:hint="default" w:ascii="Times New Roman Regular" w:hAnsi="Times New Roman Regular" w:eastAsia="等线" w:cs="Times New Roman Regular"/>
          <w:sz w:val="18"/>
          <w:szCs w:val="18"/>
          <w:lang w:val="en-US" w:eastAsia="zh-Hans"/>
        </w:rPr>
        <w:t>≤</w:t>
      </w:r>
      <w:r>
        <w:rPr>
          <w:rFonts w:hint="default" w:ascii="Times New Roman Regular" w:hAnsi="Times New Roman Regular" w:eastAsia="等线" w:cs="Times New Roman Regular"/>
          <w:sz w:val="18"/>
          <w:szCs w:val="18"/>
          <w:lang w:eastAsia="zh-Hans"/>
        </w:rPr>
        <w:t xml:space="preserve"> 15%, &gt; 15%</w:t>
      </w:r>
      <w:r>
        <w:rPr>
          <w:rFonts w:hint="default" w:ascii="Times New Roman Regular" w:hAnsi="Times New Roman Regular" w:eastAsia="等线" w:cs="Times New Roman Regular"/>
          <w:sz w:val="18"/>
          <w:szCs w:val="18"/>
        </w:rPr>
        <w:t>), aspirin use, statin use, previous CVD, previous chronic kidney disease and frailty status (fit, less fit, frailty).  If variance inflation factor ≥ 5, multicollinearity existed among variables.</w:t>
      </w:r>
    </w:p>
    <w:p>
      <w:pPr>
        <w:rPr>
          <w:rFonts w:hint="default" w:ascii="Times New Roman Regular" w:hAnsi="Times New Roman Regular" w:eastAsia="等线" w:cs="Times New Roman Regular"/>
          <w:sz w:val="18"/>
          <w:szCs w:val="18"/>
        </w:rPr>
      </w:pPr>
    </w:p>
    <w:p>
      <w:pPr>
        <w:rPr>
          <w:rFonts w:hint="default" w:ascii="Times New Roman Regular" w:hAnsi="Times New Roman Regular" w:eastAsia="等线" w:cs="Times New Roman Regular"/>
          <w:sz w:val="18"/>
          <w:szCs w:val="18"/>
        </w:rPr>
      </w:pPr>
    </w:p>
    <w:p>
      <w:pPr>
        <w:rPr>
          <w:rFonts w:hint="default" w:ascii="Times New Roman Regular" w:hAnsi="Times New Roman Regular" w:eastAsia="等线" w:cs="Times New Roman Regular"/>
          <w:sz w:val="18"/>
          <w:szCs w:val="18"/>
        </w:rPr>
      </w:pPr>
      <w:r>
        <w:rPr>
          <w:rFonts w:hint="default" w:ascii="Times New Roman Regular" w:hAnsi="Times New Roman Regular" w:eastAsia="等线" w:cs="Times New Roman Regular"/>
          <w:sz w:val="18"/>
          <w:szCs w:val="18"/>
        </w:rPr>
        <w:t xml:space="preserve">Table S2. Intensive blood pressure control and stroke in lower cognitive function based on different </w:t>
      </w:r>
      <w:r>
        <w:rPr>
          <w:rFonts w:hint="eastAsia"/>
          <w:vertAlign w:val="baseline"/>
          <w:lang w:val="en-US" w:eastAsia="zh-CN"/>
        </w:rPr>
        <w:t xml:space="preserve">MoCA </w:t>
      </w:r>
      <w:r>
        <w:rPr>
          <w:rFonts w:hint="default" w:ascii="Times New Roman Regular" w:hAnsi="Times New Roman Regular" w:eastAsia="等线" w:cs="Times New Roman Regular"/>
          <w:sz w:val="18"/>
          <w:szCs w:val="18"/>
        </w:rPr>
        <w:t>cutoff</w:t>
      </w:r>
      <w:r>
        <w:rPr>
          <w:rFonts w:hint="eastAsia" w:ascii="Times New Roman Regular" w:hAnsi="Times New Roman Regular" w:eastAsia="等线" w:cs="Times New Roman Regular"/>
          <w:sz w:val="18"/>
          <w:szCs w:val="18"/>
          <w:lang w:val="en-US" w:eastAsia="zh-CN"/>
        </w:rPr>
        <w:t>s</w:t>
      </w:r>
      <w:r>
        <w:rPr>
          <w:rFonts w:hint="default" w:ascii="Times New Roman Regular" w:hAnsi="Times New Roman Regular" w:eastAsia="等线" w:cs="Times New Roman Regular"/>
          <w:sz w:val="18"/>
          <w:szCs w:val="18"/>
        </w:rPr>
        <w:t>.</w:t>
      </w:r>
    </w:p>
    <w:tbl>
      <w:tblPr>
        <w:tblStyle w:val="4"/>
        <w:tblpPr w:leftFromText="180" w:rightFromText="180" w:vertAnchor="page" w:horzAnchor="page" w:tblpX="2007" w:tblpY="10492"/>
        <w:tblOverlap w:val="never"/>
        <w:tblW w:w="8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815"/>
        <w:gridCol w:w="1722"/>
        <w:gridCol w:w="179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61" w:type="dxa"/>
            <w:tcBorders>
              <w:top w:val="single" w:color="000000" w:themeColor="text1" w:sz="18" w:space="0"/>
              <w:left w:val="nil"/>
              <w:bottom w:val="nil"/>
              <w:right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Lower cognitive function</w:t>
            </w:r>
          </w:p>
        </w:tc>
        <w:tc>
          <w:tcPr>
            <w:tcW w:w="3537" w:type="dxa"/>
            <w:gridSpan w:val="2"/>
            <w:tcBorders>
              <w:top w:val="single" w:color="000000" w:themeColor="text1" w:sz="18" w:space="0"/>
              <w:left w:val="nil"/>
              <w:bottom w:val="single" w:color="000000" w:themeColor="text1" w:sz="18" w:space="0"/>
              <w:right w:val="nil"/>
            </w:tcBorders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Stroke No./total No. of patients(%)</w:t>
            </w:r>
          </w:p>
        </w:tc>
        <w:tc>
          <w:tcPr>
            <w:tcW w:w="1798" w:type="dxa"/>
            <w:tcBorders>
              <w:top w:val="single" w:color="000000" w:themeColor="text1" w:sz="18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2" w:type="dxa"/>
            <w:tcBorders>
              <w:top w:val="single" w:color="000000" w:themeColor="text1" w:sz="18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61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(based on different MoCA cut-offs)</w:t>
            </w:r>
          </w:p>
        </w:tc>
        <w:tc>
          <w:tcPr>
            <w:tcW w:w="1815" w:type="dxa"/>
            <w:tcBorders>
              <w:top w:val="single" w:color="000000" w:themeColor="text1" w:sz="18" w:space="0"/>
              <w:left w:val="nil"/>
              <w:bottom w:val="single" w:color="000000" w:themeColor="text1" w:sz="18" w:space="0"/>
              <w:right w:val="nil"/>
            </w:tcBorders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Intensive blood pressure control</w:t>
            </w:r>
          </w:p>
        </w:tc>
        <w:tc>
          <w:tcPr>
            <w:tcW w:w="1722" w:type="dxa"/>
            <w:tcBorders>
              <w:top w:val="single" w:color="000000" w:themeColor="text1" w:sz="18" w:space="0"/>
              <w:left w:val="nil"/>
              <w:bottom w:val="single" w:color="000000" w:themeColor="text1" w:sz="18" w:space="0"/>
              <w:right w:val="nil"/>
            </w:tcBorders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Standard blood pressure control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HR(95%CI)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 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61" w:type="dxa"/>
            <w:tcBorders>
              <w:top w:val="single" w:color="000000" w:themeColor="text1" w:sz="18" w:space="0"/>
              <w:left w:val="nil"/>
              <w:bottom w:val="nil"/>
              <w:right w:val="nil"/>
            </w:tcBorders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MoCA≤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815" w:type="dxa"/>
            <w:tcBorders>
              <w:top w:val="single" w:color="000000" w:themeColor="text1" w:sz="18" w:space="0"/>
              <w:left w:val="nil"/>
              <w:bottom w:val="nil"/>
              <w:right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8/266 (3.00%)</w:t>
            </w:r>
          </w:p>
        </w:tc>
        <w:tc>
          <w:tcPr>
            <w:tcW w:w="1722" w:type="dxa"/>
            <w:tcBorders>
              <w:top w:val="single" w:color="000000" w:themeColor="text1" w:sz="18" w:space="0"/>
              <w:left w:val="nil"/>
              <w:bottom w:val="nil"/>
              <w:right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2/253 (0.70%)</w:t>
            </w:r>
          </w:p>
        </w:tc>
        <w:tc>
          <w:tcPr>
            <w:tcW w:w="1798" w:type="dxa"/>
            <w:tcBorders>
              <w:top w:val="single" w:color="000000" w:themeColor="text1" w:sz="18" w:space="0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3.5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</w:rPr>
              <w:t xml:space="preserve"> (0.69, 18.4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</w:rPr>
              <w:t>)</w:t>
            </w:r>
          </w:p>
        </w:tc>
        <w:tc>
          <w:tcPr>
            <w:tcW w:w="1082" w:type="dxa"/>
            <w:tcBorders>
              <w:top w:val="single" w:color="000000" w:themeColor="text1" w:sz="18" w:space="0"/>
              <w:left w:val="nil"/>
              <w:bottom w:val="nil"/>
              <w:right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MoCA≤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18/507 (3.5%)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7/479 (1.4%)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2.2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</w:rPr>
              <w:t xml:space="preserve"> (0.9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</w:rPr>
              <w:t>, 5.54)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MoCA≤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30/949 (3.16%)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16/924 (1.73%)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Hans" w:bidi="ar"/>
              </w:rPr>
              <w:t>1.93 (1.04, 3.60)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MoCA≤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36/1617 (2.2%)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32/1647 (1.9%)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1.18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(0.7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</w:rPr>
              <w:t>, 1.91)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61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MoCA≤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47/2518 (1.8%)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44/2571 (1.7%)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1.08 (0.7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</w:rPr>
              <w:t>, 1.64)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0.703</w:t>
            </w:r>
          </w:p>
        </w:tc>
      </w:tr>
    </w:tbl>
    <w:p>
      <w:pPr>
        <w:rPr>
          <w:rFonts w:hint="default" w:ascii="Times New Roman Regular" w:hAnsi="Times New Roman Regular" w:eastAsia="等线" w:cs="Times New Roman Regular"/>
          <w:sz w:val="18"/>
          <w:szCs w:val="18"/>
        </w:rPr>
      </w:pPr>
      <w:bookmarkStart w:id="0" w:name="_GoBack"/>
      <w:r>
        <w:rPr>
          <w:rFonts w:hint="default" w:ascii="Times New Roman Regular" w:hAnsi="Times New Roman Regular" w:eastAsia="等线" w:cs="Times New Roman Regular"/>
          <w:sz w:val="18"/>
          <w:szCs w:val="18"/>
        </w:rPr>
        <w:t>#</w:t>
      </w:r>
      <w:r>
        <w:rPr>
          <w:rFonts w:hint="default" w:ascii="Times New Roman Regular" w:hAnsi="Times New Roman Regular" w:eastAsia="等线" w:cs="Times New Roman Regular"/>
          <w:sz w:val="18"/>
          <w:szCs w:val="18"/>
        </w:rPr>
        <w:t xml:space="preserve">To correct for racial differences, 2 points were added to the scores of African-American and Hispanic participants. </w:t>
      </w:r>
      <w:r>
        <w:rPr>
          <w:rFonts w:hint="eastAsia" w:ascii="Times New Roman Regular" w:hAnsi="Times New Roman Regular" w:eastAsia="等线" w:cs="Times New Roman Regular"/>
          <w:sz w:val="18"/>
          <w:szCs w:val="18"/>
        </w:rPr>
        <w:t>To control for educational status, we added 1 point to the MoCA score in patients with &lt;12 years of edu</w:t>
      </w:r>
      <w:r>
        <w:rPr>
          <w:rFonts w:hint="eastAsia" w:ascii="Times New Roman Regular" w:hAnsi="Times New Roman Regular" w:eastAsia="等线" w:cs="Times New Roman Regular"/>
          <w:sz w:val="18"/>
          <w:szCs w:val="18"/>
        </w:rPr>
        <w:t/>
      </w:r>
      <w:r>
        <w:rPr>
          <w:rFonts w:hint="eastAsia" w:ascii="Times New Roman Regular" w:hAnsi="Times New Roman Regular" w:eastAsia="等线" w:cs="Times New Roman Regular"/>
          <w:sz w:val="18"/>
          <w:szCs w:val="18"/>
        </w:rPr>
        <w:t>cation.</w:t>
      </w:r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6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7"/>
        </w:tabs>
        <w:bidi w:val="0"/>
        <w:jc w:val="left"/>
        <w:rPr>
          <w:rFonts w:hint="default"/>
          <w:lang w:val="en-US" w:eastAsia="zh-CN"/>
        </w:rPr>
      </w:pPr>
    </w:p>
    <w:p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S3</w:t>
      </w:r>
      <w:r>
        <w:rPr>
          <w:rFonts w:ascii="Times New Roman" w:hAnsi="Times New Roman" w:cs="Times New Roman"/>
          <w:b/>
          <w:bCs/>
        </w:rPr>
        <w:t>. Baseline characteristics of the study participants according to baseline cognitive function</w:t>
      </w:r>
    </w:p>
    <w:tbl>
      <w:tblPr>
        <w:tblStyle w:val="4"/>
        <w:tblW w:w="0" w:type="auto"/>
        <w:tblInd w:w="0" w:type="dxa"/>
        <w:tblBorders>
          <w:top w:val="single" w:color="000000" w:themeColor="text1" w:sz="18" w:space="0"/>
          <w:left w:val="none" w:color="auto" w:sz="0" w:space="0"/>
          <w:bottom w:val="single" w:color="000000" w:themeColor="text1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903"/>
        <w:gridCol w:w="1919"/>
        <w:gridCol w:w="945"/>
        <w:gridCol w:w="1884"/>
      </w:tblGrid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9" w:hRule="atLeast"/>
        </w:trPr>
        <w:tc>
          <w:tcPr>
            <w:tcW w:w="2834" w:type="dxa"/>
            <w:tcBorders>
              <w:bottom w:val="single" w:color="000000" w:themeColor="text1" w:sz="1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353" w:type="dxa"/>
            <w:tcBorders>
              <w:bottom w:val="single" w:color="000000" w:themeColor="text1" w:sz="18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Higher cognitive function</w:t>
            </w:r>
          </w:p>
        </w:tc>
        <w:tc>
          <w:tcPr>
            <w:tcW w:w="2427" w:type="dxa"/>
            <w:tcBorders>
              <w:bottom w:val="single" w:color="000000" w:themeColor="text1" w:sz="18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Lower cognitive function</w:t>
            </w:r>
          </w:p>
        </w:tc>
        <w:tc>
          <w:tcPr>
            <w:tcW w:w="1133" w:type="dxa"/>
            <w:tcBorders>
              <w:bottom w:val="single" w:color="000000" w:themeColor="text1" w:sz="18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P value</w:t>
            </w:r>
          </w:p>
        </w:tc>
        <w:tc>
          <w:tcPr>
            <w:tcW w:w="2707" w:type="dxa"/>
            <w:tcBorders>
              <w:bottom w:val="single" w:color="000000" w:themeColor="text1" w:sz="18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All participants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op w:val="single" w:color="000000" w:themeColor="text1" w:sz="18" w:space="0"/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N</w:t>
            </w:r>
          </w:p>
        </w:tc>
        <w:tc>
          <w:tcPr>
            <w:tcW w:w="2353" w:type="dxa"/>
            <w:tcBorders>
              <w:top w:val="single" w:color="000000" w:themeColor="text1" w:sz="18" w:space="0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7488</w:t>
            </w:r>
          </w:p>
        </w:tc>
        <w:tc>
          <w:tcPr>
            <w:tcW w:w="2427" w:type="dxa"/>
            <w:tcBorders>
              <w:top w:val="single" w:color="000000" w:themeColor="text1" w:sz="18" w:space="0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1873</w:t>
            </w:r>
          </w:p>
        </w:tc>
        <w:tc>
          <w:tcPr>
            <w:tcW w:w="1133" w:type="dxa"/>
            <w:tcBorders>
              <w:top w:val="single" w:color="000000" w:themeColor="text1" w:sz="18" w:space="0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07" w:type="dxa"/>
            <w:tcBorders>
              <w:top w:val="single" w:color="000000" w:themeColor="text1" w:sz="18" w:space="0"/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9361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MoCA score, median(IQR)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24 (22-27)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17 (15-19)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&lt;0.001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23（20-26）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Age, mean(SD), y 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67.02 (9.11)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71.52 (9.76)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&lt;0.001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67</w:t>
            </w:r>
            <w:r>
              <w:rPr>
                <w:rFonts w:hint="default" w:ascii="Times New Roman" w:hAnsi="Times New Roman" w:cs="Times New Roman"/>
                <w:szCs w:val="21"/>
                <w:lang w:eastAsia="zh-Hans"/>
              </w:rPr>
              <w:t>.92（9.42）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Female, N(%) 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2632 (35.15%)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700 (37.37%)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0.072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3332 (35.59%)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Body mass index, mean(SD)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30.00 (5.82)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29.26 (5.51)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&lt;0.001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29.85（5.77）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Ethnicity, N(%) 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&lt;0.001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Black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2161 (28.86%)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700 (37.37%)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2802 (29.93%) 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No black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5327 (71.14%)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1232 (65.78%)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6559 (70.07%)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Baseline blood pressure, mean(SD)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mm Hg 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Systolic 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139.43 (15.39)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140.63 (16.29)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0.003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139.67（15.58） 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Diastolic 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78.77 (11.79)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75.57 (12.23)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&lt;0.001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78.13（11.94） 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Heart rate, mean(SD), bpm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66.19 (11.51)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66.47 (12.03)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0.350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66.24（11.62） 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Urine ACR, median(IQR),  mg/g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9.30 (5.56-20.36)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10.71 (6.07-27.66)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&lt;0.001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9.51(5.63-21.43)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ind w:left="210" w:leftChars="0" w:hanging="210" w:hangingChars="10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eGFR, median(IQR), mL/min/1.73 m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72.09 (59.13-85.27)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68.08 (54.08-82.05)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&lt;0.001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71.37（58</w:t>
            </w:r>
            <w:r>
              <w:rPr>
                <w:rFonts w:hint="default" w:ascii="Times New Roman" w:hAnsi="Times New Roman" w:cs="Times New Roman"/>
                <w:szCs w:val="21"/>
                <w:lang w:eastAsia="zh-Hans"/>
              </w:rPr>
              <w:t>.11-84.68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ind w:left="210" w:leftChars="0" w:hanging="210" w:hangingChars="10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Fasting total cholesterol, median(IQR), mg/dL 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187.00 (161.00-215.00)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185.00 (159.00-213.00)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0.009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187（161-215）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Fasting HDL cholesterol, mean(SD), mg/dL 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52.72 (14.37)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53.46 (14.83)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0.050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52.87（14.47）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Fasting total triglycerides, median(IQR), mg/dL 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107.00 (77.00-152.00)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104.00 (76.00-142.00)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0.005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107（77-150）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Fasting glucose, mean(SD), mg/dL 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98.92 (13.59)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98.39 (13.37)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0.135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98.81（13.55）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Statin use, N (%) 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3170 (42.63%)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884 (47.81%)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&lt;0.001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4054 (43.66%)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Aspirin use, N (%) 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3770 (50.54%)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986 (52.81%)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0.079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4756 (50.99%)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Smoking status, N(%) </w:t>
            </w:r>
          </w:p>
        </w:tc>
        <w:tc>
          <w:tcPr>
            <w:tcW w:w="2353" w:type="dxa"/>
            <w:tcBorders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427" w:type="dxa"/>
            <w:tcBorders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33" w:type="dxa"/>
            <w:tcBorders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&lt;0.001</w:t>
            </w:r>
          </w:p>
        </w:tc>
        <w:tc>
          <w:tcPr>
            <w:tcW w:w="2707" w:type="dxa"/>
            <w:tcBorders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5" w:hRule="atLeast"/>
        </w:trPr>
        <w:tc>
          <w:tcPr>
            <w:tcW w:w="2834" w:type="dxa"/>
            <w:tcBorders/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Never smoked </w:t>
            </w:r>
          </w:p>
        </w:tc>
        <w:tc>
          <w:tcPr>
            <w:tcW w:w="2353" w:type="dxa"/>
            <w:tcBorders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3217 (42.96%)</w:t>
            </w:r>
          </w:p>
        </w:tc>
        <w:tc>
          <w:tcPr>
            <w:tcW w:w="2427" w:type="dxa"/>
            <w:tcBorders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905 (48.32%)</w:t>
            </w:r>
          </w:p>
        </w:tc>
        <w:tc>
          <w:tcPr>
            <w:tcW w:w="1133" w:type="dxa"/>
            <w:tcBorders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07" w:type="dxa"/>
            <w:tcBorders/>
            <w:vAlign w:val="center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4122 (44.03%) 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Former smoker 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3243 (43.31%)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730 (38.97%)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3973 (42.44%) 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Current smoker 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1009 (13.47%)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231 (12.33%)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1240 (13.25%) 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ind w:firstLine="315" w:firstLineChars="15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Missing data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19 (0.25%)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 (0.37%)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26 (0.28%) 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Frailty index, median(IQR)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0.15 (0.10-0.20)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0.21 (0.16-0.27)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0.16 (0.11-0.22)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Frailty status, N(%)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&lt;0.001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ind w:firstLine="315" w:firstLineChars="15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Fit 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1877 (25.19%)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91 (4.90%)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1968 (21.14%)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ind w:firstLine="315" w:firstLineChars="15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Less fit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3927 (52.70%)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836 (44.97%)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4763 (51.16%)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ind w:firstLine="315" w:firstLineChars="15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Frailty 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1647 (22.10%)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932 (50.13%)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2579 (27.70%)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Previous CVD, N (%)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1391 (18.58%)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486 (25.95%)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&lt;0.001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1877 (20.05%)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Previous CKD, N (%)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1980 (26.44%)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666 (35.56%)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&lt;0.001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2646 (28.27%)</w:t>
            </w:r>
          </w:p>
        </w:tc>
      </w:tr>
      <w:tr>
        <w:tblPrEx>
          <w:tblBorders>
            <w:top w:val="single" w:color="000000" w:themeColor="text1" w:sz="18" w:space="0"/>
            <w:left w:val="none" w:color="auto" w:sz="0" w:space="0"/>
            <w:bottom w:val="single" w:color="000000" w:themeColor="text1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3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Framingham 10-y CVD risk, median (IQR), %</w:t>
            </w:r>
          </w:p>
        </w:tc>
        <w:tc>
          <w:tcPr>
            <w:tcW w:w="235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17.17 (11.75-24.98)</w:t>
            </w:r>
          </w:p>
        </w:tc>
        <w:tc>
          <w:tcPr>
            <w:tcW w:w="242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19.85 (13.30-29.17)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&lt;0.001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17.761 (11.987-25.673)</w:t>
            </w:r>
          </w:p>
        </w:tc>
      </w:tr>
    </w:tbl>
    <w:p>
      <w:pPr>
        <w:spacing w:line="480" w:lineRule="auto"/>
        <w:rPr>
          <w:rFonts w:ascii="Times New Roman" w:hAnsi="Times New Roman" w:eastAsia="宋体" w:cs="Times New Roman"/>
          <w:szCs w:val="21"/>
          <w:lang w:bidi="ar"/>
        </w:rPr>
      </w:pPr>
      <w:r>
        <w:rPr>
          <w:rFonts w:hint="eastAsia" w:ascii="Times New Roman" w:hAnsi="Times New Roman" w:cs="Times New Roman"/>
          <w:szCs w:val="21"/>
        </w:rPr>
        <w:t>e</w:t>
      </w:r>
      <w:r>
        <w:rPr>
          <w:rFonts w:ascii="Times New Roman" w:hAnsi="Times New Roman" w:cs="Times New Roman"/>
          <w:szCs w:val="21"/>
        </w:rPr>
        <w:t xml:space="preserve">GFR: </w:t>
      </w:r>
      <w:r>
        <w:rPr>
          <w:rFonts w:hint="eastAsia" w:ascii="Times New Roman" w:hAnsi="Times New Roman" w:cs="Times New Roman"/>
          <w:szCs w:val="21"/>
        </w:rPr>
        <w:t xml:space="preserve">estimated </w:t>
      </w:r>
      <w:r>
        <w:rPr>
          <w:rFonts w:ascii="Times New Roman" w:hAnsi="Times New Roman" w:cs="Times New Roman"/>
          <w:szCs w:val="21"/>
        </w:rPr>
        <w:t xml:space="preserve">glomerular filtration rate; HDL: high-density lipoprotein; BMI: body mass index; ACR: albumin creatinine ratio; CVD: cardiovascular diseases; </w:t>
      </w:r>
      <w:r>
        <w:rPr>
          <w:rFonts w:ascii="Times New Roman" w:hAnsi="Times New Roman" w:eastAsia="宋体" w:cs="Times New Roman"/>
          <w:szCs w:val="21"/>
          <w:lang w:bidi="ar"/>
        </w:rPr>
        <w:t>HIGHER_CF: higher cognitive function; LOWER_CF: lower cognitive function</w:t>
      </w:r>
      <w:r>
        <w:rPr>
          <w:rFonts w:hint="eastAsia" w:ascii="Times New Roman" w:hAnsi="Times New Roman" w:eastAsia="宋体" w:cs="Times New Roman"/>
          <w:szCs w:val="21"/>
          <w:lang w:bidi="ar"/>
        </w:rPr>
        <w:t>; IQR: interquartile range.</w:t>
      </w:r>
    </w:p>
    <w:p>
      <w:pPr>
        <w:tabs>
          <w:tab w:val="left" w:pos="667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47DE"/>
    <w:rsid w:val="1EE77308"/>
    <w:rsid w:val="3EEB6ED6"/>
    <w:rsid w:val="53FE9F21"/>
    <w:rsid w:val="5908031D"/>
    <w:rsid w:val="744C20A7"/>
    <w:rsid w:val="76FC0C12"/>
    <w:rsid w:val="78934524"/>
    <w:rsid w:val="7E555ABE"/>
    <w:rsid w:val="7FFF47DE"/>
    <w:rsid w:val="E7972FB0"/>
    <w:rsid w:val="F6EFE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2021-10-27T14:40:00Z</dcterms:created>
  <dc:creator>chinajsyjf</dc:creator>
  <cp:lastModifiedBy>chinajsyjf</cp:lastModifiedBy>
  <dcterms:modified xsi:type="dcterms:W3CDTF">2021-10-30T23:38:47Z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  <property fmtid="{D5CDD505-2E9C-101B-9397-08002B2CF9AE}" pid="3" name="ICV">
    <vt:lpwstr>A1AF657DA87D4BA2A4E6A52CD9CF1080</vt:lpwstr>
  </property>
</Properties>
</file>