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146AC" w14:textId="77777777" w:rsidR="004130A9" w:rsidRPr="00F73405" w:rsidRDefault="004130A9" w:rsidP="004130A9">
      <w:pPr>
        <w:spacing w:line="240" w:lineRule="auto"/>
        <w:jc w:val="both"/>
        <w:rPr>
          <w:rFonts w:ascii="Times New Roman" w:hAnsi="Times New Roman" w:cs="Times New Roman"/>
          <w:b/>
          <w:bCs/>
          <w:sz w:val="24"/>
          <w:szCs w:val="24"/>
        </w:rPr>
      </w:pPr>
      <w:r w:rsidRPr="00F73405">
        <w:rPr>
          <w:rFonts w:ascii="Times New Roman" w:hAnsi="Times New Roman" w:cs="Times New Roman"/>
          <w:b/>
          <w:bCs/>
          <w:sz w:val="24"/>
          <w:szCs w:val="24"/>
        </w:rPr>
        <w:t>B. Photoluminescence properties</w:t>
      </w:r>
      <w:r>
        <w:rPr>
          <w:rFonts w:ascii="Times New Roman" w:hAnsi="Times New Roman" w:cs="Times New Roman"/>
          <w:b/>
          <w:bCs/>
          <w:sz w:val="24"/>
          <w:szCs w:val="24"/>
        </w:rPr>
        <w:t xml:space="preserve"> of carbon dots</w:t>
      </w:r>
    </w:p>
    <w:p w14:paraId="298351B1" w14:textId="77777777" w:rsidR="00556614" w:rsidRPr="00F73405" w:rsidRDefault="00556614" w:rsidP="002B4FC9">
      <w:pPr>
        <w:spacing w:line="240" w:lineRule="auto"/>
        <w:ind w:left="720"/>
        <w:jc w:val="both"/>
        <w:rPr>
          <w:rFonts w:ascii="Times New Roman" w:hAnsi="Times New Roman" w:cs="Times New Roman"/>
          <w:b/>
          <w:bCs/>
          <w:i/>
          <w:iCs/>
          <w:sz w:val="24"/>
          <w:szCs w:val="24"/>
        </w:rPr>
      </w:pPr>
      <w:r w:rsidRPr="00F73405">
        <w:rPr>
          <w:rFonts w:ascii="Times New Roman" w:hAnsi="Times New Roman" w:cs="Times New Roman"/>
          <w:b/>
          <w:bCs/>
          <w:i/>
          <w:iCs/>
          <w:sz w:val="24"/>
          <w:szCs w:val="24"/>
        </w:rPr>
        <w:t>B.1. Amine-coated carbon cots (NH2-FCDs)</w:t>
      </w:r>
    </w:p>
    <w:p w14:paraId="2DE1CE91" w14:textId="77777777" w:rsidR="00556614" w:rsidRPr="00F73405" w:rsidRDefault="00556614" w:rsidP="002B4FC9">
      <w:pPr>
        <w:spacing w:line="240" w:lineRule="auto"/>
        <w:ind w:left="720"/>
        <w:jc w:val="both"/>
        <w:rPr>
          <w:rFonts w:ascii="Times New Roman" w:hAnsi="Times New Roman" w:cs="Times New Roman"/>
          <w:sz w:val="24"/>
          <w:szCs w:val="24"/>
        </w:rPr>
      </w:pPr>
      <w:bookmarkStart w:id="0" w:name="_Hlk76470299"/>
      <w:r w:rsidRPr="00F73405">
        <w:rPr>
          <w:rFonts w:ascii="Times New Roman" w:hAnsi="Times New Roman" w:cs="Times New Roman"/>
          <w:sz w:val="24"/>
          <w:szCs w:val="24"/>
        </w:rPr>
        <w:t xml:space="preserve">The photoluminescence spectrum of amine coated carbon dots (NH2-FCDs) showed an absorbance profile maximum of 280 nm and the fluorescence emission profile showed large emission band at 455 nm when excited at 335 nm (Figure </w:t>
      </w:r>
      <w:r>
        <w:rPr>
          <w:rFonts w:ascii="Times New Roman" w:hAnsi="Times New Roman" w:cs="Times New Roman"/>
          <w:sz w:val="24"/>
          <w:szCs w:val="24"/>
        </w:rPr>
        <w:t>S</w:t>
      </w:r>
      <w:r w:rsidRPr="00F73405">
        <w:rPr>
          <w:rFonts w:ascii="Times New Roman" w:hAnsi="Times New Roman" w:cs="Times New Roman"/>
          <w:sz w:val="24"/>
          <w:szCs w:val="24"/>
        </w:rPr>
        <w:t>1)</w:t>
      </w:r>
    </w:p>
    <w:bookmarkEnd w:id="0"/>
    <w:p w14:paraId="4ABE4D4B" w14:textId="77777777" w:rsidR="00556614" w:rsidRPr="00F73405" w:rsidRDefault="00556614" w:rsidP="002B4FC9">
      <w:pPr>
        <w:spacing w:line="240" w:lineRule="auto"/>
        <w:ind w:left="720"/>
        <w:jc w:val="both"/>
        <w:rPr>
          <w:rFonts w:ascii="Times New Roman" w:hAnsi="Times New Roman" w:cs="Times New Roman"/>
          <w:b/>
          <w:bCs/>
          <w:i/>
          <w:iCs/>
          <w:sz w:val="24"/>
          <w:szCs w:val="24"/>
        </w:rPr>
      </w:pPr>
      <w:r w:rsidRPr="00F73405">
        <w:rPr>
          <w:rFonts w:ascii="Times New Roman" w:hAnsi="Times New Roman" w:cs="Times New Roman"/>
          <w:b/>
          <w:bCs/>
          <w:i/>
          <w:iCs/>
          <w:sz w:val="24"/>
          <w:szCs w:val="24"/>
        </w:rPr>
        <w:t>B.2. Carboxylate carbon dots (COOH-FCD)</w:t>
      </w:r>
    </w:p>
    <w:p w14:paraId="01A80E11" w14:textId="77777777" w:rsidR="00556614" w:rsidRPr="00F73405" w:rsidRDefault="00556614" w:rsidP="002B4FC9">
      <w:pPr>
        <w:spacing w:line="240" w:lineRule="auto"/>
        <w:ind w:left="720"/>
        <w:jc w:val="both"/>
        <w:rPr>
          <w:rFonts w:ascii="Times New Roman" w:hAnsi="Times New Roman" w:cs="Times New Roman"/>
          <w:sz w:val="24"/>
          <w:szCs w:val="24"/>
        </w:rPr>
      </w:pPr>
      <w:r w:rsidRPr="00F73405">
        <w:rPr>
          <w:rFonts w:ascii="Times New Roman" w:hAnsi="Times New Roman" w:cs="Times New Roman"/>
          <w:sz w:val="24"/>
          <w:szCs w:val="24"/>
        </w:rPr>
        <w:t xml:space="preserve">The photoluminescence spectrum of carboxylate carbon dots (COOH-FCDs) showed an absorbance profile maximum of 285 nm and the fluorescence emission profile showed large emission band at 470 nm when excited at 335 nm (Figure </w:t>
      </w:r>
      <w:r>
        <w:rPr>
          <w:rFonts w:ascii="Times New Roman" w:hAnsi="Times New Roman" w:cs="Times New Roman"/>
          <w:sz w:val="24"/>
          <w:szCs w:val="24"/>
        </w:rPr>
        <w:t>S</w:t>
      </w:r>
      <w:r w:rsidRPr="00F73405">
        <w:rPr>
          <w:rFonts w:ascii="Times New Roman" w:hAnsi="Times New Roman" w:cs="Times New Roman"/>
          <w:sz w:val="24"/>
          <w:szCs w:val="24"/>
        </w:rPr>
        <w:t>2)</w:t>
      </w:r>
    </w:p>
    <w:p w14:paraId="27305128" w14:textId="77777777" w:rsidR="00556614" w:rsidRPr="00F73405" w:rsidRDefault="00556614" w:rsidP="002B4FC9">
      <w:pPr>
        <w:spacing w:line="240" w:lineRule="auto"/>
        <w:ind w:left="720"/>
        <w:jc w:val="both"/>
        <w:rPr>
          <w:rFonts w:ascii="Times New Roman" w:hAnsi="Times New Roman" w:cs="Times New Roman"/>
          <w:b/>
          <w:bCs/>
          <w:i/>
          <w:iCs/>
          <w:sz w:val="24"/>
          <w:szCs w:val="24"/>
        </w:rPr>
      </w:pPr>
      <w:r w:rsidRPr="00F73405">
        <w:rPr>
          <w:rFonts w:ascii="Times New Roman" w:hAnsi="Times New Roman" w:cs="Times New Roman"/>
          <w:b/>
          <w:bCs/>
          <w:i/>
          <w:iCs/>
          <w:sz w:val="24"/>
          <w:szCs w:val="24"/>
        </w:rPr>
        <w:t>B.3. L-Arginine and glucose</w:t>
      </w:r>
    </w:p>
    <w:p w14:paraId="03A6411B" w14:textId="77777777" w:rsidR="00556614" w:rsidRPr="00F73405" w:rsidRDefault="00556614" w:rsidP="002B4FC9">
      <w:pPr>
        <w:spacing w:line="240" w:lineRule="auto"/>
        <w:ind w:left="720"/>
        <w:jc w:val="both"/>
        <w:rPr>
          <w:rFonts w:ascii="Times New Roman" w:hAnsi="Times New Roman" w:cs="Times New Roman"/>
          <w:sz w:val="24"/>
          <w:szCs w:val="24"/>
        </w:rPr>
      </w:pPr>
      <w:r w:rsidRPr="00F73405">
        <w:rPr>
          <w:rFonts w:ascii="Times New Roman" w:hAnsi="Times New Roman" w:cs="Times New Roman"/>
          <w:sz w:val="24"/>
          <w:szCs w:val="24"/>
        </w:rPr>
        <w:t xml:space="preserve">The photoluminescence spectrum of carbon dots synthesized from L-arginine and glucose (N-CDs) showed an absorbance profile maximum of 280 nm and the fluorescence emission profile showed large emission band at 460 nm when excited at 335 nm (Figure </w:t>
      </w:r>
      <w:r>
        <w:rPr>
          <w:rFonts w:ascii="Times New Roman" w:hAnsi="Times New Roman" w:cs="Times New Roman"/>
          <w:sz w:val="24"/>
          <w:szCs w:val="24"/>
        </w:rPr>
        <w:t>S</w:t>
      </w:r>
      <w:r w:rsidRPr="00F73405">
        <w:rPr>
          <w:rFonts w:ascii="Times New Roman" w:hAnsi="Times New Roman" w:cs="Times New Roman"/>
          <w:sz w:val="24"/>
          <w:szCs w:val="24"/>
        </w:rPr>
        <w:t>3)</w:t>
      </w:r>
    </w:p>
    <w:p w14:paraId="1C1C520F" w14:textId="77777777" w:rsidR="00556614" w:rsidRPr="00F73405" w:rsidRDefault="00556614" w:rsidP="002B4FC9">
      <w:pPr>
        <w:spacing w:line="240" w:lineRule="auto"/>
        <w:ind w:left="720"/>
        <w:jc w:val="both"/>
        <w:rPr>
          <w:rFonts w:ascii="Times New Roman" w:hAnsi="Times New Roman" w:cs="Times New Roman"/>
          <w:b/>
          <w:bCs/>
          <w:i/>
          <w:iCs/>
          <w:sz w:val="24"/>
          <w:szCs w:val="24"/>
        </w:rPr>
      </w:pPr>
      <w:r w:rsidRPr="00F73405">
        <w:rPr>
          <w:rFonts w:ascii="Times New Roman" w:hAnsi="Times New Roman" w:cs="Times New Roman"/>
          <w:b/>
          <w:bCs/>
          <w:i/>
          <w:iCs/>
          <w:sz w:val="24"/>
          <w:szCs w:val="24"/>
        </w:rPr>
        <w:t>B.4. Citric acid and polyethyleneimine</w:t>
      </w:r>
    </w:p>
    <w:p w14:paraId="0584CFD9" w14:textId="12A54C01" w:rsidR="00556614" w:rsidRDefault="00556614" w:rsidP="002B4FC9">
      <w:pPr>
        <w:spacing w:line="240" w:lineRule="auto"/>
        <w:ind w:left="720"/>
        <w:jc w:val="both"/>
        <w:rPr>
          <w:rFonts w:ascii="Times New Roman" w:hAnsi="Times New Roman" w:cs="Times New Roman"/>
          <w:sz w:val="24"/>
          <w:szCs w:val="24"/>
        </w:rPr>
      </w:pPr>
      <w:r w:rsidRPr="00F73405">
        <w:rPr>
          <w:rFonts w:ascii="Times New Roman" w:hAnsi="Times New Roman" w:cs="Times New Roman"/>
          <w:sz w:val="24"/>
          <w:szCs w:val="24"/>
        </w:rPr>
        <w:t xml:space="preserve">The photoluminescence spectrum of carbon dots synthesized from citric acid and PEI showed an absorbance profile maximum of 280 nm and the fluorescence emission profile showed large emission band at 450 nm when excited at 335 nm (Figure </w:t>
      </w:r>
      <w:r>
        <w:rPr>
          <w:rFonts w:ascii="Times New Roman" w:hAnsi="Times New Roman" w:cs="Times New Roman"/>
          <w:sz w:val="24"/>
          <w:szCs w:val="24"/>
        </w:rPr>
        <w:t>S</w:t>
      </w:r>
      <w:r w:rsidRPr="00F73405">
        <w:rPr>
          <w:rFonts w:ascii="Times New Roman" w:hAnsi="Times New Roman" w:cs="Times New Roman"/>
          <w:sz w:val="24"/>
          <w:szCs w:val="24"/>
        </w:rPr>
        <w:t>4)</w:t>
      </w:r>
    </w:p>
    <w:p w14:paraId="3748F269" w14:textId="77777777" w:rsidR="00F46FC6" w:rsidRPr="00F73405" w:rsidRDefault="00F46FC6" w:rsidP="00F46FC6">
      <w:pPr>
        <w:spacing w:line="240" w:lineRule="auto"/>
        <w:jc w:val="both"/>
        <w:rPr>
          <w:rFonts w:ascii="Times New Roman" w:hAnsi="Times New Roman" w:cs="Times New Roman"/>
          <w:b/>
          <w:bCs/>
          <w:sz w:val="24"/>
          <w:szCs w:val="24"/>
        </w:rPr>
      </w:pPr>
      <w:r w:rsidRPr="00F73405">
        <w:rPr>
          <w:rFonts w:ascii="Times New Roman" w:hAnsi="Times New Roman" w:cs="Times New Roman"/>
          <w:b/>
          <w:bCs/>
          <w:sz w:val="24"/>
          <w:szCs w:val="24"/>
        </w:rPr>
        <w:t>C. Zeta potential of synthesized CDs</w:t>
      </w:r>
    </w:p>
    <w:p w14:paraId="7FC304D5" w14:textId="77777777" w:rsidR="00F46FC6" w:rsidRPr="00F73405" w:rsidRDefault="00F46FC6" w:rsidP="002B4FC9">
      <w:pPr>
        <w:spacing w:line="240" w:lineRule="auto"/>
        <w:ind w:left="720"/>
        <w:jc w:val="both"/>
        <w:rPr>
          <w:rFonts w:ascii="Times New Roman" w:hAnsi="Times New Roman" w:cs="Times New Roman"/>
          <w:b/>
          <w:bCs/>
          <w:i/>
          <w:iCs/>
          <w:sz w:val="24"/>
          <w:szCs w:val="24"/>
        </w:rPr>
      </w:pPr>
      <w:bookmarkStart w:id="1" w:name="_Hlk76469998"/>
      <w:bookmarkStart w:id="2" w:name="_GoBack"/>
      <w:r w:rsidRPr="00F73405">
        <w:rPr>
          <w:rFonts w:ascii="Times New Roman" w:hAnsi="Times New Roman" w:cs="Times New Roman"/>
          <w:b/>
          <w:bCs/>
          <w:i/>
          <w:iCs/>
          <w:sz w:val="24"/>
          <w:szCs w:val="24"/>
        </w:rPr>
        <w:t>C.1. Amine-coated carbon cots (NH2-FCDs)</w:t>
      </w:r>
    </w:p>
    <w:p w14:paraId="779D6174" w14:textId="77777777" w:rsidR="00F46FC6" w:rsidRPr="00F73405" w:rsidRDefault="00F46FC6" w:rsidP="002B4FC9">
      <w:pPr>
        <w:spacing w:line="240" w:lineRule="auto"/>
        <w:ind w:left="720"/>
        <w:jc w:val="both"/>
        <w:rPr>
          <w:rFonts w:ascii="Times New Roman" w:hAnsi="Times New Roman" w:cs="Times New Roman"/>
          <w:b/>
          <w:bCs/>
          <w:sz w:val="24"/>
          <w:szCs w:val="24"/>
        </w:rPr>
      </w:pPr>
      <w:r w:rsidRPr="00F73405">
        <w:rPr>
          <w:rFonts w:ascii="Times New Roman" w:hAnsi="Times New Roman" w:cs="Times New Roman"/>
          <w:sz w:val="24"/>
          <w:szCs w:val="24"/>
        </w:rPr>
        <w:t>The zeta</w:t>
      </w:r>
      <w:r>
        <w:rPr>
          <w:rFonts w:ascii="Times New Roman" w:hAnsi="Times New Roman" w:cs="Times New Roman"/>
          <w:sz w:val="24"/>
          <w:szCs w:val="24"/>
        </w:rPr>
        <w:t xml:space="preserve"> </w:t>
      </w:r>
      <w:r w:rsidRPr="00F73405">
        <w:rPr>
          <w:rFonts w:ascii="Times New Roman" w:hAnsi="Times New Roman" w:cs="Times New Roman"/>
          <w:sz w:val="24"/>
          <w:szCs w:val="24"/>
        </w:rPr>
        <w:t xml:space="preserve">potential value of NH2-FCDs was found to be (10.50± 0.3) mV. The positive charge is the result of primary amines derived from TTDA linker </w:t>
      </w:r>
      <w:r w:rsidRPr="00F7340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{"citationItems":[{"id":"ITEM-1","itemData":{"DOI":"10.1039/c6nr07336k","ISSN":"20403372","PMID":"27801469","abstract":"A one-pot, three-minute, gram-scale synthesis of novel sp3-nanocrystalline, water-soluble, and fluorescent carbon dots (FCDs), from simple and cheap sugar starting materials is described. Mechanism studies showed that NH2-FCD formation proceeds via a crucial imine intermediate derived from reaction between a sugar hemiacetal and an amine. Moreover, we successfully demonstrate the utility of lactose functionalized FCDots (Lac-FCDots) as non-toxic fluorescent intracellular delivery vehicles.","author":[{"dropping-particle":"","family":"Hill","given":"Stephen A.","non-dropping-particle":"","parse-names":false,"suffix":""},{"dropping-particle":"","family":"Benito-Alifonso","given":"David","non-dropping-particle":"","parse-names":false,"suffix":""},{"dropping-particle":"","family":"Morgan","given":"David J.","non-dropping-particle":"","parse-names":false,"suffix":""},{"dropping-particle":"","family":"Davis","given":"Sean A.","non-dropping-particle":"","parse-names":false,"suffix":""},{"dropping-particle":"","family":"Berry","given":"Monica","non-dropping-particle":"","parse-names":false,"suffix":""},{"dropping-particle":"","family":"Galan","given":"M. Carmen","non-dropping-particle":"","parse-names":false,"suffix":""}],"container-title":"Nanoscale","id":"ITEM-1","issue":"44","issued":{"date-parts":[["2016"]]},"page":"18630-18634","publisher":"Royal Society of Chemistry","title":"Three-minute synthesis of sp3 nanocrystalline carbon dots as non-toxic fluorescent platforms for intracellular delivery","type":"article-journal","volume":"8"},"uris":["http://www.mendeley.com/documents/?uuid=2c6c870b-96c6-4305-8c08-7483cca782fd","http://www.mendeley.com/documents/?uuid=9de74e97-6edd-4aee-9017-96741c0e326b","http://www.mendeley.com/documents/?uuid=feb75f3b-272c-40af-9179-5466ddf4055a","http://www.mendeley.com/documents/?uuid=383bc12d-9d0d-4c23-81aa-af7938ee4473"]}],"mendeley":{"formattedCitation":"&lt;span style=\"baseline\"&gt;[36]&lt;/span&gt;","plainTextFormattedCitation":"[36]","previouslyFormattedCitation":"&lt;span style=\"baseline\"&gt;[36]&lt;/span&gt;"},"properties":{"noteIndex":0},"schema":"https://github.com/citation-style-language/schema/raw/master/csl-citation.json"}</w:instrText>
      </w:r>
      <w:r w:rsidRPr="00F73405">
        <w:rPr>
          <w:rFonts w:ascii="Times New Roman" w:hAnsi="Times New Roman" w:cs="Times New Roman"/>
          <w:sz w:val="24"/>
          <w:szCs w:val="24"/>
        </w:rPr>
        <w:fldChar w:fldCharType="separate"/>
      </w:r>
      <w:r w:rsidRPr="005915CD">
        <w:rPr>
          <w:rFonts w:ascii="Times New Roman" w:hAnsi="Times New Roman" w:cs="Times New Roman"/>
          <w:noProof/>
          <w:sz w:val="24"/>
          <w:szCs w:val="24"/>
        </w:rPr>
        <w:t>[36]</w:t>
      </w:r>
      <w:r w:rsidRPr="00F73405">
        <w:rPr>
          <w:rFonts w:ascii="Times New Roman" w:hAnsi="Times New Roman" w:cs="Times New Roman"/>
          <w:sz w:val="24"/>
          <w:szCs w:val="24"/>
        </w:rPr>
        <w:fldChar w:fldCharType="end"/>
      </w:r>
      <w:r w:rsidRPr="00F73405">
        <w:rPr>
          <w:rFonts w:ascii="Times New Roman" w:hAnsi="Times New Roman" w:cs="Times New Roman"/>
          <w:sz w:val="24"/>
          <w:szCs w:val="24"/>
        </w:rPr>
        <w:t xml:space="preserve">. There was no particle coagulation observed which suggests the stabilization of NH2-FCDs by linker steric effects </w:t>
      </w:r>
      <w:r w:rsidRPr="00F7340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{"citationItems":[{"id":"ITEM-1","itemData":{"DOI":"10.1039/c6nr07336k","ISSN":"20403372","PMID":"27801469","abstract":"A one-pot, three-minute, gram-scale synthesis of novel sp3-nanocrystalline, water-soluble, and fluorescent carbon dots (FCDs), from simple and cheap sugar starting materials is described. Mechanism studies showed that NH2-FCD formation proceeds via a crucial imine intermediate derived from reaction between a sugar hemiacetal and an amine. Moreover, we successfully demonstrate the utility of lactose functionalized FCDots (Lac-FCDots) as non-toxic fluorescent intracellular delivery vehicles.","author":[{"dropping-particle":"","family":"Hill","given":"Stephen A.","non-dropping-particle":"","parse-names":false,"suffix":""},{"dropping-particle":"","family":"Benito-Alifonso","given":"David","non-dropping-particle":"","parse-names":false,"suffix":""},{"dropping-particle":"","family":"Morgan","given":"David J.","non-dropping-particle":"","parse-names":false,"suffix":""},{"dropping-particle":"","family":"Davis","given":"Sean A.","non-dropping-particle":"","parse-names":false,"suffix":""},{"dropping-particle":"","family":"Berry","given":"Monica","non-dropping-particle":"","parse-names":false,"suffix":""},{"dropping-particle":"","family":"Galan","given":"M. Carmen","non-dropping-particle":"","parse-names":false,"suffix":""}],"container-title":"Nanoscale","id":"ITEM-1","issue":"44","issued":{"date-parts":[["2016"]]},"page":"18630-18634","publisher":"Royal Society of Chemistry","title":"Three-minute synthesis of sp3 nanocrystalline carbon dots as non-toxic fluorescent platforms for intracellular delivery","type":"article-journal","volume":"8"},"uris":["http://www.mendeley.com/documents/?uuid=2c6c870b-96c6-4305-8c08-7483cca782fd","http://www.mendeley.com/documents/?uuid=9de74e97-6edd-4aee-9017-96741c0e326b","http://www.mendeley.com/documents/?uuid=feb75f3b-272c-40af-9179-5466ddf4055a","http://www.mendeley.com/documents/?uuid=383bc12d-9d0d-4c23-81aa-af7938ee4473"]}],"mendeley":{"formattedCitation":"&lt;span style=\"baseline\"&gt;[36]&lt;/span&gt;","plainTextFormattedCitation":"[36]","previouslyFormattedCitation":"&lt;span style=\"baseline\"&gt;[36]&lt;/span&gt;"},"properties":{"noteIndex":0},"schema":"https://github.com/citation-style-language/schema/raw/master/csl-citation.json"}</w:instrText>
      </w:r>
      <w:r w:rsidRPr="00F73405">
        <w:rPr>
          <w:rFonts w:ascii="Times New Roman" w:hAnsi="Times New Roman" w:cs="Times New Roman"/>
          <w:sz w:val="24"/>
          <w:szCs w:val="24"/>
        </w:rPr>
        <w:fldChar w:fldCharType="separate"/>
      </w:r>
      <w:r w:rsidRPr="005915CD">
        <w:rPr>
          <w:rFonts w:ascii="Times New Roman" w:hAnsi="Times New Roman" w:cs="Times New Roman"/>
          <w:noProof/>
          <w:sz w:val="24"/>
          <w:szCs w:val="24"/>
        </w:rPr>
        <w:t>[36]</w:t>
      </w:r>
      <w:r w:rsidRPr="00F73405">
        <w:rPr>
          <w:rFonts w:ascii="Times New Roman" w:hAnsi="Times New Roman" w:cs="Times New Roman"/>
          <w:sz w:val="24"/>
          <w:szCs w:val="24"/>
        </w:rPr>
        <w:fldChar w:fldCharType="end"/>
      </w:r>
      <w:r w:rsidRPr="00F73405">
        <w:rPr>
          <w:rFonts w:ascii="Times New Roman" w:hAnsi="Times New Roman" w:cs="Times New Roman"/>
          <w:sz w:val="24"/>
          <w:szCs w:val="24"/>
        </w:rPr>
        <w:t xml:space="preserve"> (Figure </w:t>
      </w:r>
      <w:r>
        <w:rPr>
          <w:rFonts w:ascii="Times New Roman" w:hAnsi="Times New Roman" w:cs="Times New Roman"/>
          <w:sz w:val="24"/>
          <w:szCs w:val="24"/>
        </w:rPr>
        <w:t>S</w:t>
      </w:r>
      <w:r w:rsidRPr="00F73405">
        <w:rPr>
          <w:rFonts w:ascii="Times New Roman" w:hAnsi="Times New Roman" w:cs="Times New Roman"/>
          <w:sz w:val="24"/>
          <w:szCs w:val="24"/>
        </w:rPr>
        <w:t>1)</w:t>
      </w:r>
    </w:p>
    <w:p w14:paraId="6BB08591" w14:textId="77777777" w:rsidR="00F46FC6" w:rsidRPr="00F73405" w:rsidRDefault="00F46FC6" w:rsidP="002B4FC9">
      <w:pPr>
        <w:spacing w:line="240" w:lineRule="auto"/>
        <w:ind w:left="720"/>
        <w:jc w:val="both"/>
        <w:rPr>
          <w:rFonts w:ascii="Times New Roman" w:hAnsi="Times New Roman" w:cs="Times New Roman"/>
          <w:b/>
          <w:bCs/>
          <w:i/>
          <w:iCs/>
          <w:sz w:val="24"/>
          <w:szCs w:val="24"/>
        </w:rPr>
      </w:pPr>
      <w:r w:rsidRPr="00F73405">
        <w:rPr>
          <w:rFonts w:ascii="Times New Roman" w:hAnsi="Times New Roman" w:cs="Times New Roman"/>
          <w:b/>
          <w:bCs/>
          <w:i/>
          <w:iCs/>
          <w:sz w:val="24"/>
          <w:szCs w:val="24"/>
        </w:rPr>
        <w:t>C.2 Carboxylate carbon dots (COOH-FCD)</w:t>
      </w:r>
    </w:p>
    <w:p w14:paraId="6E00F133" w14:textId="77777777" w:rsidR="00F46FC6" w:rsidRPr="00F73405" w:rsidRDefault="00F46FC6" w:rsidP="002B4FC9">
      <w:pPr>
        <w:spacing w:line="240" w:lineRule="auto"/>
        <w:ind w:left="720"/>
        <w:jc w:val="both"/>
        <w:rPr>
          <w:rFonts w:ascii="Times New Roman" w:hAnsi="Times New Roman" w:cs="Times New Roman"/>
          <w:b/>
          <w:bCs/>
          <w:sz w:val="24"/>
          <w:szCs w:val="24"/>
        </w:rPr>
      </w:pPr>
      <w:bookmarkStart w:id="3" w:name="_Hlk73043793"/>
      <w:r w:rsidRPr="00F73405">
        <w:rPr>
          <w:rFonts w:ascii="Times New Roman" w:hAnsi="Times New Roman" w:cs="Times New Roman"/>
          <w:sz w:val="24"/>
          <w:szCs w:val="24"/>
        </w:rPr>
        <w:t>The zeta</w:t>
      </w:r>
      <w:r>
        <w:rPr>
          <w:rFonts w:ascii="Times New Roman" w:hAnsi="Times New Roman" w:cs="Times New Roman"/>
          <w:sz w:val="24"/>
          <w:szCs w:val="24"/>
        </w:rPr>
        <w:t xml:space="preserve"> </w:t>
      </w:r>
      <w:r w:rsidRPr="00F73405">
        <w:rPr>
          <w:rFonts w:ascii="Times New Roman" w:hAnsi="Times New Roman" w:cs="Times New Roman"/>
          <w:sz w:val="24"/>
          <w:szCs w:val="24"/>
        </w:rPr>
        <w:t xml:space="preserve">potential value of COOH-FCDs was found to be (-14.1±5.63) mV. The obtained negative values could be attributed to the increased number of carboxylic acids on the surface. (Figure </w:t>
      </w:r>
      <w:r>
        <w:rPr>
          <w:rFonts w:ascii="Times New Roman" w:hAnsi="Times New Roman" w:cs="Times New Roman"/>
          <w:sz w:val="24"/>
          <w:szCs w:val="24"/>
        </w:rPr>
        <w:t>S</w:t>
      </w:r>
      <w:r w:rsidRPr="00F73405">
        <w:rPr>
          <w:rFonts w:ascii="Times New Roman" w:hAnsi="Times New Roman" w:cs="Times New Roman"/>
          <w:sz w:val="24"/>
          <w:szCs w:val="24"/>
        </w:rPr>
        <w:t>2)</w:t>
      </w:r>
    </w:p>
    <w:bookmarkEnd w:id="3"/>
    <w:p w14:paraId="35323687" w14:textId="77777777" w:rsidR="00F46FC6" w:rsidRPr="00F73405" w:rsidRDefault="00F46FC6" w:rsidP="002B4FC9">
      <w:pPr>
        <w:spacing w:line="240" w:lineRule="auto"/>
        <w:ind w:left="720"/>
        <w:jc w:val="both"/>
        <w:rPr>
          <w:rFonts w:ascii="Times New Roman" w:hAnsi="Times New Roman" w:cs="Times New Roman"/>
          <w:b/>
          <w:bCs/>
          <w:i/>
          <w:iCs/>
          <w:sz w:val="24"/>
          <w:szCs w:val="24"/>
        </w:rPr>
      </w:pPr>
      <w:r w:rsidRPr="00F73405">
        <w:rPr>
          <w:rFonts w:ascii="Times New Roman" w:hAnsi="Times New Roman" w:cs="Times New Roman"/>
          <w:b/>
          <w:bCs/>
          <w:i/>
          <w:iCs/>
          <w:sz w:val="24"/>
          <w:szCs w:val="24"/>
        </w:rPr>
        <w:t>C.3 L-Arginine and glucose</w:t>
      </w:r>
    </w:p>
    <w:p w14:paraId="62629C67" w14:textId="77777777" w:rsidR="00F46FC6" w:rsidRPr="00F73405" w:rsidRDefault="00F46FC6" w:rsidP="002B4FC9">
      <w:pPr>
        <w:spacing w:line="240" w:lineRule="auto"/>
        <w:ind w:left="720"/>
        <w:jc w:val="both"/>
        <w:rPr>
          <w:rFonts w:ascii="Times New Roman" w:hAnsi="Times New Roman" w:cs="Times New Roman"/>
          <w:sz w:val="24"/>
          <w:szCs w:val="24"/>
        </w:rPr>
      </w:pPr>
      <w:r w:rsidRPr="00F73405">
        <w:rPr>
          <w:rFonts w:ascii="Times New Roman" w:hAnsi="Times New Roman" w:cs="Times New Roman"/>
          <w:sz w:val="24"/>
          <w:szCs w:val="24"/>
        </w:rPr>
        <w:t>The zeta</w:t>
      </w:r>
      <w:r>
        <w:rPr>
          <w:rFonts w:ascii="Times New Roman" w:hAnsi="Times New Roman" w:cs="Times New Roman"/>
          <w:sz w:val="24"/>
          <w:szCs w:val="24"/>
        </w:rPr>
        <w:t xml:space="preserve"> </w:t>
      </w:r>
      <w:r w:rsidRPr="00F73405">
        <w:rPr>
          <w:rFonts w:ascii="Times New Roman" w:hAnsi="Times New Roman" w:cs="Times New Roman"/>
          <w:sz w:val="24"/>
          <w:szCs w:val="24"/>
        </w:rPr>
        <w:t xml:space="preserve">potential value of N-CDs was found to be (-11.2±2.6) mV. The obtained negative values could be attributed to the deprotonation of -COOH groups of the reaction mixture </w:t>
      </w:r>
      <w:r w:rsidRPr="00F7340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{"citationItems":[{"id":"ITEM-1","itemData":{"DOI":"10.3390/c6030058","ISSN":"2311-5629","abstract":"Nitrogen (N)-doped arginine carbon dots (Arg CD) were successfully synthesized using arginine as the amine source and citric acid as the carbon source via a one-pot green synthesis microwave-assisted technique in 2 min. Ag and Cu nanoparticles (NP) were generated within N-doped Arg CDs as composite Arg-Ag CDs and Arg-Cu CDs to render enhanced antibacterial properties. TEM analysis revealed that Arg CDs are in graphitic structures with d spacing ranging from 0.5 nm to 10 nm. The minimum inhibition concentration (MIC) values of Arg CDs with 6.250 mg/mL were decreased by about 100-fold for Arg-Ag CDs and ten-fold for Arg-Cu CDs with 0.062 and 0.625 mg/mL MIC values against Staphylococcus aureus (S. aureus). The highest antibacterial susceptibility was observed for the Arg-Ag CD composite with 0.125 and 0.312 mg/mL minimum bactericidal concentration (MBC) values against Gram negative S. aureus and Gram positive Escherichia coli (E. coli) bacteria strains, respectively. It was found that the metal NPs within Arg CDs significantly increased the antibacterial properties of CDs making them available in the treatment of infections caused by different bacterial species. Furthermore, Arg-Ag CD and Arg-Cu CD composites were tested for Acetylcholinesterase (AChE, E.C. 3.1.1.7) that break down acetylcholine (ACh) into choline and acetic acid leading to the loss of ACh which plays an essential role as neurotransmitter in Alzheimer disease. It was found that Arg-Cu CDs inhibited 74.9 ± 0.8% and Arg-Ag CDs inhibited 52.1 ± 3.8% of AChE at a 1.82 mg/mL concentration versus no inhibition for Arg-CD. Moreover, the chelating activity of Arg-Cu CDs and Arg-Ag CDs were tested for Fe(II) and it was found that almost 100% chelating was attained at 116 μg composites versus no measurable chelation for bare Arg CDs, suggesting the potential neurodegenerative disease treatment properties of these composite CDs in the brain.","author":[{"dropping-particle":"","family":"Suner","given":"Selin S.","non-dropping-particle":"","parse-names":false,"suffix":""},{"dropping-particle":"","family":"Sahiner","given":"Mehtap","non-dropping-particle":"","parse-names":false,"suffix":""},{"dropping-particle":"","family":"Ayyala","given":"Ramesh S.","non-dropping-particle":"","parse-names":false,"suffix":""},{"dropping-particle":"","family":"Bhethanabotla","given":"Venkat R.","non-dropping-particle":"","parse-names":false,"suffix":""},{"dropping-particle":"","family":"Sahiner","given":"Nurettin","non-dropping-particle":"","parse-names":false,"suffix":""}],"container-title":"C—Journal of Carbon Research","id":"ITEM-1","issue":"3","issued":{"date-parts":[["2020"]]},"page":"58","title":"Nitrogen-Doped Arginine Carbon Dots and Its Metal Nanoparticle Composites as Antibacterial Agent","type":"article-journal","volume":"6"},"uris":["http://www.mendeley.com/documents/?uuid=78780200-803b-4866-a436-96c69a769450","http://www.mendeley.com/documents/?uuid=7abff630-8a23-4b3a-9b68-9bbc3c3772d1","http://www.mendeley.com/documents/?uuid=261e4e5f-fcf3-4124-97a9-82487543a627","http://www.mendeley.com/documents/?uuid=04433eda-c583-48ab-880a-aff3ef28a009"]}],"mendeley":{"formattedCitation":"&lt;span style=\"baseline\"&gt;[41]&lt;/span&gt;","plainTextFormattedCitation":"[41]","previouslyFormattedCitation":"&lt;span style=\"baseline\"&gt;[41]&lt;/span&gt;"},"properties":{"noteIndex":0},"schema":"https://github.com/citation-style-language/schema/raw/master/csl-citation.json"}</w:instrText>
      </w:r>
      <w:r w:rsidRPr="00F73405">
        <w:rPr>
          <w:rFonts w:ascii="Times New Roman" w:hAnsi="Times New Roman" w:cs="Times New Roman"/>
          <w:sz w:val="24"/>
          <w:szCs w:val="24"/>
        </w:rPr>
        <w:fldChar w:fldCharType="separate"/>
      </w:r>
      <w:r w:rsidRPr="005915CD">
        <w:rPr>
          <w:rFonts w:ascii="Times New Roman" w:hAnsi="Times New Roman" w:cs="Times New Roman"/>
          <w:noProof/>
          <w:sz w:val="24"/>
          <w:szCs w:val="24"/>
        </w:rPr>
        <w:t>[41]</w:t>
      </w:r>
      <w:r w:rsidRPr="00F73405">
        <w:rPr>
          <w:rFonts w:ascii="Times New Roman" w:hAnsi="Times New Roman" w:cs="Times New Roman"/>
          <w:sz w:val="24"/>
          <w:szCs w:val="24"/>
        </w:rPr>
        <w:fldChar w:fldCharType="end"/>
      </w:r>
      <w:r w:rsidRPr="00F73405">
        <w:rPr>
          <w:rFonts w:ascii="Times New Roman" w:hAnsi="Times New Roman" w:cs="Times New Roman"/>
          <w:sz w:val="24"/>
          <w:szCs w:val="24"/>
        </w:rPr>
        <w:t xml:space="preserve">. (Figure </w:t>
      </w:r>
      <w:r>
        <w:rPr>
          <w:rFonts w:ascii="Times New Roman" w:hAnsi="Times New Roman" w:cs="Times New Roman"/>
          <w:sz w:val="24"/>
          <w:szCs w:val="24"/>
        </w:rPr>
        <w:t>S</w:t>
      </w:r>
      <w:r w:rsidRPr="00F73405">
        <w:rPr>
          <w:rFonts w:ascii="Times New Roman" w:hAnsi="Times New Roman" w:cs="Times New Roman"/>
          <w:sz w:val="24"/>
          <w:szCs w:val="24"/>
        </w:rPr>
        <w:t>3)</w:t>
      </w:r>
    </w:p>
    <w:p w14:paraId="7C170091" w14:textId="77777777" w:rsidR="00F46FC6" w:rsidRPr="00F73405" w:rsidRDefault="00F46FC6" w:rsidP="002B4FC9">
      <w:pPr>
        <w:spacing w:line="240" w:lineRule="auto"/>
        <w:ind w:left="720"/>
        <w:jc w:val="both"/>
        <w:rPr>
          <w:rFonts w:ascii="Times New Roman" w:hAnsi="Times New Roman" w:cs="Times New Roman"/>
          <w:b/>
          <w:bCs/>
          <w:i/>
          <w:iCs/>
          <w:sz w:val="24"/>
          <w:szCs w:val="24"/>
        </w:rPr>
      </w:pPr>
      <w:r w:rsidRPr="00F73405">
        <w:rPr>
          <w:rFonts w:ascii="Times New Roman" w:hAnsi="Times New Roman" w:cs="Times New Roman"/>
          <w:b/>
          <w:bCs/>
          <w:i/>
          <w:iCs/>
          <w:sz w:val="24"/>
          <w:szCs w:val="24"/>
        </w:rPr>
        <w:t>C.4. Citric acid and polyethyleneimine</w:t>
      </w:r>
    </w:p>
    <w:p w14:paraId="197DC31F" w14:textId="77777777" w:rsidR="00F46FC6" w:rsidRPr="00F73405" w:rsidRDefault="00F46FC6" w:rsidP="002B4FC9">
      <w:pPr>
        <w:spacing w:line="240" w:lineRule="auto"/>
        <w:ind w:left="720"/>
        <w:jc w:val="both"/>
        <w:rPr>
          <w:rFonts w:ascii="Times New Roman" w:hAnsi="Times New Roman" w:cs="Times New Roman"/>
          <w:sz w:val="24"/>
          <w:szCs w:val="24"/>
        </w:rPr>
      </w:pPr>
      <w:r w:rsidRPr="00F73405">
        <w:rPr>
          <w:rFonts w:ascii="Times New Roman" w:hAnsi="Times New Roman" w:cs="Times New Roman"/>
          <w:sz w:val="24"/>
          <w:szCs w:val="24"/>
        </w:rPr>
        <w:t>The zeta</w:t>
      </w:r>
      <w:r>
        <w:rPr>
          <w:rFonts w:ascii="Times New Roman" w:hAnsi="Times New Roman" w:cs="Times New Roman"/>
          <w:sz w:val="24"/>
          <w:szCs w:val="24"/>
        </w:rPr>
        <w:t xml:space="preserve"> </w:t>
      </w:r>
      <w:r w:rsidRPr="00F73405">
        <w:rPr>
          <w:rFonts w:ascii="Times New Roman" w:hAnsi="Times New Roman" w:cs="Times New Roman"/>
          <w:sz w:val="24"/>
          <w:szCs w:val="24"/>
        </w:rPr>
        <w:t xml:space="preserve">potential value of CDs derived from citric acid and PEI was found to be (7.54±7.8) mV. The obtained positive values could be attributed to the functional polycationic polymer with various amine groups. (Figure </w:t>
      </w:r>
      <w:r>
        <w:rPr>
          <w:rFonts w:ascii="Times New Roman" w:hAnsi="Times New Roman" w:cs="Times New Roman"/>
          <w:sz w:val="24"/>
          <w:szCs w:val="24"/>
        </w:rPr>
        <w:t>S</w:t>
      </w:r>
      <w:r w:rsidRPr="00F73405">
        <w:rPr>
          <w:rFonts w:ascii="Times New Roman" w:hAnsi="Times New Roman" w:cs="Times New Roman"/>
          <w:sz w:val="24"/>
          <w:szCs w:val="24"/>
        </w:rPr>
        <w:t>4)</w:t>
      </w:r>
    </w:p>
    <w:bookmarkEnd w:id="1"/>
    <w:bookmarkEnd w:id="2"/>
    <w:p w14:paraId="6A61716A" w14:textId="77777777" w:rsidR="00F46FC6" w:rsidRPr="00F73405" w:rsidRDefault="00F46FC6" w:rsidP="00556614">
      <w:pPr>
        <w:spacing w:line="240" w:lineRule="auto"/>
        <w:jc w:val="both"/>
        <w:rPr>
          <w:rFonts w:ascii="Times New Roman" w:hAnsi="Times New Roman" w:cs="Times New Roman"/>
          <w:sz w:val="24"/>
          <w:szCs w:val="24"/>
        </w:rPr>
      </w:pPr>
    </w:p>
    <w:p w14:paraId="366A5D1F" w14:textId="77777777" w:rsidR="00556614" w:rsidRDefault="00556614" w:rsidP="003B45AD">
      <w:pPr>
        <w:spacing w:line="240" w:lineRule="auto"/>
        <w:jc w:val="both"/>
        <w:rPr>
          <w:rFonts w:ascii="Times New Roman" w:hAnsi="Times New Roman" w:cs="Times New Roman"/>
          <w:sz w:val="24"/>
          <w:szCs w:val="24"/>
        </w:rPr>
      </w:pPr>
    </w:p>
    <w:p w14:paraId="260D1CAD" w14:textId="32EFD926" w:rsidR="003B45AD" w:rsidRPr="00F73405" w:rsidRDefault="003B45AD" w:rsidP="003B45AD">
      <w:pPr>
        <w:spacing w:line="240" w:lineRule="auto"/>
        <w:jc w:val="both"/>
        <w:rPr>
          <w:rFonts w:ascii="Times New Roman" w:hAnsi="Times New Roman" w:cs="Times New Roman"/>
          <w:sz w:val="24"/>
          <w:szCs w:val="24"/>
        </w:rPr>
      </w:pPr>
      <w:r w:rsidRPr="00F73405">
        <w:rPr>
          <w:rFonts w:ascii="Times New Roman" w:hAnsi="Times New Roman" w:cs="Times New Roman"/>
          <w:noProof/>
          <w:sz w:val="24"/>
          <w:szCs w:val="24"/>
        </w:rPr>
        <w:drawing>
          <wp:inline distT="0" distB="0" distL="0" distR="0" wp14:anchorId="5E8588D0" wp14:editId="43DE7D36">
            <wp:extent cx="6162172" cy="3981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8036" cy="3991714"/>
                    </a:xfrm>
                    <a:prstGeom prst="rect">
                      <a:avLst/>
                    </a:prstGeom>
                    <a:noFill/>
                  </pic:spPr>
                </pic:pic>
              </a:graphicData>
            </a:graphic>
          </wp:inline>
        </w:drawing>
      </w:r>
    </w:p>
    <w:p w14:paraId="6011CE7F" w14:textId="3A314B61" w:rsidR="003B45AD" w:rsidRPr="00F73405" w:rsidRDefault="003B45AD" w:rsidP="003B45AD">
      <w:pPr>
        <w:spacing w:line="240" w:lineRule="auto"/>
        <w:jc w:val="both"/>
        <w:rPr>
          <w:rFonts w:ascii="Times New Roman" w:hAnsi="Times New Roman" w:cs="Times New Roman"/>
          <w:iCs/>
          <w:sz w:val="24"/>
          <w:szCs w:val="24"/>
        </w:rPr>
      </w:pPr>
      <w:bookmarkStart w:id="4" w:name="_Toc74143073"/>
      <w:r w:rsidRPr="00F73405">
        <w:rPr>
          <w:rFonts w:ascii="Times New Roman" w:hAnsi="Times New Roman" w:cs="Times New Roman"/>
          <w:iCs/>
          <w:sz w:val="24"/>
          <w:szCs w:val="24"/>
        </w:rPr>
        <w:t xml:space="preserve">Figure </w:t>
      </w:r>
      <w:r>
        <w:rPr>
          <w:rFonts w:ascii="Times New Roman" w:hAnsi="Times New Roman" w:cs="Times New Roman"/>
          <w:iCs/>
          <w:sz w:val="24"/>
          <w:szCs w:val="24"/>
        </w:rPr>
        <w:t>S</w:t>
      </w:r>
      <w:r w:rsidRPr="00F73405">
        <w:rPr>
          <w:rFonts w:ascii="Times New Roman" w:hAnsi="Times New Roman" w:cs="Times New Roman"/>
          <w:iCs/>
          <w:sz w:val="24"/>
          <w:szCs w:val="24"/>
        </w:rPr>
        <w:fldChar w:fldCharType="begin"/>
      </w:r>
      <w:r w:rsidRPr="00F73405">
        <w:rPr>
          <w:rFonts w:ascii="Times New Roman" w:hAnsi="Times New Roman" w:cs="Times New Roman"/>
          <w:iCs/>
          <w:sz w:val="24"/>
          <w:szCs w:val="24"/>
        </w:rPr>
        <w:instrText xml:space="preserve"> SEQ Figure \* ARABIC </w:instrText>
      </w:r>
      <w:r w:rsidRPr="00F73405">
        <w:rPr>
          <w:rFonts w:ascii="Times New Roman" w:hAnsi="Times New Roman" w:cs="Times New Roman"/>
          <w:iCs/>
          <w:sz w:val="24"/>
          <w:szCs w:val="24"/>
        </w:rPr>
        <w:fldChar w:fldCharType="separate"/>
      </w:r>
      <w:r>
        <w:rPr>
          <w:rFonts w:ascii="Times New Roman" w:hAnsi="Times New Roman" w:cs="Times New Roman"/>
          <w:iCs/>
          <w:noProof/>
          <w:sz w:val="24"/>
          <w:szCs w:val="24"/>
        </w:rPr>
        <w:t>1</w:t>
      </w:r>
      <w:r w:rsidRPr="00F73405">
        <w:rPr>
          <w:rFonts w:ascii="Times New Roman" w:hAnsi="Times New Roman" w:cs="Times New Roman"/>
          <w:sz w:val="24"/>
          <w:szCs w:val="24"/>
        </w:rPr>
        <w:fldChar w:fldCharType="end"/>
      </w:r>
      <w:r w:rsidRPr="00F73405">
        <w:rPr>
          <w:rFonts w:ascii="Times New Roman" w:hAnsi="Times New Roman" w:cs="Times New Roman"/>
          <w:iCs/>
          <w:sz w:val="24"/>
          <w:szCs w:val="24"/>
        </w:rPr>
        <w:t>.</w:t>
      </w:r>
      <w:bookmarkStart w:id="5" w:name="_Hlk73388668"/>
      <w:r w:rsidRPr="00F73405">
        <w:rPr>
          <w:rFonts w:ascii="Times New Roman" w:hAnsi="Times New Roman" w:cs="Times New Roman"/>
          <w:iCs/>
          <w:sz w:val="24"/>
          <w:szCs w:val="24"/>
        </w:rPr>
        <w:t xml:space="preserve"> </w:t>
      </w:r>
      <w:r>
        <w:rPr>
          <w:rFonts w:ascii="Times New Roman" w:hAnsi="Times New Roman" w:cs="Times New Roman"/>
          <w:iCs/>
          <w:sz w:val="24"/>
          <w:szCs w:val="24"/>
        </w:rPr>
        <w:t>P</w:t>
      </w:r>
      <w:r w:rsidRPr="00F73405">
        <w:rPr>
          <w:rFonts w:ascii="Times New Roman" w:hAnsi="Times New Roman" w:cs="Times New Roman"/>
          <w:iCs/>
          <w:sz w:val="24"/>
          <w:szCs w:val="24"/>
        </w:rPr>
        <w:t>hotoluminescence properties of NH2-FCDs. A) Graphs representing excitation, emission, and absorbance wavelength for the NH2-FCDs. B) Zeta potential of NH2-FCDs using a Malvern Instruments Zetasizer Nano ZS. CDs were diluted with pH-4 distilled water. C) FTIR spectrum of NH2-FCDs.</w:t>
      </w:r>
      <w:bookmarkEnd w:id="4"/>
      <w:bookmarkEnd w:id="5"/>
    </w:p>
    <w:p w14:paraId="262BD114" w14:textId="77777777" w:rsidR="003B45AD" w:rsidRPr="00F73405" w:rsidRDefault="003B45AD" w:rsidP="003B45AD">
      <w:pPr>
        <w:spacing w:line="240" w:lineRule="auto"/>
        <w:jc w:val="both"/>
        <w:rPr>
          <w:rFonts w:ascii="Times New Roman" w:hAnsi="Times New Roman" w:cs="Times New Roman"/>
          <w:sz w:val="24"/>
          <w:szCs w:val="24"/>
        </w:rPr>
      </w:pPr>
      <w:r w:rsidRPr="00F73405">
        <w:rPr>
          <w:rFonts w:ascii="Times New Roman" w:hAnsi="Times New Roman" w:cs="Times New Roman"/>
          <w:noProof/>
          <w:sz w:val="24"/>
          <w:szCs w:val="24"/>
        </w:rPr>
        <w:lastRenderedPageBreak/>
        <w:drawing>
          <wp:inline distT="0" distB="0" distL="0" distR="0" wp14:anchorId="49765ECD" wp14:editId="5D1FC4AC">
            <wp:extent cx="5923768" cy="3470337"/>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804" cy="3479732"/>
                    </a:xfrm>
                    <a:prstGeom prst="rect">
                      <a:avLst/>
                    </a:prstGeom>
                    <a:noFill/>
                  </pic:spPr>
                </pic:pic>
              </a:graphicData>
            </a:graphic>
          </wp:inline>
        </w:drawing>
      </w:r>
    </w:p>
    <w:p w14:paraId="7A00B82A" w14:textId="20857048" w:rsidR="003B45AD" w:rsidRPr="00F73405" w:rsidRDefault="003B45AD" w:rsidP="003B45AD">
      <w:pPr>
        <w:spacing w:line="240" w:lineRule="auto"/>
        <w:jc w:val="both"/>
        <w:rPr>
          <w:rFonts w:ascii="Times New Roman" w:hAnsi="Times New Roman" w:cs="Times New Roman"/>
          <w:iCs/>
          <w:sz w:val="24"/>
          <w:szCs w:val="24"/>
        </w:rPr>
      </w:pPr>
      <w:bookmarkStart w:id="6" w:name="_Toc74143074"/>
      <w:r w:rsidRPr="00F73405">
        <w:rPr>
          <w:rFonts w:ascii="Times New Roman" w:hAnsi="Times New Roman" w:cs="Times New Roman"/>
          <w:iCs/>
          <w:sz w:val="24"/>
          <w:szCs w:val="24"/>
        </w:rPr>
        <w:t xml:space="preserve">Figure </w:t>
      </w:r>
      <w:r>
        <w:rPr>
          <w:rFonts w:ascii="Times New Roman" w:hAnsi="Times New Roman" w:cs="Times New Roman"/>
          <w:iCs/>
          <w:sz w:val="24"/>
          <w:szCs w:val="24"/>
        </w:rPr>
        <w:t>S</w:t>
      </w:r>
      <w:r w:rsidRPr="00F73405">
        <w:rPr>
          <w:rFonts w:ascii="Times New Roman" w:hAnsi="Times New Roman" w:cs="Times New Roman"/>
          <w:iCs/>
          <w:sz w:val="24"/>
          <w:szCs w:val="24"/>
        </w:rPr>
        <w:fldChar w:fldCharType="begin"/>
      </w:r>
      <w:r w:rsidRPr="00F73405">
        <w:rPr>
          <w:rFonts w:ascii="Times New Roman" w:hAnsi="Times New Roman" w:cs="Times New Roman"/>
          <w:iCs/>
          <w:sz w:val="24"/>
          <w:szCs w:val="24"/>
        </w:rPr>
        <w:instrText xml:space="preserve"> SEQ Figure \* ARABIC </w:instrText>
      </w:r>
      <w:r w:rsidRPr="00F73405">
        <w:rPr>
          <w:rFonts w:ascii="Times New Roman" w:hAnsi="Times New Roman" w:cs="Times New Roman"/>
          <w:iCs/>
          <w:sz w:val="24"/>
          <w:szCs w:val="24"/>
        </w:rPr>
        <w:fldChar w:fldCharType="separate"/>
      </w:r>
      <w:r>
        <w:rPr>
          <w:rFonts w:ascii="Times New Roman" w:hAnsi="Times New Roman" w:cs="Times New Roman"/>
          <w:iCs/>
          <w:noProof/>
          <w:sz w:val="24"/>
          <w:szCs w:val="24"/>
        </w:rPr>
        <w:t>2</w:t>
      </w:r>
      <w:r w:rsidRPr="00F73405">
        <w:rPr>
          <w:rFonts w:ascii="Times New Roman" w:hAnsi="Times New Roman" w:cs="Times New Roman"/>
          <w:sz w:val="24"/>
          <w:szCs w:val="24"/>
        </w:rPr>
        <w:fldChar w:fldCharType="end"/>
      </w:r>
      <w:r w:rsidRPr="00F73405">
        <w:rPr>
          <w:rFonts w:ascii="Times New Roman" w:hAnsi="Times New Roman" w:cs="Times New Roman"/>
          <w:iCs/>
          <w:sz w:val="24"/>
          <w:szCs w:val="24"/>
        </w:rPr>
        <w:t xml:space="preserve">. </w:t>
      </w:r>
      <w:r>
        <w:rPr>
          <w:rFonts w:ascii="Times New Roman" w:hAnsi="Times New Roman" w:cs="Times New Roman"/>
          <w:iCs/>
          <w:sz w:val="24"/>
          <w:szCs w:val="24"/>
        </w:rPr>
        <w:t>P</w:t>
      </w:r>
      <w:r w:rsidRPr="00F73405">
        <w:rPr>
          <w:rFonts w:ascii="Times New Roman" w:hAnsi="Times New Roman" w:cs="Times New Roman"/>
          <w:iCs/>
          <w:sz w:val="24"/>
          <w:szCs w:val="24"/>
        </w:rPr>
        <w:t>hotoluminescence properties of COOH-FCDs. A) Graphs representing excitation, emission, and absorbance wavelength for the COOH-FCDs. B) Zeta potential of COOH-FCDs using a Malvern Instruments Zetasizer Nano ZS. CDs were diluted with pH-4 distilled water. C) FTIR spectrum of COOH-FCDs.</w:t>
      </w:r>
      <w:bookmarkEnd w:id="6"/>
    </w:p>
    <w:p w14:paraId="08A6238A" w14:textId="77777777" w:rsidR="003B45AD" w:rsidRPr="00F73405" w:rsidRDefault="003B45AD" w:rsidP="003B45AD">
      <w:pPr>
        <w:spacing w:line="240" w:lineRule="auto"/>
        <w:jc w:val="both"/>
        <w:rPr>
          <w:rFonts w:ascii="Times New Roman" w:hAnsi="Times New Roman" w:cs="Times New Roman"/>
          <w:sz w:val="24"/>
          <w:szCs w:val="24"/>
        </w:rPr>
      </w:pPr>
    </w:p>
    <w:p w14:paraId="68AE1768" w14:textId="77777777" w:rsidR="003B45AD" w:rsidRPr="00F73405" w:rsidRDefault="003B45AD" w:rsidP="003B45AD">
      <w:pPr>
        <w:spacing w:line="240" w:lineRule="auto"/>
        <w:jc w:val="both"/>
        <w:rPr>
          <w:rFonts w:ascii="Times New Roman" w:hAnsi="Times New Roman" w:cs="Times New Roman"/>
          <w:sz w:val="24"/>
          <w:szCs w:val="24"/>
        </w:rPr>
      </w:pPr>
      <w:r w:rsidRPr="00F73405">
        <w:rPr>
          <w:rFonts w:ascii="Times New Roman" w:hAnsi="Times New Roman" w:cs="Times New Roman"/>
          <w:noProof/>
          <w:sz w:val="24"/>
          <w:szCs w:val="24"/>
        </w:rPr>
        <w:drawing>
          <wp:inline distT="0" distB="0" distL="0" distR="0" wp14:anchorId="26C8F166" wp14:editId="05E193A6">
            <wp:extent cx="5917056" cy="3263561"/>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800" cy="3273348"/>
                    </a:xfrm>
                    <a:prstGeom prst="rect">
                      <a:avLst/>
                    </a:prstGeom>
                    <a:noFill/>
                  </pic:spPr>
                </pic:pic>
              </a:graphicData>
            </a:graphic>
          </wp:inline>
        </w:drawing>
      </w:r>
    </w:p>
    <w:p w14:paraId="79C4EC69" w14:textId="5F9CE18B" w:rsidR="003B45AD" w:rsidRPr="00F73405" w:rsidRDefault="003B45AD" w:rsidP="003B45AD">
      <w:pPr>
        <w:spacing w:line="240" w:lineRule="auto"/>
        <w:jc w:val="both"/>
        <w:rPr>
          <w:rFonts w:ascii="Times New Roman" w:hAnsi="Times New Roman" w:cs="Times New Roman"/>
          <w:iCs/>
          <w:sz w:val="24"/>
          <w:szCs w:val="24"/>
        </w:rPr>
      </w:pPr>
      <w:bookmarkStart w:id="7" w:name="_Toc74143075"/>
      <w:bookmarkStart w:id="8" w:name="_Hlk73446648"/>
      <w:r w:rsidRPr="00F73405">
        <w:rPr>
          <w:rFonts w:ascii="Times New Roman" w:hAnsi="Times New Roman" w:cs="Times New Roman"/>
          <w:iCs/>
          <w:sz w:val="24"/>
          <w:szCs w:val="24"/>
        </w:rPr>
        <w:lastRenderedPageBreak/>
        <w:t xml:space="preserve">Figure </w:t>
      </w:r>
      <w:r>
        <w:rPr>
          <w:rFonts w:ascii="Times New Roman" w:hAnsi="Times New Roman" w:cs="Times New Roman"/>
          <w:iCs/>
          <w:sz w:val="24"/>
          <w:szCs w:val="24"/>
        </w:rPr>
        <w:t>S</w:t>
      </w:r>
      <w:r w:rsidRPr="00F73405">
        <w:rPr>
          <w:rFonts w:ascii="Times New Roman" w:hAnsi="Times New Roman" w:cs="Times New Roman"/>
          <w:iCs/>
          <w:sz w:val="24"/>
          <w:szCs w:val="24"/>
        </w:rPr>
        <w:fldChar w:fldCharType="begin"/>
      </w:r>
      <w:r w:rsidRPr="00F73405">
        <w:rPr>
          <w:rFonts w:ascii="Times New Roman" w:hAnsi="Times New Roman" w:cs="Times New Roman"/>
          <w:iCs/>
          <w:sz w:val="24"/>
          <w:szCs w:val="24"/>
        </w:rPr>
        <w:instrText xml:space="preserve"> SEQ Figure \* ARABIC </w:instrText>
      </w:r>
      <w:r w:rsidRPr="00F73405">
        <w:rPr>
          <w:rFonts w:ascii="Times New Roman" w:hAnsi="Times New Roman" w:cs="Times New Roman"/>
          <w:iCs/>
          <w:sz w:val="24"/>
          <w:szCs w:val="24"/>
        </w:rPr>
        <w:fldChar w:fldCharType="separate"/>
      </w:r>
      <w:r>
        <w:rPr>
          <w:rFonts w:ascii="Times New Roman" w:hAnsi="Times New Roman" w:cs="Times New Roman"/>
          <w:iCs/>
          <w:noProof/>
          <w:sz w:val="24"/>
          <w:szCs w:val="24"/>
        </w:rPr>
        <w:t>3</w:t>
      </w:r>
      <w:r w:rsidRPr="00F73405">
        <w:rPr>
          <w:rFonts w:ascii="Times New Roman" w:hAnsi="Times New Roman" w:cs="Times New Roman"/>
          <w:sz w:val="24"/>
          <w:szCs w:val="24"/>
        </w:rPr>
        <w:fldChar w:fldCharType="end"/>
      </w:r>
      <w:r w:rsidRPr="00F73405">
        <w:rPr>
          <w:rFonts w:ascii="Times New Roman" w:hAnsi="Times New Roman" w:cs="Times New Roman"/>
          <w:iCs/>
          <w:sz w:val="24"/>
          <w:szCs w:val="24"/>
        </w:rPr>
        <w:t xml:space="preserve">. </w:t>
      </w:r>
      <w:r>
        <w:rPr>
          <w:rFonts w:ascii="Times New Roman" w:hAnsi="Times New Roman" w:cs="Times New Roman"/>
          <w:iCs/>
          <w:sz w:val="24"/>
          <w:szCs w:val="24"/>
        </w:rPr>
        <w:t>P</w:t>
      </w:r>
      <w:r w:rsidRPr="00F73405">
        <w:rPr>
          <w:rFonts w:ascii="Times New Roman" w:hAnsi="Times New Roman" w:cs="Times New Roman"/>
          <w:iCs/>
          <w:sz w:val="24"/>
          <w:szCs w:val="24"/>
        </w:rPr>
        <w:t xml:space="preserve">hotoluminescence properties of N-CDs. A) Graphs representing excitation, emission, and absorbance wavelength for the N-CDs. B) Zeta potential of N-CDs using a Malvern Instruments Zetasizer Nano ZS. CDs were diluted with pH-4 distilled water. C) FTIR spectrum of </w:t>
      </w:r>
      <w:bookmarkEnd w:id="7"/>
      <w:r w:rsidRPr="00F73405">
        <w:rPr>
          <w:rFonts w:ascii="Times New Roman" w:hAnsi="Times New Roman" w:cs="Times New Roman"/>
          <w:iCs/>
          <w:sz w:val="24"/>
          <w:szCs w:val="24"/>
        </w:rPr>
        <w:t>N-CDs.</w:t>
      </w:r>
    </w:p>
    <w:p w14:paraId="12AE6D1C" w14:textId="77777777" w:rsidR="003B45AD" w:rsidRPr="00F73405" w:rsidRDefault="003B45AD" w:rsidP="003B45AD">
      <w:pPr>
        <w:spacing w:line="240" w:lineRule="auto"/>
        <w:jc w:val="both"/>
        <w:rPr>
          <w:rFonts w:ascii="Times New Roman" w:hAnsi="Times New Roman" w:cs="Times New Roman"/>
          <w:iCs/>
          <w:sz w:val="24"/>
          <w:szCs w:val="24"/>
        </w:rPr>
      </w:pPr>
    </w:p>
    <w:p w14:paraId="489C937A" w14:textId="77777777" w:rsidR="003B45AD" w:rsidRPr="00F73405" w:rsidRDefault="003B45AD" w:rsidP="003B45AD">
      <w:pPr>
        <w:spacing w:line="240" w:lineRule="auto"/>
        <w:jc w:val="both"/>
        <w:rPr>
          <w:rFonts w:ascii="Times New Roman" w:hAnsi="Times New Roman" w:cs="Times New Roman"/>
          <w:iCs/>
          <w:sz w:val="24"/>
          <w:szCs w:val="24"/>
        </w:rPr>
      </w:pPr>
      <w:r w:rsidRPr="00F73405">
        <w:rPr>
          <w:rFonts w:ascii="Times New Roman" w:hAnsi="Times New Roman" w:cs="Times New Roman"/>
          <w:iCs/>
          <w:noProof/>
          <w:sz w:val="24"/>
          <w:szCs w:val="24"/>
        </w:rPr>
        <w:drawing>
          <wp:inline distT="0" distB="0" distL="0" distR="0" wp14:anchorId="39EA069F" wp14:editId="620CC7E5">
            <wp:extent cx="5808591" cy="331597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6492" cy="3326189"/>
                    </a:xfrm>
                    <a:prstGeom prst="rect">
                      <a:avLst/>
                    </a:prstGeom>
                    <a:noFill/>
                  </pic:spPr>
                </pic:pic>
              </a:graphicData>
            </a:graphic>
          </wp:inline>
        </w:drawing>
      </w:r>
      <w:bookmarkEnd w:id="8"/>
    </w:p>
    <w:p w14:paraId="39D29406" w14:textId="752C545A" w:rsidR="003B45AD" w:rsidRDefault="003B45AD" w:rsidP="003B45AD">
      <w:pPr>
        <w:spacing w:line="240" w:lineRule="auto"/>
        <w:jc w:val="both"/>
        <w:rPr>
          <w:rFonts w:ascii="Times New Roman" w:hAnsi="Times New Roman" w:cs="Times New Roman"/>
          <w:iCs/>
          <w:sz w:val="24"/>
          <w:szCs w:val="24"/>
        </w:rPr>
      </w:pPr>
      <w:bookmarkStart w:id="9" w:name="_Toc74143076"/>
      <w:r w:rsidRPr="00F73405">
        <w:rPr>
          <w:rFonts w:ascii="Times New Roman" w:hAnsi="Times New Roman" w:cs="Times New Roman"/>
          <w:iCs/>
          <w:sz w:val="24"/>
          <w:szCs w:val="24"/>
        </w:rPr>
        <w:t xml:space="preserve">Figure </w:t>
      </w:r>
      <w:r>
        <w:rPr>
          <w:rFonts w:ascii="Times New Roman" w:hAnsi="Times New Roman" w:cs="Times New Roman"/>
          <w:iCs/>
          <w:sz w:val="24"/>
          <w:szCs w:val="24"/>
        </w:rPr>
        <w:t>S</w:t>
      </w:r>
      <w:r w:rsidRPr="00F73405">
        <w:rPr>
          <w:rFonts w:ascii="Times New Roman" w:hAnsi="Times New Roman" w:cs="Times New Roman"/>
          <w:iCs/>
          <w:sz w:val="24"/>
          <w:szCs w:val="24"/>
        </w:rPr>
        <w:fldChar w:fldCharType="begin"/>
      </w:r>
      <w:r w:rsidRPr="00F73405">
        <w:rPr>
          <w:rFonts w:ascii="Times New Roman" w:hAnsi="Times New Roman" w:cs="Times New Roman"/>
          <w:iCs/>
          <w:sz w:val="24"/>
          <w:szCs w:val="24"/>
        </w:rPr>
        <w:instrText xml:space="preserve"> SEQ Figure \* ARABIC </w:instrText>
      </w:r>
      <w:r w:rsidRPr="00F73405">
        <w:rPr>
          <w:rFonts w:ascii="Times New Roman" w:hAnsi="Times New Roman" w:cs="Times New Roman"/>
          <w:iCs/>
          <w:sz w:val="24"/>
          <w:szCs w:val="24"/>
        </w:rPr>
        <w:fldChar w:fldCharType="separate"/>
      </w:r>
      <w:r>
        <w:rPr>
          <w:rFonts w:ascii="Times New Roman" w:hAnsi="Times New Roman" w:cs="Times New Roman"/>
          <w:iCs/>
          <w:noProof/>
          <w:sz w:val="24"/>
          <w:szCs w:val="24"/>
        </w:rPr>
        <w:t>4</w:t>
      </w:r>
      <w:r w:rsidRPr="00F73405">
        <w:rPr>
          <w:rFonts w:ascii="Times New Roman" w:hAnsi="Times New Roman" w:cs="Times New Roman"/>
          <w:sz w:val="24"/>
          <w:szCs w:val="24"/>
        </w:rPr>
        <w:fldChar w:fldCharType="end"/>
      </w:r>
      <w:r w:rsidRPr="00F73405">
        <w:rPr>
          <w:rFonts w:ascii="Times New Roman" w:hAnsi="Times New Roman" w:cs="Times New Roman"/>
          <w:iCs/>
          <w:sz w:val="24"/>
          <w:szCs w:val="24"/>
        </w:rPr>
        <w:t>. Photoluminescence properties of citric acid and PEI CDs. A) Graphs representing excitation, emission, and absorbance wavelength for the PEI CDs. B) Zeta potential of citric acid and PEI CDs using a Malvern Instruments Zetasizer Nano ZS. CDs were diluted with pH-4 distilled water. C) FTIR spectrum of citric acid and PEI-CDs.</w:t>
      </w:r>
      <w:bookmarkEnd w:id="9"/>
    </w:p>
    <w:p w14:paraId="28701DE4" w14:textId="77777777" w:rsidR="00A05B85" w:rsidRPr="00064393" w:rsidRDefault="00A05B85" w:rsidP="00A05B85">
      <w:pPr>
        <w:spacing w:line="240" w:lineRule="auto"/>
        <w:jc w:val="both"/>
        <w:rPr>
          <w:rFonts w:ascii="Times New Roman" w:hAnsi="Times New Roman" w:cs="Times New Roman"/>
          <w:sz w:val="24"/>
          <w:szCs w:val="24"/>
        </w:rPr>
      </w:pPr>
      <w:r w:rsidRPr="00064393">
        <w:rPr>
          <w:rFonts w:ascii="Times New Roman" w:hAnsi="Times New Roman" w:cs="Times New Roman"/>
          <w:noProof/>
          <w:sz w:val="24"/>
          <w:szCs w:val="24"/>
        </w:rPr>
        <w:lastRenderedPageBreak/>
        <w:drawing>
          <wp:inline distT="0" distB="0" distL="0" distR="0" wp14:anchorId="1E486A89" wp14:editId="5B2BDAEA">
            <wp:extent cx="5937738" cy="3302683"/>
            <wp:effectExtent l="57150" t="57150" r="44450" b="501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7" t="10702" r="1381" b="2524"/>
                    <a:stretch/>
                  </pic:blipFill>
                  <pic:spPr bwMode="auto">
                    <a:xfrm>
                      <a:off x="0" y="0"/>
                      <a:ext cx="5953770" cy="33116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p>
    <w:p w14:paraId="70378DD0" w14:textId="26ACA220" w:rsidR="00A05B85" w:rsidRDefault="00A05B85" w:rsidP="00A05B85">
      <w:pPr>
        <w:spacing w:line="240" w:lineRule="auto"/>
        <w:jc w:val="both"/>
        <w:rPr>
          <w:rFonts w:ascii="Times New Roman" w:hAnsi="Times New Roman" w:cs="Times New Roman"/>
          <w:iCs/>
          <w:sz w:val="24"/>
          <w:szCs w:val="24"/>
        </w:rPr>
      </w:pPr>
      <w:bookmarkStart w:id="10" w:name="_Toc74143102"/>
      <w:r w:rsidRPr="00064393">
        <w:rPr>
          <w:rFonts w:ascii="Times New Roman" w:hAnsi="Times New Roman" w:cs="Times New Roman"/>
          <w:iCs/>
          <w:sz w:val="24"/>
          <w:szCs w:val="24"/>
        </w:rPr>
        <w:t>Figure</w:t>
      </w:r>
      <w:r>
        <w:rPr>
          <w:rFonts w:ascii="Times New Roman" w:hAnsi="Times New Roman" w:cs="Times New Roman"/>
          <w:iCs/>
          <w:sz w:val="24"/>
          <w:szCs w:val="24"/>
        </w:rPr>
        <w:t xml:space="preserve"> </w:t>
      </w:r>
      <w:r>
        <w:rPr>
          <w:rFonts w:ascii="Times New Roman" w:hAnsi="Times New Roman" w:cs="Times New Roman"/>
          <w:iCs/>
          <w:sz w:val="24"/>
          <w:szCs w:val="24"/>
        </w:rPr>
        <w:t>S5</w:t>
      </w:r>
      <w:r>
        <w:rPr>
          <w:rFonts w:ascii="Times New Roman" w:hAnsi="Times New Roman" w:cs="Times New Roman"/>
          <w:iCs/>
          <w:sz w:val="24"/>
          <w:szCs w:val="24"/>
        </w:rPr>
        <w:t>.</w:t>
      </w:r>
      <w:r w:rsidRPr="00064393">
        <w:rPr>
          <w:rFonts w:ascii="Times New Roman" w:hAnsi="Times New Roman" w:cs="Times New Roman"/>
          <w:iCs/>
          <w:sz w:val="24"/>
          <w:szCs w:val="24"/>
        </w:rPr>
        <w:t xml:space="preserve"> Colony PCR confirmation of the transformed colonies of pPSU1 and pPSU2.</w:t>
      </w:r>
      <w:bookmarkEnd w:id="10"/>
    </w:p>
    <w:p w14:paraId="40ACFC67" w14:textId="77777777" w:rsidR="00A05B85" w:rsidRPr="00064393" w:rsidRDefault="00A05B85" w:rsidP="003B45AD">
      <w:pPr>
        <w:spacing w:line="240" w:lineRule="auto"/>
        <w:jc w:val="both"/>
        <w:rPr>
          <w:rFonts w:ascii="Times New Roman" w:hAnsi="Times New Roman" w:cs="Times New Roman"/>
          <w:iCs/>
          <w:sz w:val="24"/>
          <w:szCs w:val="24"/>
        </w:rPr>
      </w:pPr>
    </w:p>
    <w:p w14:paraId="532AB15A" w14:textId="77777777" w:rsidR="00C42816" w:rsidRDefault="00C42816"/>
    <w:sectPr w:rsidR="00C428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AD"/>
    <w:rsid w:val="00086789"/>
    <w:rsid w:val="000B1725"/>
    <w:rsid w:val="002B4FC9"/>
    <w:rsid w:val="00340773"/>
    <w:rsid w:val="003B45AD"/>
    <w:rsid w:val="004130A9"/>
    <w:rsid w:val="00556614"/>
    <w:rsid w:val="006272F8"/>
    <w:rsid w:val="00A044F2"/>
    <w:rsid w:val="00A05B85"/>
    <w:rsid w:val="00B903B0"/>
    <w:rsid w:val="00BE2933"/>
    <w:rsid w:val="00C42816"/>
    <w:rsid w:val="00C645F4"/>
    <w:rsid w:val="00CF214A"/>
    <w:rsid w:val="00ED2C1F"/>
    <w:rsid w:val="00F46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4E353"/>
  <w15:chartTrackingRefBased/>
  <w15:docId w15:val="{4A527DD7-BB7B-4CA1-AC13-117F091C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45AD"/>
  </w:style>
  <w:style w:type="paragraph" w:styleId="Heading1">
    <w:name w:val="heading 1"/>
    <w:basedOn w:val="Normal"/>
    <w:next w:val="Normal"/>
    <w:link w:val="Heading1Char"/>
    <w:autoRedefine/>
    <w:uiPriority w:val="9"/>
    <w:qFormat/>
    <w:rsid w:val="00340773"/>
    <w:pPr>
      <w:keepNext/>
      <w:keepLines/>
      <w:spacing w:before="240" w:after="0"/>
      <w:outlineLvl w:val="0"/>
    </w:pPr>
    <w:rPr>
      <w:rFonts w:ascii="Times New Roman" w:eastAsiaTheme="majorEastAsia" w:hAnsi="Times New Roman" w:cs="Times New Roman"/>
      <w:b/>
      <w:color w:val="000000" w:themeColor="text1"/>
      <w:sz w:val="24"/>
      <w:szCs w:val="32"/>
    </w:rPr>
  </w:style>
  <w:style w:type="paragraph" w:styleId="Heading2">
    <w:name w:val="heading 2"/>
    <w:basedOn w:val="Normal"/>
    <w:next w:val="Normal"/>
    <w:link w:val="Heading2Char"/>
    <w:autoRedefine/>
    <w:uiPriority w:val="9"/>
    <w:semiHidden/>
    <w:unhideWhenUsed/>
    <w:qFormat/>
    <w:rsid w:val="00CF214A"/>
    <w:pPr>
      <w:keepNext/>
      <w:keepLines/>
      <w:spacing w:before="40" w:after="0"/>
      <w:outlineLvl w:val="1"/>
    </w:pPr>
    <w:rPr>
      <w:rFonts w:asciiTheme="majorHAnsi" w:eastAsiaTheme="majorEastAsia" w:hAnsiTheme="majorHAnsi"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773"/>
    <w:rPr>
      <w:rFonts w:ascii="Times New Roman" w:eastAsiaTheme="majorEastAsia" w:hAnsi="Times New Roman" w:cs="Times New Roman"/>
      <w:b/>
      <w:color w:val="000000" w:themeColor="text1"/>
      <w:sz w:val="24"/>
      <w:szCs w:val="32"/>
    </w:rPr>
  </w:style>
  <w:style w:type="character" w:customStyle="1" w:styleId="Heading2Char">
    <w:name w:val="Heading 2 Char"/>
    <w:basedOn w:val="DefaultParagraphFont"/>
    <w:link w:val="Heading2"/>
    <w:uiPriority w:val="9"/>
    <w:semiHidden/>
    <w:rsid w:val="00CF214A"/>
    <w:rPr>
      <w:rFonts w:asciiTheme="majorHAnsi" w:eastAsiaTheme="majorEastAsia" w:hAnsiTheme="majorHAnsi" w:cstheme="majorBidi"/>
      <w:b/>
      <w:color w:val="000000" w:themeColor="text1"/>
      <w:sz w:val="24"/>
      <w:szCs w:val="26"/>
    </w:rPr>
  </w:style>
  <w:style w:type="character" w:styleId="CommentReference">
    <w:name w:val="annotation reference"/>
    <w:basedOn w:val="DefaultParagraphFont"/>
    <w:uiPriority w:val="99"/>
    <w:semiHidden/>
    <w:unhideWhenUsed/>
    <w:rsid w:val="00A05B85"/>
    <w:rPr>
      <w:sz w:val="16"/>
      <w:szCs w:val="16"/>
    </w:rPr>
  </w:style>
  <w:style w:type="paragraph" w:styleId="CommentText">
    <w:name w:val="annotation text"/>
    <w:basedOn w:val="Normal"/>
    <w:link w:val="CommentTextChar"/>
    <w:uiPriority w:val="99"/>
    <w:semiHidden/>
    <w:unhideWhenUsed/>
    <w:rsid w:val="00A05B85"/>
    <w:pPr>
      <w:spacing w:line="240" w:lineRule="auto"/>
    </w:pPr>
    <w:rPr>
      <w:sz w:val="20"/>
      <w:szCs w:val="20"/>
    </w:rPr>
  </w:style>
  <w:style w:type="character" w:customStyle="1" w:styleId="CommentTextChar">
    <w:name w:val="Comment Text Char"/>
    <w:basedOn w:val="DefaultParagraphFont"/>
    <w:link w:val="CommentText"/>
    <w:uiPriority w:val="99"/>
    <w:semiHidden/>
    <w:rsid w:val="00A05B85"/>
    <w:rPr>
      <w:sz w:val="20"/>
      <w:szCs w:val="20"/>
    </w:rPr>
  </w:style>
  <w:style w:type="paragraph" w:styleId="BalloonText">
    <w:name w:val="Balloon Text"/>
    <w:basedOn w:val="Normal"/>
    <w:link w:val="BalloonTextChar"/>
    <w:uiPriority w:val="99"/>
    <w:semiHidden/>
    <w:unhideWhenUsed/>
    <w:rsid w:val="00A05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B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8ade21ac-169b-4303-9e71-95153eac7e19" xsi:nil="true"/>
    <Owner xmlns="8ade21ac-169b-4303-9e71-95153eac7e19">
      <UserInfo>
        <DisplayName/>
        <AccountId xsi:nil="true"/>
        <AccountType/>
      </UserInfo>
    </Owner>
    <FolderType xmlns="8ade21ac-169b-4303-9e71-95153eac7e19" xsi:nil="true"/>
    <CultureName xmlns="8ade21ac-169b-4303-9e71-95153eac7e19" xsi:nil="true"/>
    <Distribution_Groups xmlns="8ade21ac-169b-4303-9e71-95153eac7e19" xsi:nil="true"/>
    <Invited_Students xmlns="8ade21ac-169b-4303-9e71-95153eac7e19" xsi:nil="true"/>
    <Teams_Channel_Section_Location xmlns="8ade21ac-169b-4303-9e71-95153eac7e19" xsi:nil="true"/>
    <Math_Settings xmlns="8ade21ac-169b-4303-9e71-95153eac7e19" xsi:nil="true"/>
    <TeamsChannelId xmlns="8ade21ac-169b-4303-9e71-95153eac7e19" xsi:nil="true"/>
    <DefaultSectionNames xmlns="8ade21ac-169b-4303-9e71-95153eac7e19" xsi:nil="true"/>
    <Is_Collaboration_Space_Locked xmlns="8ade21ac-169b-4303-9e71-95153eac7e19" xsi:nil="true"/>
    <Templates xmlns="8ade21ac-169b-4303-9e71-95153eac7e19" xsi:nil="true"/>
    <Self_Registration_Enabled xmlns="8ade21ac-169b-4303-9e71-95153eac7e19" xsi:nil="true"/>
    <Invited_Teachers xmlns="8ade21ac-169b-4303-9e71-95153eac7e19" xsi:nil="true"/>
    <IsNotebookLocked xmlns="8ade21ac-169b-4303-9e71-95153eac7e19" xsi:nil="true"/>
    <NotebookType xmlns="8ade21ac-169b-4303-9e71-95153eac7e19" xsi:nil="true"/>
    <Teachers xmlns="8ade21ac-169b-4303-9e71-95153eac7e19">
      <UserInfo>
        <DisplayName/>
        <AccountId xsi:nil="true"/>
        <AccountType/>
      </UserInfo>
    </Teachers>
    <Students xmlns="8ade21ac-169b-4303-9e71-95153eac7e19">
      <UserInfo>
        <DisplayName/>
        <AccountId xsi:nil="true"/>
        <AccountType/>
      </UserInfo>
    </Students>
    <Student_Groups xmlns="8ade21ac-169b-4303-9e71-95153eac7e19">
      <UserInfo>
        <DisplayName/>
        <AccountId xsi:nil="true"/>
        <AccountType/>
      </UserInfo>
    </Student_Groups>
    <AppVersion xmlns="8ade21ac-169b-4303-9e71-95153eac7e19" xsi:nil="true"/>
    <LMS_Mappings xmlns="8ade21ac-169b-4303-9e71-95153eac7e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C365D06E80F94C90C016DB7DF54B6C" ma:contentTypeVersion="34" ma:contentTypeDescription="Create a new document." ma:contentTypeScope="" ma:versionID="78ba1dd1e2da628297cb4d5bc63a8235">
  <xsd:schema xmlns:xsd="http://www.w3.org/2001/XMLSchema" xmlns:xs="http://www.w3.org/2001/XMLSchema" xmlns:p="http://schemas.microsoft.com/office/2006/metadata/properties" xmlns:ns3="8ade21ac-169b-4303-9e71-95153eac7e19" xmlns:ns4="2c0a66e8-fc11-4f2b-ba48-5b8eb8247841" targetNamespace="http://schemas.microsoft.com/office/2006/metadata/properties" ma:root="true" ma:fieldsID="19694e0067133021c2edf0c531434eea" ns3:_="" ns4:_="">
    <xsd:import namespace="8ade21ac-169b-4303-9e71-95153eac7e19"/>
    <xsd:import namespace="2c0a66e8-fc11-4f2b-ba48-5b8eb82478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e21ac-169b-4303-9e71-95153eac7e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a66e8-fc11-4f2b-ba48-5b8eb82478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4B0A1D-2DD9-47CB-8317-395C2876A07E}">
  <ds:schemaRefs>
    <ds:schemaRef ds:uri="http://schemas.microsoft.com/office/2006/metadata/properties"/>
    <ds:schemaRef ds:uri="http://schemas.microsoft.com/office/infopath/2007/PartnerControls"/>
    <ds:schemaRef ds:uri="8ade21ac-169b-4303-9e71-95153eac7e19"/>
  </ds:schemaRefs>
</ds:datastoreItem>
</file>

<file path=customXml/itemProps2.xml><?xml version="1.0" encoding="utf-8"?>
<ds:datastoreItem xmlns:ds="http://schemas.openxmlformats.org/officeDocument/2006/customXml" ds:itemID="{AE692799-6B28-42BA-BF82-D8324F4F5F62}">
  <ds:schemaRefs>
    <ds:schemaRef ds:uri="http://schemas.microsoft.com/sharepoint/v3/contenttype/forms"/>
  </ds:schemaRefs>
</ds:datastoreItem>
</file>

<file path=customXml/itemProps3.xml><?xml version="1.0" encoding="utf-8"?>
<ds:datastoreItem xmlns:ds="http://schemas.openxmlformats.org/officeDocument/2006/customXml" ds:itemID="{70CD2BDD-EBE7-4EF1-A8D7-907BDD31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e21ac-169b-4303-9e71-95153eac7e19"/>
    <ds:schemaRef ds:uri="2c0a66e8-fc11-4f2b-ba48-5b8eb8247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1766</Words>
  <Characters>10068</Characters>
  <Application>Microsoft Office Word</Application>
  <DocSecurity>0</DocSecurity>
  <Lines>83</Lines>
  <Paragraphs>23</Paragraphs>
  <ScaleCrop>false</ScaleCrop>
  <Company>Tennessee State University</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Taheri, Ali</dc:creator>
  <cp:keywords/>
  <dc:description/>
  <cp:lastModifiedBy>Taheri, Ali</cp:lastModifiedBy>
  <cp:revision>6</cp:revision>
  <dcterms:created xsi:type="dcterms:W3CDTF">2021-09-15T18:20:00Z</dcterms:created>
  <dcterms:modified xsi:type="dcterms:W3CDTF">2021-09-15T19:04:00Z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0x01010032C365D06E80F94C90C016DB7DF54B6C</vt:lpwstr>
  </property>
</Properties>
</file>