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50CB0225" w:rsidR="00EA3D3C" w:rsidRDefault="00654E8F" w:rsidP="0001436A">
      <w:pPr>
        <w:pStyle w:val="1"/>
      </w:pPr>
      <w:r w:rsidRPr="00994A3D">
        <w:t>Supplementary</w:t>
      </w:r>
      <w:r w:rsidR="00C62654">
        <w:t xml:space="preserve"> method</w:t>
      </w:r>
    </w:p>
    <w:p w14:paraId="7946E2F7" w14:textId="79E9346D" w:rsidR="00C62654" w:rsidRPr="00F45233" w:rsidRDefault="00C62654" w:rsidP="00C62654">
      <w:pPr>
        <w:pStyle w:val="2"/>
        <w:numPr>
          <w:ilvl w:val="1"/>
          <w:numId w:val="20"/>
        </w:numPr>
      </w:pPr>
      <w:r w:rsidRPr="00C62654">
        <w:t xml:space="preserve">Sample </w:t>
      </w:r>
      <w:r w:rsidR="009232E6">
        <w:t>p</w:t>
      </w:r>
      <w:r w:rsidRPr="00C62654">
        <w:t>reparation</w:t>
      </w:r>
    </w:p>
    <w:p w14:paraId="0E0730D8" w14:textId="0B8CB623" w:rsidR="00994A3D" w:rsidRDefault="00C62654" w:rsidP="00994A3D">
      <w:pPr>
        <w:jc w:val="both"/>
        <w:rPr>
          <w:rFonts w:cs="Times New Roman"/>
          <w:szCs w:val="24"/>
        </w:rPr>
      </w:pPr>
      <w:r w:rsidRPr="00C62654">
        <w:rPr>
          <w:rFonts w:cs="Times New Roman"/>
          <w:szCs w:val="24"/>
        </w:rPr>
        <w:t xml:space="preserve">All kidney tissue samples were stored in −80 </w:t>
      </w:r>
      <w:r w:rsidRPr="00C62654">
        <w:rPr>
          <w:rFonts w:cs="Times New Roman" w:hint="eastAsia"/>
          <w:szCs w:val="24"/>
        </w:rPr>
        <w:t>℃</w:t>
      </w:r>
      <w:r w:rsidRPr="00C62654">
        <w:rPr>
          <w:rFonts w:cs="Times New Roman"/>
          <w:szCs w:val="24"/>
        </w:rPr>
        <w:t xml:space="preserve"> and thawed on ice before analysis. 30 mg accurately weighed samples were transferred into a 1.5-mL Eppendorf tube with 20 μL internal standard (2-chloro-l-phenylalanine in methanol, 0.3 mg/mL) and then mixed with 600 μL extraction solvent with methanol /water (4/1, v/v) were added to each sample. The mixtures were precooled at −20 </w:t>
      </w:r>
      <w:r w:rsidRPr="00C62654">
        <w:rPr>
          <w:rFonts w:cs="Times New Roman" w:hint="eastAsia"/>
          <w:szCs w:val="24"/>
        </w:rPr>
        <w:t>℃</w:t>
      </w:r>
      <w:r w:rsidRPr="00C62654">
        <w:rPr>
          <w:rFonts w:cs="Times New Roman"/>
          <w:szCs w:val="24"/>
        </w:rPr>
        <w:t xml:space="preserve"> for 2 min and then grinded at 60 HZ for 2 min. For GC-MS, 120 μL of chloroform was added to the samples, then vortexed vigorously. Next the mixtures were ultrasonicated in ice water bath for 10 min, rested in −20 </w:t>
      </w:r>
      <w:r w:rsidRPr="00C62654">
        <w:rPr>
          <w:rFonts w:cs="Times New Roman" w:hint="eastAsia"/>
          <w:szCs w:val="24"/>
        </w:rPr>
        <w:t>℃</w:t>
      </w:r>
      <w:r w:rsidRPr="00C62654">
        <w:rPr>
          <w:rFonts w:cs="Times New Roman"/>
          <w:szCs w:val="24"/>
        </w:rPr>
        <w:t xml:space="preserve"> for 1 h. and centrifuged by 13,000 rpm under 4</w:t>
      </w:r>
      <w:r w:rsidRPr="00C62654">
        <w:rPr>
          <w:rFonts w:cs="Times New Roman" w:hint="eastAsia"/>
          <w:szCs w:val="24"/>
        </w:rPr>
        <w:t>℃</w:t>
      </w:r>
      <w:r w:rsidRPr="00C62654">
        <w:rPr>
          <w:rFonts w:cs="Times New Roman"/>
          <w:szCs w:val="24"/>
        </w:rPr>
        <w:t xml:space="preserve"> for 15 min. Finally, the supernatant was extracted by using a syringe. For UPLC-MS analysis, 150 μL supernatant for each sample was extracted, passaging through a 0.22-μm filter, and then centrifuged at 15000 g with 4°C for 10 min. For GC-MS analysis, 100 μL supernatant was transferred to a glass sampling vial for vacuum-dry at room temperature before derivatization.</w:t>
      </w:r>
    </w:p>
    <w:p w14:paraId="30341476" w14:textId="0B2435D7" w:rsidR="00C62654" w:rsidRDefault="00C62654" w:rsidP="00994A3D">
      <w:pPr>
        <w:jc w:val="both"/>
        <w:rPr>
          <w:rFonts w:cs="Times New Roman"/>
          <w:szCs w:val="24"/>
        </w:rPr>
      </w:pPr>
      <w:r w:rsidRPr="00C62654">
        <w:rPr>
          <w:rFonts w:cs="Times New Roman" w:hint="eastAsia"/>
          <w:szCs w:val="24"/>
        </w:rPr>
        <w:t xml:space="preserve">The derivatization for GC-MS analysis was performed by the following steps. First, an 80 </w:t>
      </w:r>
      <w:r w:rsidRPr="00C62654">
        <w:rPr>
          <w:rFonts w:cs="Times New Roman" w:hint="eastAsia"/>
          <w:szCs w:val="24"/>
        </w:rPr>
        <w:t>μ</w:t>
      </w:r>
      <w:r w:rsidRPr="00C62654">
        <w:rPr>
          <w:rFonts w:cs="Times New Roman" w:hint="eastAsia"/>
          <w:szCs w:val="24"/>
        </w:rPr>
        <w:t xml:space="preserve">L of methoxylamine hydrochloride (dissolved in pyridine, 15 mg/mL) was subsequently added to each sample, then vortexed vigorously for 2 min and incubated at 37 </w:t>
      </w:r>
      <w:r w:rsidRPr="00C62654">
        <w:rPr>
          <w:rFonts w:cs="Times New Roman" w:hint="eastAsia"/>
          <w:szCs w:val="24"/>
        </w:rPr>
        <w:t>℃</w:t>
      </w:r>
      <w:r w:rsidRPr="00C62654">
        <w:rPr>
          <w:rFonts w:cs="Times New Roman" w:hint="eastAsia"/>
          <w:szCs w:val="24"/>
        </w:rPr>
        <w:t xml:space="preserve"> for 90 min. Next, 80 </w:t>
      </w:r>
      <w:r w:rsidRPr="00C62654">
        <w:rPr>
          <w:rFonts w:cs="Times New Roman" w:hint="eastAsia"/>
          <w:szCs w:val="24"/>
        </w:rPr>
        <w:t>μ</w:t>
      </w:r>
      <w:r w:rsidRPr="00C62654">
        <w:rPr>
          <w:rFonts w:cs="Times New Roman" w:hint="eastAsia"/>
          <w:szCs w:val="24"/>
        </w:rPr>
        <w:t xml:space="preserve">L of bis-(trimethylsilyl)-trifluoroacetamide (BSTFA) contained with 1% TMCS and 20 </w:t>
      </w:r>
      <w:r w:rsidRPr="00C62654">
        <w:rPr>
          <w:rFonts w:cs="Times New Roman" w:hint="eastAsia"/>
          <w:szCs w:val="24"/>
        </w:rPr>
        <w:t>μ</w:t>
      </w:r>
      <w:r w:rsidRPr="00C62654">
        <w:rPr>
          <w:rFonts w:cs="Times New Roman" w:hint="eastAsia"/>
          <w:szCs w:val="24"/>
        </w:rPr>
        <w:t xml:space="preserve">L n-hexane were added into each mixture, vortexed for 2 min and then derivatized at 70 </w:t>
      </w:r>
      <w:r w:rsidRPr="00C62654">
        <w:rPr>
          <w:rFonts w:cs="Times New Roman" w:hint="eastAsia"/>
          <w:szCs w:val="24"/>
        </w:rPr>
        <w:t>℃</w:t>
      </w:r>
      <w:r w:rsidRPr="00C62654">
        <w:rPr>
          <w:rFonts w:cs="Times New Roman" w:hint="eastAsia"/>
          <w:szCs w:val="24"/>
        </w:rPr>
        <w:t xml:space="preserve"> for 60 min. All the samples were rested at room temperature for </w:t>
      </w:r>
      <w:r w:rsidRPr="00C62654">
        <w:rPr>
          <w:rFonts w:cs="Times New Roman"/>
          <w:szCs w:val="24"/>
        </w:rPr>
        <w:t>30 min before GC-MS analysis</w:t>
      </w:r>
      <w:r>
        <w:rPr>
          <w:rFonts w:cs="Times New Roman"/>
          <w:szCs w:val="24"/>
        </w:rPr>
        <w:t>.</w:t>
      </w:r>
    </w:p>
    <w:p w14:paraId="0732210C" w14:textId="5E5BD74D" w:rsidR="00C62654" w:rsidRDefault="00C62654" w:rsidP="00994A3D">
      <w:pPr>
        <w:jc w:val="both"/>
        <w:rPr>
          <w:rFonts w:cs="Times New Roman"/>
          <w:szCs w:val="24"/>
        </w:rPr>
      </w:pPr>
      <w:r w:rsidRPr="00C62654">
        <w:rPr>
          <w:rFonts w:cs="Times New Roman"/>
          <w:szCs w:val="24"/>
        </w:rPr>
        <w:t>Quality control (QC) samples were made by mixing aliquots of all samples to generate a pooled sample for UPLC-MS and GC-MS analysis, respectively.</w:t>
      </w:r>
    </w:p>
    <w:p w14:paraId="614E23AD" w14:textId="158A374A" w:rsidR="00C62654" w:rsidRDefault="00C62654" w:rsidP="00C62654">
      <w:pPr>
        <w:pStyle w:val="2"/>
        <w:numPr>
          <w:ilvl w:val="1"/>
          <w:numId w:val="20"/>
        </w:numPr>
      </w:pPr>
      <w:r w:rsidRPr="00C62654">
        <w:t>UPLC</w:t>
      </w:r>
      <w:r>
        <w:t>–</w:t>
      </w:r>
      <w:r w:rsidRPr="00C62654">
        <w:t xml:space="preserve">MS </w:t>
      </w:r>
      <w:r w:rsidR="009232E6">
        <w:t>a</w:t>
      </w:r>
      <w:r w:rsidRPr="00C62654">
        <w:t>nalysis</w:t>
      </w:r>
    </w:p>
    <w:p w14:paraId="2B44BFBB" w14:textId="4CAFC061" w:rsidR="00C62654" w:rsidRPr="00C62654" w:rsidRDefault="00C62654" w:rsidP="00C62654">
      <w:r w:rsidRPr="00C62654">
        <w:rPr>
          <w:rFonts w:cs="Times New Roman"/>
          <w:szCs w:val="24"/>
        </w:rPr>
        <w:t>A Nexera UPLC system fitted with Q-Exactive quadrupole-Orbitrap mass spectrometer (Thermo Fisher Scientific, Waltham, MA, USA) equipped with heated electro spray ionization (ESI) source was used to analyze the metabolic profiling in both positive and negat</w:t>
      </w:r>
      <w:r w:rsidRPr="00C62654">
        <w:rPr>
          <w:rFonts w:cs="Times New Roman" w:hint="eastAsia"/>
          <w:szCs w:val="24"/>
        </w:rPr>
        <w:t xml:space="preserve">ive ion modes. UPLC separation was employed on an ACQUITY UPLC HSS T3 (100 mm </w:t>
      </w:r>
      <w:r w:rsidRPr="00C62654">
        <w:rPr>
          <w:rFonts w:cs="Times New Roman" w:hint="eastAsia"/>
          <w:szCs w:val="24"/>
        </w:rPr>
        <w:t>×</w:t>
      </w:r>
      <w:r w:rsidRPr="00C62654">
        <w:rPr>
          <w:rFonts w:cs="Times New Roman" w:hint="eastAsia"/>
          <w:szCs w:val="24"/>
        </w:rPr>
        <w:t xml:space="preserve"> 2.1 mm, 1.8 </w:t>
      </w:r>
      <w:r w:rsidRPr="00C62654">
        <w:rPr>
          <w:rFonts w:cs="Times New Roman" w:hint="eastAsia"/>
          <w:szCs w:val="24"/>
        </w:rPr>
        <w:t>μ</w:t>
      </w:r>
      <w:r w:rsidRPr="00C62654">
        <w:rPr>
          <w:rFonts w:cs="Times New Roman" w:hint="eastAsia"/>
          <w:szCs w:val="24"/>
        </w:rPr>
        <w:t xml:space="preserve">m) in both positive and negative modes using binary gradient elution system at a flow rate of 0.35 mL/min and column temperature of 45 </w:t>
      </w:r>
      <w:r w:rsidRPr="00C62654">
        <w:rPr>
          <w:rFonts w:cs="Times New Roman" w:hint="eastAsia"/>
          <w:szCs w:val="24"/>
        </w:rPr>
        <w:t>℃</w:t>
      </w:r>
      <w:r w:rsidRPr="00C62654">
        <w:rPr>
          <w:rFonts w:cs="Times New Roman" w:hint="eastAsia"/>
          <w:szCs w:val="24"/>
        </w:rPr>
        <w:t>. The mobile phases were co</w:t>
      </w:r>
      <w:r w:rsidRPr="00C62654">
        <w:rPr>
          <w:rFonts w:cs="Times New Roman"/>
          <w:szCs w:val="24"/>
        </w:rPr>
        <w:t>nsisted of (A) water (containing 0.1 % formic acid, v/v) and (B) acetonitrile (containing 0.1 % formic acid, v/v) and separation was achieved using the following gradient: 5 % B over 0–2 min, 5–30 % B over 2–4 min, 30–50 % B over 4–8 min,50–80 % B over 8–1</w:t>
      </w:r>
      <w:r w:rsidRPr="00C62654">
        <w:rPr>
          <w:rFonts w:cs="Times New Roman" w:hint="eastAsia"/>
          <w:szCs w:val="24"/>
        </w:rPr>
        <w:t>0 min, 80</w:t>
      </w:r>
      <w:r w:rsidRPr="00C62654">
        <w:rPr>
          <w:rFonts w:cs="Times New Roman" w:hint="eastAsia"/>
          <w:szCs w:val="24"/>
        </w:rPr>
        <w:t>–</w:t>
      </w:r>
      <w:r w:rsidRPr="00C62654">
        <w:rPr>
          <w:rFonts w:cs="Times New Roman" w:hint="eastAsia"/>
          <w:szCs w:val="24"/>
        </w:rPr>
        <w:t>100 % B over 10</w:t>
      </w:r>
      <w:r w:rsidRPr="00C62654">
        <w:rPr>
          <w:rFonts w:cs="Times New Roman" w:hint="eastAsia"/>
          <w:szCs w:val="24"/>
        </w:rPr>
        <w:t>–</w:t>
      </w:r>
      <w:r w:rsidRPr="00C62654">
        <w:rPr>
          <w:rFonts w:cs="Times New Roman" w:hint="eastAsia"/>
          <w:szCs w:val="24"/>
        </w:rPr>
        <w:t>14 min, the composition was held at 100 % B for 1 min, then 15</w:t>
      </w:r>
      <w:r w:rsidRPr="00C62654">
        <w:rPr>
          <w:rFonts w:cs="Times New Roman" w:hint="eastAsia"/>
          <w:szCs w:val="24"/>
        </w:rPr>
        <w:t>–</w:t>
      </w:r>
      <w:r w:rsidRPr="00C62654">
        <w:rPr>
          <w:rFonts w:cs="Times New Roman" w:hint="eastAsia"/>
          <w:szCs w:val="24"/>
        </w:rPr>
        <w:t>15.1 min, 100 % to 5 % B, and 15.1</w:t>
      </w:r>
      <w:r w:rsidRPr="00C62654">
        <w:rPr>
          <w:rFonts w:cs="Times New Roman" w:hint="eastAsia"/>
          <w:szCs w:val="24"/>
        </w:rPr>
        <w:t>–</w:t>
      </w:r>
      <w:r w:rsidRPr="00C62654">
        <w:rPr>
          <w:rFonts w:cs="Times New Roman" w:hint="eastAsia"/>
          <w:szCs w:val="24"/>
        </w:rPr>
        <w:t>16 min holding at 5 % B. All the samples were kept at 4</w:t>
      </w:r>
      <w:r w:rsidRPr="00C62654">
        <w:rPr>
          <w:rFonts w:cs="Times New Roman" w:hint="eastAsia"/>
          <w:szCs w:val="24"/>
        </w:rPr>
        <w:t>℃</w:t>
      </w:r>
      <w:r w:rsidRPr="00C62654">
        <w:rPr>
          <w:rFonts w:cs="Times New Roman" w:hint="eastAsia"/>
          <w:szCs w:val="24"/>
        </w:rPr>
        <w:t xml:space="preserve"> during the analysis. The injection volume was 2 </w:t>
      </w:r>
      <w:r w:rsidRPr="00C62654">
        <w:rPr>
          <w:rFonts w:cs="Times New Roman" w:hint="eastAsia"/>
          <w:szCs w:val="24"/>
        </w:rPr>
        <w:t>μ</w:t>
      </w:r>
      <w:r w:rsidRPr="00C62654">
        <w:rPr>
          <w:rFonts w:cs="Times New Roman" w:hint="eastAsia"/>
          <w:szCs w:val="24"/>
        </w:rPr>
        <w:t>L. The Q-Exactive quadrupo</w:t>
      </w:r>
      <w:r w:rsidRPr="00C62654">
        <w:rPr>
          <w:rFonts w:cs="Times New Roman"/>
          <w:szCs w:val="24"/>
        </w:rPr>
        <w:t xml:space="preserve">le-Orbitrap mass spectrometer was performed in positive and negative ESI mode with ion spray voltage of 3,500 V (+) and 3,000 V (−), a sheath gas flow rate of 40 (+) and 35 (−) arbitrary </w:t>
      </w:r>
      <w:r w:rsidRPr="00C62654">
        <w:rPr>
          <w:rFonts w:cs="Times New Roman"/>
          <w:szCs w:val="24"/>
        </w:rPr>
        <w:lastRenderedPageBreak/>
        <w:t xml:space="preserve">units, an auxiliary gas flow rate of 10(+) and 8(−) arbitrary units, </w:t>
      </w:r>
      <w:r w:rsidRPr="00C62654">
        <w:rPr>
          <w:rFonts w:cs="Times New Roman" w:hint="eastAsia"/>
          <w:szCs w:val="24"/>
        </w:rPr>
        <w:t xml:space="preserve">and a capillary temperature of 320 </w:t>
      </w:r>
      <w:r w:rsidRPr="00C62654">
        <w:rPr>
          <w:rFonts w:cs="Times New Roman" w:hint="eastAsia"/>
          <w:szCs w:val="24"/>
        </w:rPr>
        <w:t>℃</w:t>
      </w:r>
      <w:r w:rsidRPr="00C62654">
        <w:rPr>
          <w:rFonts w:cs="Times New Roman" w:hint="eastAsia"/>
          <w:szCs w:val="24"/>
        </w:rPr>
        <w:t>.</w:t>
      </w:r>
    </w:p>
    <w:p w14:paraId="3DF3E16E" w14:textId="70BD3BDE" w:rsidR="00C62654" w:rsidRDefault="00C62654" w:rsidP="00C62654">
      <w:pPr>
        <w:pStyle w:val="2"/>
        <w:numPr>
          <w:ilvl w:val="1"/>
          <w:numId w:val="20"/>
        </w:numPr>
      </w:pPr>
      <w:r w:rsidRPr="00C62654">
        <w:t>GC</w:t>
      </w:r>
      <w:r>
        <w:t>–</w:t>
      </w:r>
      <w:r w:rsidRPr="00C62654">
        <w:t xml:space="preserve">MS </w:t>
      </w:r>
      <w:r w:rsidR="009232E6">
        <w:t>a</w:t>
      </w:r>
      <w:r w:rsidRPr="00C62654">
        <w:t>nalysis</w:t>
      </w:r>
    </w:p>
    <w:p w14:paraId="045F9119" w14:textId="2019C50E" w:rsidR="00C62654" w:rsidRDefault="00C62654" w:rsidP="00994A3D">
      <w:pPr>
        <w:jc w:val="both"/>
        <w:rPr>
          <w:rFonts w:cs="Times New Roman"/>
          <w:szCs w:val="24"/>
        </w:rPr>
      </w:pPr>
      <w:r w:rsidRPr="00C62654">
        <w:rPr>
          <w:rFonts w:cs="Times New Roman"/>
          <w:szCs w:val="24"/>
        </w:rPr>
        <w:t>Each 1 μL derivatized samples was analyzed in splitless mode on a Trace 1310 gas chromatography system coupled to an TSQ 9000 system (Agilent Technologies Inc., CA, USA) carrying a non-polar DB-5MS fused-silica capillary column (30 m × 0.25 mm × 0.25 μm, A</w:t>
      </w:r>
      <w:r w:rsidRPr="00C62654">
        <w:rPr>
          <w:rFonts w:cs="Times New Roman" w:hint="eastAsia"/>
          <w:szCs w:val="24"/>
        </w:rPr>
        <w:t xml:space="preserve">gilent J &amp; W Scientific, Folsom, CA, USA). Helium (&gt;99.999%) was used as the carrier gas at a constant flow rate of 1.2 mL / min through the column. The injector temperature was maintained at 300 </w:t>
      </w:r>
      <w:r w:rsidRPr="00C62654">
        <w:rPr>
          <w:rFonts w:cs="Times New Roman" w:hint="eastAsia"/>
          <w:szCs w:val="24"/>
        </w:rPr>
        <w:t>℃</w:t>
      </w:r>
      <w:r w:rsidRPr="00C62654">
        <w:rPr>
          <w:rFonts w:cs="Times New Roman" w:hint="eastAsia"/>
          <w:szCs w:val="24"/>
        </w:rPr>
        <w:t xml:space="preserve">. The initial oven temperature was 60 </w:t>
      </w:r>
      <w:r w:rsidRPr="00C62654">
        <w:rPr>
          <w:rFonts w:cs="Times New Roman" w:hint="eastAsia"/>
          <w:szCs w:val="24"/>
        </w:rPr>
        <w:t>℃</w:t>
      </w:r>
      <w:r w:rsidRPr="00C62654">
        <w:rPr>
          <w:rFonts w:cs="Times New Roman" w:hint="eastAsia"/>
          <w:szCs w:val="24"/>
        </w:rPr>
        <w:t xml:space="preserve">, Followed by 8 </w:t>
      </w:r>
      <w:r w:rsidRPr="00C62654">
        <w:rPr>
          <w:rFonts w:cs="Times New Roman" w:hint="eastAsia"/>
          <w:szCs w:val="24"/>
        </w:rPr>
        <w:t>℃</w:t>
      </w:r>
      <w:r w:rsidRPr="00C62654">
        <w:rPr>
          <w:rFonts w:cs="Times New Roman" w:hint="eastAsia"/>
          <w:szCs w:val="24"/>
        </w:rPr>
        <w:t xml:space="preserve">/min temperature ramp to 125 </w:t>
      </w:r>
      <w:r w:rsidRPr="00C62654">
        <w:rPr>
          <w:rFonts w:cs="Times New Roman" w:hint="eastAsia"/>
          <w:szCs w:val="24"/>
        </w:rPr>
        <w:t>℃</w:t>
      </w:r>
      <w:r w:rsidRPr="00C62654">
        <w:rPr>
          <w:rFonts w:cs="Times New Roman" w:hint="eastAsia"/>
          <w:szCs w:val="24"/>
        </w:rPr>
        <w:t xml:space="preserve">, then 5 </w:t>
      </w:r>
      <w:r w:rsidRPr="00C62654">
        <w:rPr>
          <w:rFonts w:cs="Times New Roman" w:hint="eastAsia"/>
          <w:szCs w:val="24"/>
        </w:rPr>
        <w:t>℃</w:t>
      </w:r>
      <w:r w:rsidRPr="00C62654">
        <w:rPr>
          <w:rFonts w:cs="Times New Roman" w:hint="eastAsia"/>
          <w:szCs w:val="24"/>
        </w:rPr>
        <w:t xml:space="preserve">/min to 210 </w:t>
      </w:r>
      <w:r w:rsidRPr="00C62654">
        <w:rPr>
          <w:rFonts w:cs="Times New Roman" w:hint="eastAsia"/>
          <w:szCs w:val="24"/>
        </w:rPr>
        <w:t>℃</w:t>
      </w:r>
      <w:r w:rsidRPr="00C62654">
        <w:rPr>
          <w:rFonts w:cs="Times New Roman" w:hint="eastAsia"/>
          <w:szCs w:val="24"/>
        </w:rPr>
        <w:t xml:space="preserve">, 10 </w:t>
      </w:r>
      <w:r w:rsidRPr="00C62654">
        <w:rPr>
          <w:rFonts w:cs="Times New Roman" w:hint="eastAsia"/>
          <w:szCs w:val="24"/>
        </w:rPr>
        <w:t>℃</w:t>
      </w:r>
      <w:r w:rsidRPr="00C62654">
        <w:rPr>
          <w:rFonts w:cs="Times New Roman" w:hint="eastAsia"/>
          <w:szCs w:val="24"/>
        </w:rPr>
        <w:t xml:space="preserve">/min to 270 </w:t>
      </w:r>
      <w:r w:rsidRPr="00C62654">
        <w:rPr>
          <w:rFonts w:cs="Times New Roman" w:hint="eastAsia"/>
          <w:szCs w:val="24"/>
        </w:rPr>
        <w:t>℃</w:t>
      </w:r>
      <w:r w:rsidRPr="00C62654">
        <w:rPr>
          <w:rFonts w:cs="Times New Roman" w:hint="eastAsia"/>
          <w:szCs w:val="24"/>
        </w:rPr>
        <w:t xml:space="preserve">, 20 </w:t>
      </w:r>
      <w:r w:rsidRPr="00C62654">
        <w:rPr>
          <w:rFonts w:cs="Times New Roman" w:hint="eastAsia"/>
          <w:szCs w:val="24"/>
        </w:rPr>
        <w:t>℃</w:t>
      </w:r>
      <w:r w:rsidRPr="00C62654">
        <w:rPr>
          <w:rFonts w:cs="Times New Roman" w:hint="eastAsia"/>
          <w:szCs w:val="24"/>
        </w:rPr>
        <w:t xml:space="preserve">/min to 305 </w:t>
      </w:r>
      <w:r w:rsidRPr="00C62654">
        <w:rPr>
          <w:rFonts w:cs="Times New Roman" w:hint="eastAsia"/>
          <w:szCs w:val="24"/>
        </w:rPr>
        <w:t>℃</w:t>
      </w:r>
      <w:r w:rsidRPr="00C62654">
        <w:rPr>
          <w:rFonts w:cs="Times New Roman" w:hint="eastAsia"/>
          <w:szCs w:val="24"/>
        </w:rPr>
        <w:t xml:space="preserve"> and finally held at 305 </w:t>
      </w:r>
      <w:r w:rsidRPr="00C62654">
        <w:rPr>
          <w:rFonts w:cs="Times New Roman" w:hint="eastAsia"/>
          <w:szCs w:val="24"/>
        </w:rPr>
        <w:t>℃</w:t>
      </w:r>
      <w:r w:rsidRPr="00C62654">
        <w:rPr>
          <w:rFonts w:cs="Times New Roman" w:hint="eastAsia"/>
          <w:szCs w:val="24"/>
        </w:rPr>
        <w:t xml:space="preserve"> for 5 min. The temperature of MS quadrupole and ion source (electron impact) was set to 280 and 330 </w:t>
      </w:r>
      <w:r w:rsidRPr="00C62654">
        <w:rPr>
          <w:rFonts w:cs="Times New Roman" w:hint="eastAsia"/>
          <w:szCs w:val="24"/>
        </w:rPr>
        <w:t>℃</w:t>
      </w:r>
      <w:r w:rsidRPr="00C62654">
        <w:rPr>
          <w:rFonts w:cs="Times New Roman" w:hint="eastAsia"/>
          <w:szCs w:val="24"/>
        </w:rPr>
        <w:t>, respectively, and the collision energy</w:t>
      </w:r>
      <w:r w:rsidRPr="00C62654">
        <w:rPr>
          <w:rFonts w:cs="Times New Roman"/>
          <w:szCs w:val="24"/>
        </w:rPr>
        <w:t xml:space="preserve"> was 70 eV. Mass spectrometric data was acquired in a full-scan mode in m/z range of 50-500.</w:t>
      </w:r>
    </w:p>
    <w:p w14:paraId="58CA5FB9" w14:textId="6A05F294" w:rsidR="00C62654" w:rsidRDefault="00C62654" w:rsidP="00C62654">
      <w:pPr>
        <w:pStyle w:val="2"/>
        <w:numPr>
          <w:ilvl w:val="1"/>
          <w:numId w:val="20"/>
        </w:numPr>
      </w:pPr>
      <w:r w:rsidRPr="00C62654">
        <w:t>Data processing</w:t>
      </w:r>
    </w:p>
    <w:p w14:paraId="17A96668" w14:textId="07A82F13" w:rsidR="009232E6" w:rsidRDefault="00C62654" w:rsidP="00994A3D">
      <w:pPr>
        <w:jc w:val="both"/>
        <w:rPr>
          <w:rFonts w:cs="Times New Roman"/>
          <w:szCs w:val="24"/>
        </w:rPr>
      </w:pPr>
      <w:r w:rsidRPr="00C62654">
        <w:rPr>
          <w:rFonts w:cs="Times New Roman"/>
          <w:szCs w:val="24"/>
        </w:rPr>
        <w:t>The procedure of metabolome data analysis has been described (Sun et al., 2019). Briefly, the obtained UPLC-MS raw data were analyzed by the progenesis QI software (Waters Corporation, Milford, USA) for peak disconvolution, peak alignment, and normalization. Then a data matrix was generated including information of m/z, the retention time, and peak intensity. The ion peaks were identified by progenesis QI Data Processing Software (Waters Corporation, Milford, USA), based human metabolite database (HMDB). Raw MS data from GC-MS were converted and then imported into Mass Spectrometry-Data Independent Analysis software (MS-DIAL version 4) to obtain a data matrix including sample information, retention time, m/z, and peak intensities. All the internal standards and any known pseudo positive peaks (caused by background noise or derivatization procedure) were removed, generating the final dataset for statistical analysis. The ion peaks from GC-MS were annotated in NIST 11 standard mass spectral database Fiehn database.</w:t>
      </w:r>
    </w:p>
    <w:p w14:paraId="7D34FED0" w14:textId="170C5820" w:rsidR="009232E6" w:rsidRDefault="009232E6" w:rsidP="009232E6">
      <w:pPr>
        <w:pStyle w:val="2"/>
        <w:numPr>
          <w:ilvl w:val="1"/>
          <w:numId w:val="20"/>
        </w:numPr>
      </w:pPr>
      <w:r>
        <w:t>References</w:t>
      </w:r>
    </w:p>
    <w:p w14:paraId="20E85F01" w14:textId="03321AEC" w:rsidR="009232E6" w:rsidRDefault="009232E6" w:rsidP="009232E6">
      <w:pPr>
        <w:pStyle w:val="EndNoteBibliography"/>
        <w:ind w:left="720" w:hanging="720"/>
        <w:rPr>
          <w:rFonts w:ascii="Times New Roman" w:hAnsi="Times New Roman" w:cs="Times New Roman"/>
        </w:rPr>
      </w:pPr>
      <w:r w:rsidRPr="00C36A0D">
        <w:rPr>
          <w:rFonts w:ascii="Times New Roman" w:hAnsi="Times New Roman" w:cs="Times New Roman"/>
        </w:rPr>
        <w:t xml:space="preserve">Sun, C., Li, T., Song, X., Huang, L., Zang, Q., Xu, J., et al. (2019). Spatially resolved metabolomics to discover tumor-associated metabolic alterations. </w:t>
      </w:r>
      <w:r w:rsidRPr="00C36A0D">
        <w:rPr>
          <w:rFonts w:ascii="Times New Roman" w:hAnsi="Times New Roman" w:cs="Times New Roman"/>
          <w:i/>
        </w:rPr>
        <w:t>Proc Natl Acad Sci U S A</w:t>
      </w:r>
      <w:r w:rsidRPr="00C36A0D">
        <w:rPr>
          <w:rFonts w:ascii="Times New Roman" w:hAnsi="Times New Roman" w:cs="Times New Roman"/>
        </w:rPr>
        <w:t xml:space="preserve"> 116</w:t>
      </w:r>
      <w:r w:rsidRPr="00C36A0D">
        <w:rPr>
          <w:rFonts w:ascii="Times New Roman" w:hAnsi="Times New Roman" w:cs="Times New Roman"/>
          <w:b/>
        </w:rPr>
        <w:t>,</w:t>
      </w:r>
      <w:r w:rsidRPr="00C36A0D">
        <w:rPr>
          <w:rFonts w:ascii="Times New Roman" w:hAnsi="Times New Roman" w:cs="Times New Roman"/>
        </w:rPr>
        <w:t xml:space="preserve"> 52-57.</w:t>
      </w:r>
    </w:p>
    <w:p w14:paraId="7A774E14" w14:textId="77777777" w:rsidR="009232E6" w:rsidRDefault="009232E6">
      <w:pPr>
        <w:spacing w:before="0" w:after="200" w:line="276" w:lineRule="auto"/>
        <w:rPr>
          <w:rFonts w:eastAsia="等线" w:cs="Times New Roman"/>
          <w:noProof/>
          <w:kern w:val="2"/>
          <w:sz w:val="20"/>
          <w:lang w:eastAsia="zh-CN"/>
        </w:rPr>
      </w:pPr>
      <w:r>
        <w:rPr>
          <w:rFonts w:cs="Times New Roman"/>
        </w:rPr>
        <w:br w:type="page"/>
      </w:r>
    </w:p>
    <w:p w14:paraId="4D059444" w14:textId="77777777" w:rsidR="00994A3D" w:rsidRPr="00994A3D" w:rsidRDefault="00654E8F" w:rsidP="0001436A">
      <w:pPr>
        <w:pStyle w:val="1"/>
      </w:pPr>
      <w:r w:rsidRPr="00994A3D">
        <w:lastRenderedPageBreak/>
        <w:t>Supplementary Figures and Tables</w:t>
      </w:r>
    </w:p>
    <w:p w14:paraId="3C419443" w14:textId="75C43991" w:rsidR="00994A3D" w:rsidRDefault="00994A3D" w:rsidP="009232E6">
      <w:pPr>
        <w:pStyle w:val="2"/>
        <w:keepNext/>
        <w:rPr>
          <w:noProof/>
        </w:rPr>
      </w:pPr>
      <w:r w:rsidRPr="0001436A">
        <w:t>Supplementary</w:t>
      </w:r>
      <w:r w:rsidRPr="001549D3">
        <w:t xml:space="preserve"> Figure</w:t>
      </w:r>
    </w:p>
    <w:p w14:paraId="03E16132" w14:textId="4FC3949E" w:rsidR="001D311A" w:rsidRPr="001D311A" w:rsidRDefault="001D311A" w:rsidP="001D311A">
      <w:r>
        <w:rPr>
          <w:noProof/>
        </w:rPr>
        <w:drawing>
          <wp:inline distT="0" distB="0" distL="0" distR="0" wp14:anchorId="74315802" wp14:editId="2D16EC0F">
            <wp:extent cx="5419725" cy="7827256"/>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295" cy="7830967"/>
                    </a:xfrm>
                    <a:prstGeom prst="rect">
                      <a:avLst/>
                    </a:prstGeom>
                    <a:noFill/>
                    <a:ln>
                      <a:noFill/>
                    </a:ln>
                  </pic:spPr>
                </pic:pic>
              </a:graphicData>
            </a:graphic>
          </wp:inline>
        </w:drawing>
      </w:r>
    </w:p>
    <w:p w14:paraId="3AE196DF" w14:textId="4B9F4A96" w:rsidR="009232E6" w:rsidRDefault="00994A3D" w:rsidP="002B4A57">
      <w:pPr>
        <w:keepNext/>
        <w:rPr>
          <w:rFonts w:cs="Times New Roman"/>
          <w:szCs w:val="24"/>
        </w:rPr>
      </w:pPr>
      <w:r w:rsidRPr="0001436A">
        <w:rPr>
          <w:rFonts w:cs="Times New Roman"/>
          <w:b/>
          <w:szCs w:val="24"/>
        </w:rPr>
        <w:lastRenderedPageBreak/>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9232E6" w:rsidRPr="009232E6">
        <w:rPr>
          <w:rFonts w:cs="Times New Roman"/>
          <w:szCs w:val="24"/>
        </w:rPr>
        <w:t>AFADESI-MSI analysis between kidneys of db/m (n = 2) and db/db mice (n = 2). (A) OPLS-DA plots of the metabolites detected in MSI positive ion mode in the cortex (left) and medulla (right) of kidneys of db/db versus db/m mice. (B) Volcano plots show the discriminating metabolites between the cortex (left) and medulla (right) kidneys of db/m and db/db mice in positive ion mode. (C) The bubble plot shows the enriched KEGG pathways of discriminating metabolites in the medulla portion between the kidneys of db/db versus db/m mice.</w:t>
      </w:r>
      <w:r w:rsidRPr="001549D3">
        <w:rPr>
          <w:rFonts w:cs="Times New Roman"/>
          <w:szCs w:val="24"/>
        </w:rPr>
        <w:t xml:space="preserve"> </w:t>
      </w:r>
    </w:p>
    <w:p w14:paraId="38FD30DD" w14:textId="77777777" w:rsidR="009232E6" w:rsidRDefault="009232E6">
      <w:pPr>
        <w:spacing w:before="0" w:after="200" w:line="276" w:lineRule="auto"/>
        <w:rPr>
          <w:rFonts w:cs="Times New Roman"/>
          <w:szCs w:val="24"/>
        </w:rPr>
      </w:pPr>
      <w:r>
        <w:rPr>
          <w:rFonts w:cs="Times New Roman"/>
          <w:szCs w:val="24"/>
        </w:rPr>
        <w:br w:type="page"/>
      </w:r>
    </w:p>
    <w:p w14:paraId="4CAF490C" w14:textId="5B7DCA25" w:rsidR="009232E6" w:rsidRPr="00994A3D" w:rsidRDefault="009232E6" w:rsidP="009232E6">
      <w:pPr>
        <w:pStyle w:val="2"/>
      </w:pPr>
      <w:r w:rsidRPr="00994A3D">
        <w:lastRenderedPageBreak/>
        <w:t>Supplementary Tables</w:t>
      </w:r>
    </w:p>
    <w:p w14:paraId="381C9799" w14:textId="77777777" w:rsidR="009232E6" w:rsidRPr="00D47469" w:rsidRDefault="009232E6" w:rsidP="009232E6">
      <w:pPr>
        <w:rPr>
          <w:rFonts w:cs="Times New Roman"/>
          <w:color w:val="000000" w:themeColor="text1"/>
          <w:szCs w:val="24"/>
        </w:rPr>
      </w:pPr>
      <w:r w:rsidRPr="00C55AE5">
        <w:rPr>
          <w:rFonts w:cs="Times New Roman"/>
          <w:b/>
          <w:bCs/>
          <w:color w:val="000000" w:themeColor="text1"/>
          <w:szCs w:val="24"/>
        </w:rPr>
        <w:t>Supplementary Table S1</w:t>
      </w:r>
      <w:r w:rsidRPr="00C55AE5">
        <w:rPr>
          <w:rFonts w:cs="Times New Roman"/>
          <w:color w:val="000000" w:themeColor="text1"/>
          <w:szCs w:val="24"/>
        </w:rPr>
        <w:t xml:space="preserve">. </w:t>
      </w:r>
      <w:r>
        <w:rPr>
          <w:rFonts w:cs="Times New Roman"/>
          <w:color w:val="000000" w:themeColor="text1"/>
          <w:szCs w:val="24"/>
        </w:rPr>
        <w:t xml:space="preserve">The antibodies used for </w:t>
      </w:r>
      <w:r w:rsidRPr="001572D2">
        <w:rPr>
          <w:rFonts w:cs="Times New Roman"/>
          <w:color w:val="000000" w:themeColor="text1"/>
          <w:szCs w:val="24"/>
        </w:rPr>
        <w:t>immunohistochemistry</w:t>
      </w:r>
      <w:r>
        <w:rPr>
          <w:rFonts w:cs="Times New Roman"/>
          <w:color w:val="000000" w:themeColor="text1"/>
          <w:szCs w:val="24"/>
        </w:rPr>
        <w:t>.</w:t>
      </w:r>
    </w:p>
    <w:tbl>
      <w:tblPr>
        <w:tblW w:w="8624" w:type="dxa"/>
        <w:tblLook w:val="04A0" w:firstRow="1" w:lastRow="0" w:firstColumn="1" w:lastColumn="0" w:noHBand="0" w:noVBand="1"/>
      </w:tblPr>
      <w:tblGrid>
        <w:gridCol w:w="2016"/>
        <w:gridCol w:w="1656"/>
        <w:gridCol w:w="2016"/>
        <w:gridCol w:w="2936"/>
      </w:tblGrid>
      <w:tr w:rsidR="009232E6" w:rsidRPr="002B3AE4" w14:paraId="63EEF36D" w14:textId="77777777" w:rsidTr="009A7C69">
        <w:trPr>
          <w:trHeight w:val="285"/>
        </w:trPr>
        <w:tc>
          <w:tcPr>
            <w:tcW w:w="2016" w:type="dxa"/>
            <w:tcBorders>
              <w:top w:val="single" w:sz="8" w:space="0" w:color="auto"/>
              <w:left w:val="nil"/>
              <w:bottom w:val="single" w:sz="4" w:space="0" w:color="auto"/>
              <w:right w:val="nil"/>
            </w:tcBorders>
            <w:shd w:val="clear" w:color="auto" w:fill="auto"/>
            <w:noWrap/>
            <w:vAlign w:val="center"/>
            <w:hideMark/>
          </w:tcPr>
          <w:p w14:paraId="3BF0A665" w14:textId="77777777" w:rsidR="009232E6" w:rsidRPr="002B3AE4" w:rsidRDefault="009232E6" w:rsidP="009A7C69">
            <w:pPr>
              <w:jc w:val="center"/>
              <w:rPr>
                <w:rFonts w:ascii="Arial" w:eastAsia="等线" w:hAnsi="Arial" w:cs="Arial"/>
                <w:b/>
                <w:bCs/>
                <w:color w:val="000000"/>
                <w:sz w:val="18"/>
                <w:szCs w:val="18"/>
              </w:rPr>
            </w:pPr>
            <w:r w:rsidRPr="002B3AE4">
              <w:rPr>
                <w:rFonts w:ascii="Arial" w:eastAsia="等线" w:hAnsi="Arial" w:cs="Arial"/>
                <w:b/>
                <w:bCs/>
                <w:color w:val="000000"/>
                <w:sz w:val="18"/>
                <w:szCs w:val="18"/>
              </w:rPr>
              <w:t>Antibody</w:t>
            </w:r>
          </w:p>
        </w:tc>
        <w:tc>
          <w:tcPr>
            <w:tcW w:w="1656" w:type="dxa"/>
            <w:tcBorders>
              <w:top w:val="single" w:sz="8" w:space="0" w:color="auto"/>
              <w:left w:val="nil"/>
              <w:bottom w:val="single" w:sz="4" w:space="0" w:color="auto"/>
              <w:right w:val="nil"/>
            </w:tcBorders>
            <w:shd w:val="clear" w:color="auto" w:fill="auto"/>
            <w:noWrap/>
            <w:vAlign w:val="center"/>
            <w:hideMark/>
          </w:tcPr>
          <w:p w14:paraId="1A2C340E" w14:textId="77777777" w:rsidR="009232E6" w:rsidRPr="002B3AE4" w:rsidRDefault="009232E6" w:rsidP="009A7C69">
            <w:pPr>
              <w:jc w:val="center"/>
              <w:rPr>
                <w:rFonts w:ascii="Arial" w:eastAsia="等线" w:hAnsi="Arial" w:cs="Arial"/>
                <w:b/>
                <w:bCs/>
                <w:color w:val="000000"/>
                <w:sz w:val="18"/>
                <w:szCs w:val="18"/>
              </w:rPr>
            </w:pPr>
            <w:r w:rsidRPr="002B3AE4">
              <w:rPr>
                <w:rFonts w:ascii="Arial" w:eastAsia="等线" w:hAnsi="Arial" w:cs="Arial"/>
                <w:b/>
                <w:bCs/>
                <w:color w:val="000000"/>
                <w:sz w:val="18"/>
                <w:szCs w:val="18"/>
              </w:rPr>
              <w:t>Dilution Rate</w:t>
            </w:r>
          </w:p>
        </w:tc>
        <w:tc>
          <w:tcPr>
            <w:tcW w:w="2016" w:type="dxa"/>
            <w:tcBorders>
              <w:top w:val="single" w:sz="8" w:space="0" w:color="auto"/>
              <w:left w:val="nil"/>
              <w:bottom w:val="single" w:sz="4" w:space="0" w:color="auto"/>
              <w:right w:val="nil"/>
            </w:tcBorders>
            <w:shd w:val="clear" w:color="auto" w:fill="auto"/>
            <w:noWrap/>
            <w:vAlign w:val="center"/>
            <w:hideMark/>
          </w:tcPr>
          <w:p w14:paraId="2CD5BBE1" w14:textId="77777777" w:rsidR="009232E6" w:rsidRPr="002B3AE4" w:rsidRDefault="009232E6" w:rsidP="009A7C69">
            <w:pPr>
              <w:jc w:val="center"/>
              <w:rPr>
                <w:rFonts w:ascii="Arial" w:eastAsia="等线" w:hAnsi="Arial" w:cs="Arial"/>
                <w:b/>
                <w:bCs/>
                <w:color w:val="000000"/>
                <w:sz w:val="18"/>
                <w:szCs w:val="18"/>
              </w:rPr>
            </w:pPr>
            <w:r w:rsidRPr="002B3AE4">
              <w:rPr>
                <w:rFonts w:ascii="Arial" w:eastAsia="等线" w:hAnsi="Arial" w:cs="Arial"/>
                <w:b/>
                <w:bCs/>
                <w:color w:val="000000"/>
                <w:sz w:val="18"/>
                <w:szCs w:val="18"/>
              </w:rPr>
              <w:t>Catalog number</w:t>
            </w:r>
          </w:p>
        </w:tc>
        <w:tc>
          <w:tcPr>
            <w:tcW w:w="2936" w:type="dxa"/>
            <w:tcBorders>
              <w:top w:val="single" w:sz="8" w:space="0" w:color="auto"/>
              <w:left w:val="nil"/>
              <w:bottom w:val="single" w:sz="4" w:space="0" w:color="auto"/>
              <w:right w:val="nil"/>
            </w:tcBorders>
            <w:shd w:val="clear" w:color="auto" w:fill="auto"/>
            <w:noWrap/>
            <w:vAlign w:val="center"/>
            <w:hideMark/>
          </w:tcPr>
          <w:p w14:paraId="1E956275" w14:textId="77777777" w:rsidR="009232E6" w:rsidRPr="002B3AE4" w:rsidRDefault="009232E6" w:rsidP="009A7C69">
            <w:pPr>
              <w:jc w:val="center"/>
              <w:rPr>
                <w:rFonts w:ascii="Arial" w:eastAsia="等线" w:hAnsi="Arial" w:cs="Arial"/>
                <w:b/>
                <w:bCs/>
                <w:color w:val="000000"/>
                <w:sz w:val="18"/>
                <w:szCs w:val="18"/>
              </w:rPr>
            </w:pPr>
            <w:r w:rsidRPr="002B3AE4">
              <w:rPr>
                <w:rFonts w:ascii="Arial" w:eastAsia="等线" w:hAnsi="Arial" w:cs="Arial"/>
                <w:b/>
                <w:bCs/>
                <w:color w:val="000000"/>
                <w:sz w:val="18"/>
                <w:szCs w:val="18"/>
              </w:rPr>
              <w:t>Manufacturer brand</w:t>
            </w:r>
          </w:p>
        </w:tc>
      </w:tr>
      <w:tr w:rsidR="009232E6" w:rsidRPr="002B3AE4" w14:paraId="1735F87B" w14:textId="77777777" w:rsidTr="009A7C69">
        <w:trPr>
          <w:trHeight w:val="285"/>
        </w:trPr>
        <w:tc>
          <w:tcPr>
            <w:tcW w:w="2016" w:type="dxa"/>
            <w:tcBorders>
              <w:top w:val="single" w:sz="4" w:space="0" w:color="auto"/>
              <w:left w:val="nil"/>
              <w:bottom w:val="nil"/>
              <w:right w:val="nil"/>
            </w:tcBorders>
            <w:shd w:val="clear" w:color="auto" w:fill="auto"/>
            <w:noWrap/>
            <w:vAlign w:val="bottom"/>
            <w:hideMark/>
          </w:tcPr>
          <w:p w14:paraId="60FD7D07" w14:textId="77777777" w:rsidR="009232E6" w:rsidRPr="00D47469" w:rsidRDefault="009232E6" w:rsidP="009A7C69">
            <w:pPr>
              <w:jc w:val="center"/>
              <w:rPr>
                <w:rFonts w:ascii="Arial" w:eastAsia="等线" w:hAnsi="Arial" w:cs="Arial"/>
                <w:b/>
                <w:bCs/>
                <w:color w:val="000000"/>
                <w:sz w:val="18"/>
                <w:szCs w:val="18"/>
              </w:rPr>
            </w:pPr>
            <w:r w:rsidRPr="00D47469">
              <w:rPr>
                <w:rFonts w:ascii="Arial" w:eastAsia="等线" w:hAnsi="Arial" w:cs="Arial"/>
                <w:b/>
                <w:bCs/>
                <w:color w:val="000000"/>
                <w:sz w:val="18"/>
                <w:szCs w:val="18"/>
              </w:rPr>
              <w:t>CSAD</w:t>
            </w:r>
          </w:p>
        </w:tc>
        <w:tc>
          <w:tcPr>
            <w:tcW w:w="1656" w:type="dxa"/>
            <w:tcBorders>
              <w:top w:val="single" w:sz="4" w:space="0" w:color="auto"/>
              <w:left w:val="nil"/>
              <w:bottom w:val="nil"/>
              <w:right w:val="nil"/>
            </w:tcBorders>
            <w:shd w:val="clear" w:color="auto" w:fill="auto"/>
            <w:noWrap/>
            <w:vAlign w:val="bottom"/>
            <w:hideMark/>
          </w:tcPr>
          <w:p w14:paraId="77B26CFA"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1:350</w:t>
            </w:r>
          </w:p>
        </w:tc>
        <w:tc>
          <w:tcPr>
            <w:tcW w:w="2016" w:type="dxa"/>
            <w:tcBorders>
              <w:top w:val="single" w:sz="4" w:space="0" w:color="auto"/>
              <w:left w:val="nil"/>
              <w:bottom w:val="nil"/>
              <w:right w:val="nil"/>
            </w:tcBorders>
            <w:shd w:val="clear" w:color="auto" w:fill="auto"/>
            <w:noWrap/>
            <w:vAlign w:val="bottom"/>
            <w:hideMark/>
          </w:tcPr>
          <w:p w14:paraId="130BA131"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ab91016</w:t>
            </w:r>
          </w:p>
        </w:tc>
        <w:tc>
          <w:tcPr>
            <w:tcW w:w="2936" w:type="dxa"/>
            <w:tcBorders>
              <w:top w:val="single" w:sz="4" w:space="0" w:color="auto"/>
              <w:left w:val="nil"/>
              <w:bottom w:val="nil"/>
              <w:right w:val="nil"/>
            </w:tcBorders>
            <w:shd w:val="clear" w:color="auto" w:fill="auto"/>
            <w:noWrap/>
            <w:vAlign w:val="bottom"/>
            <w:hideMark/>
          </w:tcPr>
          <w:p w14:paraId="40339DB5"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Abcam</w:t>
            </w:r>
          </w:p>
        </w:tc>
      </w:tr>
      <w:tr w:rsidR="009232E6" w:rsidRPr="002B3AE4" w14:paraId="31A6B35C" w14:textId="77777777" w:rsidTr="009A7C69">
        <w:trPr>
          <w:trHeight w:val="285"/>
        </w:trPr>
        <w:tc>
          <w:tcPr>
            <w:tcW w:w="2016" w:type="dxa"/>
            <w:tcBorders>
              <w:top w:val="nil"/>
              <w:left w:val="nil"/>
              <w:bottom w:val="nil"/>
              <w:right w:val="nil"/>
            </w:tcBorders>
            <w:shd w:val="clear" w:color="auto" w:fill="auto"/>
            <w:noWrap/>
            <w:vAlign w:val="bottom"/>
            <w:hideMark/>
          </w:tcPr>
          <w:p w14:paraId="0C8A445A" w14:textId="77777777" w:rsidR="009232E6" w:rsidRPr="00D47469" w:rsidRDefault="009232E6" w:rsidP="009A7C69">
            <w:pPr>
              <w:jc w:val="center"/>
              <w:rPr>
                <w:rFonts w:ascii="Arial" w:eastAsia="等线" w:hAnsi="Arial" w:cs="Arial"/>
                <w:b/>
                <w:bCs/>
                <w:color w:val="000000"/>
                <w:sz w:val="18"/>
                <w:szCs w:val="18"/>
              </w:rPr>
            </w:pPr>
            <w:r w:rsidRPr="00D47469">
              <w:rPr>
                <w:rFonts w:ascii="Arial" w:eastAsia="等线" w:hAnsi="Arial" w:cs="Arial"/>
                <w:b/>
                <w:bCs/>
                <w:color w:val="000000"/>
                <w:sz w:val="18"/>
                <w:szCs w:val="18"/>
              </w:rPr>
              <w:t>SAT1</w:t>
            </w:r>
          </w:p>
        </w:tc>
        <w:tc>
          <w:tcPr>
            <w:tcW w:w="1656" w:type="dxa"/>
            <w:tcBorders>
              <w:top w:val="nil"/>
              <w:left w:val="nil"/>
              <w:bottom w:val="nil"/>
              <w:right w:val="nil"/>
            </w:tcBorders>
            <w:shd w:val="clear" w:color="auto" w:fill="auto"/>
            <w:noWrap/>
            <w:vAlign w:val="bottom"/>
            <w:hideMark/>
          </w:tcPr>
          <w:p w14:paraId="2F6CF6FB"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1:150</w:t>
            </w:r>
          </w:p>
        </w:tc>
        <w:tc>
          <w:tcPr>
            <w:tcW w:w="2016" w:type="dxa"/>
            <w:tcBorders>
              <w:top w:val="nil"/>
              <w:left w:val="nil"/>
              <w:bottom w:val="nil"/>
              <w:right w:val="nil"/>
            </w:tcBorders>
            <w:shd w:val="clear" w:color="auto" w:fill="auto"/>
            <w:noWrap/>
            <w:vAlign w:val="bottom"/>
            <w:hideMark/>
          </w:tcPr>
          <w:p w14:paraId="024BBD33"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#PA5-106434</w:t>
            </w:r>
          </w:p>
        </w:tc>
        <w:tc>
          <w:tcPr>
            <w:tcW w:w="2936" w:type="dxa"/>
            <w:tcBorders>
              <w:top w:val="nil"/>
              <w:left w:val="nil"/>
              <w:bottom w:val="nil"/>
              <w:right w:val="nil"/>
            </w:tcBorders>
            <w:shd w:val="clear" w:color="auto" w:fill="auto"/>
            <w:noWrap/>
            <w:vAlign w:val="bottom"/>
            <w:hideMark/>
          </w:tcPr>
          <w:p w14:paraId="2EA601FB"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Invitrogen</w:t>
            </w:r>
          </w:p>
        </w:tc>
      </w:tr>
      <w:tr w:rsidR="009232E6" w:rsidRPr="002B3AE4" w14:paraId="1F51D981" w14:textId="77777777" w:rsidTr="009A7C69">
        <w:trPr>
          <w:trHeight w:val="285"/>
        </w:trPr>
        <w:tc>
          <w:tcPr>
            <w:tcW w:w="2016" w:type="dxa"/>
            <w:tcBorders>
              <w:top w:val="nil"/>
              <w:left w:val="nil"/>
              <w:bottom w:val="nil"/>
              <w:right w:val="nil"/>
            </w:tcBorders>
            <w:shd w:val="clear" w:color="auto" w:fill="auto"/>
            <w:noWrap/>
            <w:vAlign w:val="bottom"/>
            <w:hideMark/>
          </w:tcPr>
          <w:p w14:paraId="633B8B3D" w14:textId="77777777" w:rsidR="009232E6" w:rsidRPr="00D47469" w:rsidRDefault="009232E6" w:rsidP="009A7C69">
            <w:pPr>
              <w:jc w:val="center"/>
              <w:rPr>
                <w:rFonts w:ascii="Arial" w:eastAsia="等线" w:hAnsi="Arial" w:cs="Arial"/>
                <w:b/>
                <w:bCs/>
                <w:color w:val="000000"/>
                <w:sz w:val="18"/>
                <w:szCs w:val="18"/>
              </w:rPr>
            </w:pPr>
            <w:r w:rsidRPr="00D47469">
              <w:rPr>
                <w:rFonts w:ascii="Arial" w:eastAsia="等线" w:hAnsi="Arial" w:cs="Arial"/>
                <w:b/>
                <w:bCs/>
                <w:color w:val="000000"/>
                <w:sz w:val="18"/>
                <w:szCs w:val="18"/>
              </w:rPr>
              <w:t>HDC</w:t>
            </w:r>
          </w:p>
        </w:tc>
        <w:tc>
          <w:tcPr>
            <w:tcW w:w="1656" w:type="dxa"/>
            <w:tcBorders>
              <w:top w:val="nil"/>
              <w:left w:val="nil"/>
              <w:bottom w:val="nil"/>
              <w:right w:val="nil"/>
            </w:tcBorders>
            <w:shd w:val="clear" w:color="auto" w:fill="auto"/>
            <w:noWrap/>
            <w:vAlign w:val="bottom"/>
            <w:hideMark/>
          </w:tcPr>
          <w:p w14:paraId="7E59938D"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1:100</w:t>
            </w:r>
          </w:p>
        </w:tc>
        <w:tc>
          <w:tcPr>
            <w:tcW w:w="2016" w:type="dxa"/>
            <w:tcBorders>
              <w:top w:val="nil"/>
              <w:left w:val="nil"/>
              <w:bottom w:val="nil"/>
              <w:right w:val="nil"/>
            </w:tcBorders>
            <w:shd w:val="clear" w:color="auto" w:fill="auto"/>
            <w:noWrap/>
            <w:vAlign w:val="bottom"/>
            <w:hideMark/>
          </w:tcPr>
          <w:p w14:paraId="4D7E73BF"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ab37291</w:t>
            </w:r>
          </w:p>
        </w:tc>
        <w:tc>
          <w:tcPr>
            <w:tcW w:w="2936" w:type="dxa"/>
            <w:tcBorders>
              <w:top w:val="nil"/>
              <w:left w:val="nil"/>
              <w:bottom w:val="nil"/>
              <w:right w:val="nil"/>
            </w:tcBorders>
            <w:shd w:val="clear" w:color="auto" w:fill="auto"/>
            <w:noWrap/>
            <w:vAlign w:val="bottom"/>
            <w:hideMark/>
          </w:tcPr>
          <w:p w14:paraId="072B330B"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Abcam</w:t>
            </w:r>
          </w:p>
        </w:tc>
      </w:tr>
      <w:tr w:rsidR="009232E6" w:rsidRPr="002B3AE4" w14:paraId="7B1952B9" w14:textId="77777777" w:rsidTr="009A7C69">
        <w:trPr>
          <w:trHeight w:val="285"/>
        </w:trPr>
        <w:tc>
          <w:tcPr>
            <w:tcW w:w="2016" w:type="dxa"/>
            <w:tcBorders>
              <w:top w:val="nil"/>
              <w:left w:val="nil"/>
              <w:right w:val="nil"/>
            </w:tcBorders>
            <w:shd w:val="clear" w:color="auto" w:fill="auto"/>
            <w:noWrap/>
            <w:vAlign w:val="bottom"/>
            <w:hideMark/>
          </w:tcPr>
          <w:p w14:paraId="2211FFA9" w14:textId="77777777" w:rsidR="009232E6" w:rsidRPr="00D47469" w:rsidRDefault="009232E6" w:rsidP="009A7C69">
            <w:pPr>
              <w:jc w:val="center"/>
              <w:rPr>
                <w:rFonts w:ascii="Arial" w:eastAsia="等线" w:hAnsi="Arial" w:cs="Arial"/>
                <w:b/>
                <w:bCs/>
                <w:color w:val="000000"/>
                <w:sz w:val="18"/>
                <w:szCs w:val="18"/>
              </w:rPr>
            </w:pPr>
            <w:r w:rsidRPr="00D47469">
              <w:rPr>
                <w:rFonts w:ascii="Arial" w:eastAsia="等线" w:hAnsi="Arial" w:cs="Arial"/>
                <w:b/>
                <w:bCs/>
                <w:color w:val="000000"/>
                <w:sz w:val="18"/>
                <w:szCs w:val="18"/>
              </w:rPr>
              <w:t>CPT1</w:t>
            </w:r>
          </w:p>
        </w:tc>
        <w:tc>
          <w:tcPr>
            <w:tcW w:w="1656" w:type="dxa"/>
            <w:tcBorders>
              <w:top w:val="nil"/>
              <w:left w:val="nil"/>
              <w:right w:val="nil"/>
            </w:tcBorders>
            <w:shd w:val="clear" w:color="auto" w:fill="auto"/>
            <w:noWrap/>
            <w:vAlign w:val="bottom"/>
            <w:hideMark/>
          </w:tcPr>
          <w:p w14:paraId="2789A90C"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1:800</w:t>
            </w:r>
          </w:p>
        </w:tc>
        <w:tc>
          <w:tcPr>
            <w:tcW w:w="2016" w:type="dxa"/>
            <w:tcBorders>
              <w:top w:val="nil"/>
              <w:left w:val="nil"/>
              <w:right w:val="nil"/>
            </w:tcBorders>
            <w:shd w:val="clear" w:color="auto" w:fill="auto"/>
            <w:noWrap/>
            <w:vAlign w:val="bottom"/>
            <w:hideMark/>
          </w:tcPr>
          <w:p w14:paraId="6727031B"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ab128568</w:t>
            </w:r>
          </w:p>
        </w:tc>
        <w:tc>
          <w:tcPr>
            <w:tcW w:w="2936" w:type="dxa"/>
            <w:tcBorders>
              <w:top w:val="nil"/>
              <w:left w:val="nil"/>
              <w:right w:val="nil"/>
            </w:tcBorders>
            <w:shd w:val="clear" w:color="auto" w:fill="auto"/>
            <w:noWrap/>
            <w:vAlign w:val="bottom"/>
            <w:hideMark/>
          </w:tcPr>
          <w:p w14:paraId="5EAF032A"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Abcam</w:t>
            </w:r>
          </w:p>
        </w:tc>
      </w:tr>
      <w:tr w:rsidR="009232E6" w:rsidRPr="002B3AE4" w14:paraId="767BE1E4" w14:textId="77777777" w:rsidTr="009A7C69">
        <w:trPr>
          <w:trHeight w:val="285"/>
        </w:trPr>
        <w:tc>
          <w:tcPr>
            <w:tcW w:w="2016" w:type="dxa"/>
            <w:tcBorders>
              <w:top w:val="nil"/>
              <w:left w:val="nil"/>
              <w:bottom w:val="single" w:sz="4" w:space="0" w:color="auto"/>
              <w:right w:val="nil"/>
            </w:tcBorders>
            <w:shd w:val="clear" w:color="auto" w:fill="auto"/>
            <w:noWrap/>
            <w:vAlign w:val="bottom"/>
            <w:hideMark/>
          </w:tcPr>
          <w:p w14:paraId="158775B3" w14:textId="77777777" w:rsidR="009232E6" w:rsidRPr="00D47469" w:rsidRDefault="009232E6" w:rsidP="009A7C69">
            <w:pPr>
              <w:jc w:val="center"/>
              <w:rPr>
                <w:rFonts w:ascii="Arial" w:eastAsia="等线" w:hAnsi="Arial" w:cs="Arial"/>
                <w:b/>
                <w:bCs/>
                <w:color w:val="000000"/>
                <w:sz w:val="18"/>
                <w:szCs w:val="18"/>
              </w:rPr>
            </w:pPr>
            <w:r w:rsidRPr="00D47469">
              <w:rPr>
                <w:rFonts w:ascii="Arial" w:eastAsia="等线" w:hAnsi="Arial" w:cs="Arial"/>
                <w:b/>
                <w:bCs/>
                <w:color w:val="000000"/>
                <w:sz w:val="18"/>
                <w:szCs w:val="18"/>
              </w:rPr>
              <w:t>FAS</w:t>
            </w:r>
          </w:p>
        </w:tc>
        <w:tc>
          <w:tcPr>
            <w:tcW w:w="1656" w:type="dxa"/>
            <w:tcBorders>
              <w:top w:val="nil"/>
              <w:left w:val="nil"/>
              <w:bottom w:val="single" w:sz="4" w:space="0" w:color="auto"/>
              <w:right w:val="nil"/>
            </w:tcBorders>
            <w:shd w:val="clear" w:color="auto" w:fill="auto"/>
            <w:noWrap/>
            <w:vAlign w:val="bottom"/>
            <w:hideMark/>
          </w:tcPr>
          <w:p w14:paraId="08BB1C7D"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1:150</w:t>
            </w:r>
          </w:p>
        </w:tc>
        <w:tc>
          <w:tcPr>
            <w:tcW w:w="2016" w:type="dxa"/>
            <w:tcBorders>
              <w:top w:val="nil"/>
              <w:left w:val="nil"/>
              <w:bottom w:val="single" w:sz="4" w:space="0" w:color="auto"/>
              <w:right w:val="nil"/>
            </w:tcBorders>
            <w:shd w:val="clear" w:color="auto" w:fill="auto"/>
            <w:noWrap/>
            <w:vAlign w:val="bottom"/>
            <w:hideMark/>
          </w:tcPr>
          <w:p w14:paraId="0D408D54"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ab99359</w:t>
            </w:r>
          </w:p>
        </w:tc>
        <w:tc>
          <w:tcPr>
            <w:tcW w:w="2936" w:type="dxa"/>
            <w:tcBorders>
              <w:top w:val="nil"/>
              <w:left w:val="nil"/>
              <w:bottom w:val="single" w:sz="4" w:space="0" w:color="auto"/>
              <w:right w:val="nil"/>
            </w:tcBorders>
            <w:shd w:val="clear" w:color="auto" w:fill="auto"/>
            <w:noWrap/>
            <w:vAlign w:val="bottom"/>
            <w:hideMark/>
          </w:tcPr>
          <w:p w14:paraId="007A7F8D" w14:textId="77777777" w:rsidR="009232E6" w:rsidRPr="002B3AE4" w:rsidRDefault="009232E6" w:rsidP="009A7C69">
            <w:pPr>
              <w:jc w:val="center"/>
              <w:rPr>
                <w:rFonts w:ascii="Arial" w:eastAsia="等线" w:hAnsi="Arial" w:cs="Arial"/>
                <w:color w:val="000000"/>
                <w:sz w:val="18"/>
                <w:szCs w:val="18"/>
              </w:rPr>
            </w:pPr>
            <w:r w:rsidRPr="002B3AE4">
              <w:rPr>
                <w:rFonts w:ascii="Arial" w:eastAsia="等线" w:hAnsi="Arial" w:cs="Arial"/>
                <w:color w:val="000000"/>
                <w:sz w:val="18"/>
                <w:szCs w:val="18"/>
              </w:rPr>
              <w:t>Abcam</w:t>
            </w:r>
          </w:p>
        </w:tc>
      </w:tr>
    </w:tbl>
    <w:p w14:paraId="78E1F15A" w14:textId="343F92DF" w:rsidR="009232E6" w:rsidRDefault="009232E6">
      <w:pPr>
        <w:spacing w:before="0" w:after="200" w:line="276" w:lineRule="auto"/>
        <w:rPr>
          <w:rFonts w:cs="Times New Roman"/>
          <w:b/>
          <w:bCs/>
          <w:color w:val="000000" w:themeColor="text1"/>
          <w:szCs w:val="24"/>
        </w:rPr>
      </w:pPr>
    </w:p>
    <w:p w14:paraId="19A83B60" w14:textId="05F16A7A" w:rsidR="009232E6" w:rsidRPr="00C55AE5" w:rsidRDefault="009232E6" w:rsidP="009232E6">
      <w:pPr>
        <w:rPr>
          <w:rFonts w:cs="Times New Roman"/>
          <w:color w:val="000000" w:themeColor="text1"/>
          <w:szCs w:val="24"/>
        </w:rPr>
      </w:pPr>
      <w:r w:rsidRPr="00C55AE5">
        <w:rPr>
          <w:rFonts w:cs="Times New Roman"/>
          <w:b/>
          <w:bCs/>
          <w:color w:val="000000" w:themeColor="text1"/>
          <w:szCs w:val="24"/>
        </w:rPr>
        <w:t>Supplementary Table S</w:t>
      </w:r>
      <w:r>
        <w:rPr>
          <w:rFonts w:cs="Times New Roman"/>
          <w:b/>
          <w:bCs/>
          <w:color w:val="000000" w:themeColor="text1"/>
          <w:szCs w:val="24"/>
        </w:rPr>
        <w:t>2</w:t>
      </w:r>
      <w:r w:rsidRPr="00C55AE5">
        <w:rPr>
          <w:rFonts w:cs="Times New Roman"/>
          <w:color w:val="000000" w:themeColor="text1"/>
          <w:szCs w:val="24"/>
        </w:rPr>
        <w:t>. Primer sequences for real-time PCR.</w:t>
      </w:r>
    </w:p>
    <w:tbl>
      <w:tblPr>
        <w:tblW w:w="8640" w:type="dxa"/>
        <w:jc w:val="center"/>
        <w:tblLook w:val="04A0" w:firstRow="1" w:lastRow="0" w:firstColumn="1" w:lastColumn="0" w:noHBand="0" w:noVBand="1"/>
      </w:tblPr>
      <w:tblGrid>
        <w:gridCol w:w="1418"/>
        <w:gridCol w:w="3827"/>
        <w:gridCol w:w="3395"/>
      </w:tblGrid>
      <w:tr w:rsidR="009232E6" w:rsidRPr="00C55AE5" w14:paraId="194DD3D1" w14:textId="77777777" w:rsidTr="009A7C69">
        <w:trPr>
          <w:trHeight w:val="300"/>
          <w:jc w:val="center"/>
        </w:trPr>
        <w:tc>
          <w:tcPr>
            <w:tcW w:w="1418" w:type="dxa"/>
            <w:tcBorders>
              <w:top w:val="single" w:sz="4" w:space="0" w:color="auto"/>
              <w:left w:val="nil"/>
              <w:bottom w:val="single" w:sz="4" w:space="0" w:color="auto"/>
              <w:right w:val="nil"/>
            </w:tcBorders>
            <w:shd w:val="clear" w:color="auto" w:fill="auto"/>
            <w:noWrap/>
            <w:vAlign w:val="bottom"/>
            <w:hideMark/>
          </w:tcPr>
          <w:p w14:paraId="65FAA1F9"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Primer</w:t>
            </w:r>
          </w:p>
        </w:tc>
        <w:tc>
          <w:tcPr>
            <w:tcW w:w="3827" w:type="dxa"/>
            <w:tcBorders>
              <w:top w:val="single" w:sz="4" w:space="0" w:color="auto"/>
              <w:left w:val="nil"/>
              <w:bottom w:val="single" w:sz="4" w:space="0" w:color="auto"/>
              <w:right w:val="nil"/>
            </w:tcBorders>
            <w:shd w:val="clear" w:color="auto" w:fill="auto"/>
            <w:noWrap/>
            <w:vAlign w:val="bottom"/>
            <w:hideMark/>
          </w:tcPr>
          <w:p w14:paraId="5B24ADF7"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Forward</w:t>
            </w:r>
          </w:p>
        </w:tc>
        <w:tc>
          <w:tcPr>
            <w:tcW w:w="3395" w:type="dxa"/>
            <w:tcBorders>
              <w:top w:val="single" w:sz="4" w:space="0" w:color="auto"/>
              <w:left w:val="nil"/>
              <w:bottom w:val="single" w:sz="4" w:space="0" w:color="auto"/>
              <w:right w:val="nil"/>
            </w:tcBorders>
            <w:shd w:val="clear" w:color="auto" w:fill="auto"/>
            <w:noWrap/>
            <w:vAlign w:val="bottom"/>
            <w:hideMark/>
          </w:tcPr>
          <w:p w14:paraId="2932B4C6"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Reverse</w:t>
            </w:r>
          </w:p>
        </w:tc>
      </w:tr>
      <w:tr w:rsidR="009232E6" w:rsidRPr="00C55AE5" w14:paraId="1F07EC6B" w14:textId="77777777" w:rsidTr="009A7C69">
        <w:trPr>
          <w:trHeight w:val="300"/>
          <w:jc w:val="center"/>
        </w:trPr>
        <w:tc>
          <w:tcPr>
            <w:tcW w:w="1418" w:type="dxa"/>
            <w:tcBorders>
              <w:top w:val="single" w:sz="4" w:space="0" w:color="auto"/>
              <w:left w:val="nil"/>
              <w:bottom w:val="nil"/>
              <w:right w:val="nil"/>
            </w:tcBorders>
            <w:shd w:val="clear" w:color="auto" w:fill="auto"/>
            <w:noWrap/>
            <w:vAlign w:val="bottom"/>
            <w:hideMark/>
          </w:tcPr>
          <w:p w14:paraId="59C3C221"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β-actin</w:t>
            </w:r>
          </w:p>
        </w:tc>
        <w:tc>
          <w:tcPr>
            <w:tcW w:w="3827" w:type="dxa"/>
            <w:tcBorders>
              <w:top w:val="single" w:sz="4" w:space="0" w:color="auto"/>
              <w:left w:val="nil"/>
              <w:bottom w:val="nil"/>
              <w:right w:val="nil"/>
            </w:tcBorders>
            <w:shd w:val="clear" w:color="auto" w:fill="auto"/>
            <w:noWrap/>
            <w:vAlign w:val="bottom"/>
            <w:hideMark/>
          </w:tcPr>
          <w:p w14:paraId="45FB5796"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CGTGCGTGACATCAAAGAGAA</w:t>
            </w:r>
          </w:p>
        </w:tc>
        <w:tc>
          <w:tcPr>
            <w:tcW w:w="3395" w:type="dxa"/>
            <w:tcBorders>
              <w:top w:val="single" w:sz="4" w:space="0" w:color="auto"/>
              <w:left w:val="nil"/>
              <w:bottom w:val="nil"/>
              <w:right w:val="nil"/>
            </w:tcBorders>
            <w:shd w:val="clear" w:color="auto" w:fill="auto"/>
            <w:noWrap/>
            <w:vAlign w:val="bottom"/>
            <w:hideMark/>
          </w:tcPr>
          <w:p w14:paraId="565BE909"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TGGATGCCACAGGATTCCAT</w:t>
            </w:r>
          </w:p>
        </w:tc>
      </w:tr>
      <w:tr w:rsidR="009232E6" w:rsidRPr="00C55AE5" w14:paraId="5372FE8E" w14:textId="77777777" w:rsidTr="009A7C69">
        <w:trPr>
          <w:trHeight w:val="300"/>
          <w:jc w:val="center"/>
        </w:trPr>
        <w:tc>
          <w:tcPr>
            <w:tcW w:w="1418" w:type="dxa"/>
            <w:tcBorders>
              <w:top w:val="nil"/>
              <w:left w:val="nil"/>
              <w:bottom w:val="nil"/>
              <w:right w:val="nil"/>
            </w:tcBorders>
            <w:shd w:val="clear" w:color="auto" w:fill="auto"/>
            <w:noWrap/>
            <w:vAlign w:val="bottom"/>
            <w:hideMark/>
          </w:tcPr>
          <w:p w14:paraId="0E0578CD"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CSAD</w:t>
            </w:r>
          </w:p>
        </w:tc>
        <w:tc>
          <w:tcPr>
            <w:tcW w:w="3827" w:type="dxa"/>
            <w:tcBorders>
              <w:top w:val="nil"/>
              <w:left w:val="nil"/>
              <w:bottom w:val="nil"/>
              <w:right w:val="nil"/>
            </w:tcBorders>
            <w:shd w:val="clear" w:color="auto" w:fill="auto"/>
            <w:noWrap/>
            <w:vAlign w:val="bottom"/>
            <w:hideMark/>
          </w:tcPr>
          <w:p w14:paraId="02F7FF3B"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CCAGGACGTGTTTGGGATTGT</w:t>
            </w:r>
          </w:p>
        </w:tc>
        <w:tc>
          <w:tcPr>
            <w:tcW w:w="3395" w:type="dxa"/>
            <w:tcBorders>
              <w:top w:val="nil"/>
              <w:left w:val="nil"/>
              <w:bottom w:val="nil"/>
              <w:right w:val="nil"/>
            </w:tcBorders>
            <w:shd w:val="clear" w:color="auto" w:fill="auto"/>
            <w:noWrap/>
            <w:vAlign w:val="bottom"/>
            <w:hideMark/>
          </w:tcPr>
          <w:p w14:paraId="7F073B18"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CTCCTTCCATTCGCAGACCTT</w:t>
            </w:r>
          </w:p>
        </w:tc>
      </w:tr>
      <w:tr w:rsidR="009232E6" w:rsidRPr="00C55AE5" w14:paraId="58350FC5" w14:textId="77777777" w:rsidTr="009A7C69">
        <w:trPr>
          <w:trHeight w:val="300"/>
          <w:jc w:val="center"/>
        </w:trPr>
        <w:tc>
          <w:tcPr>
            <w:tcW w:w="1418" w:type="dxa"/>
            <w:tcBorders>
              <w:top w:val="nil"/>
              <w:left w:val="nil"/>
              <w:bottom w:val="nil"/>
              <w:right w:val="nil"/>
            </w:tcBorders>
            <w:shd w:val="clear" w:color="auto" w:fill="auto"/>
            <w:noWrap/>
            <w:vAlign w:val="bottom"/>
            <w:hideMark/>
          </w:tcPr>
          <w:p w14:paraId="7D9C81A5"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SAT1</w:t>
            </w:r>
          </w:p>
        </w:tc>
        <w:tc>
          <w:tcPr>
            <w:tcW w:w="3827" w:type="dxa"/>
            <w:tcBorders>
              <w:top w:val="nil"/>
              <w:left w:val="nil"/>
              <w:bottom w:val="nil"/>
              <w:right w:val="nil"/>
            </w:tcBorders>
            <w:shd w:val="clear" w:color="auto" w:fill="auto"/>
            <w:noWrap/>
            <w:vAlign w:val="bottom"/>
            <w:hideMark/>
          </w:tcPr>
          <w:p w14:paraId="7826A501" w14:textId="35C50AE3" w:rsidR="009232E6" w:rsidRPr="00C55AE5" w:rsidRDefault="002822A1" w:rsidP="009A7C69">
            <w:pPr>
              <w:rPr>
                <w:rFonts w:ascii="Arial" w:eastAsia="等线" w:hAnsi="Arial" w:cs="Arial"/>
                <w:color w:val="000000" w:themeColor="text1"/>
                <w:sz w:val="18"/>
                <w:szCs w:val="18"/>
              </w:rPr>
            </w:pPr>
            <w:r w:rsidRPr="002822A1">
              <w:rPr>
                <w:rFonts w:ascii="Arial" w:eastAsia="等线" w:hAnsi="Arial" w:cs="Arial"/>
                <w:color w:val="000000" w:themeColor="text1"/>
                <w:sz w:val="18"/>
                <w:szCs w:val="18"/>
              </w:rPr>
              <w:t>GAGAACACCCCTTCTACCACT</w:t>
            </w:r>
          </w:p>
        </w:tc>
        <w:tc>
          <w:tcPr>
            <w:tcW w:w="3395" w:type="dxa"/>
            <w:tcBorders>
              <w:top w:val="nil"/>
              <w:left w:val="nil"/>
              <w:bottom w:val="nil"/>
              <w:right w:val="nil"/>
            </w:tcBorders>
            <w:shd w:val="clear" w:color="auto" w:fill="auto"/>
            <w:noWrap/>
            <w:vAlign w:val="bottom"/>
            <w:hideMark/>
          </w:tcPr>
          <w:p w14:paraId="7D95002F" w14:textId="3C54C3D5" w:rsidR="009232E6" w:rsidRPr="00C55AE5" w:rsidRDefault="002822A1" w:rsidP="009A7C69">
            <w:pPr>
              <w:rPr>
                <w:rFonts w:ascii="Arial" w:eastAsia="等线" w:hAnsi="Arial" w:cs="Arial"/>
                <w:color w:val="000000" w:themeColor="text1"/>
                <w:sz w:val="18"/>
                <w:szCs w:val="18"/>
              </w:rPr>
            </w:pPr>
            <w:r w:rsidRPr="002822A1">
              <w:rPr>
                <w:rFonts w:ascii="Arial" w:eastAsia="等线" w:hAnsi="Arial" w:cs="Arial"/>
                <w:color w:val="000000" w:themeColor="text1"/>
                <w:sz w:val="18"/>
                <w:szCs w:val="18"/>
              </w:rPr>
              <w:t>GCCTCTGTAATCACTCATCACGA</w:t>
            </w:r>
          </w:p>
        </w:tc>
      </w:tr>
      <w:tr w:rsidR="009232E6" w:rsidRPr="00C55AE5" w14:paraId="408ADF01" w14:textId="77777777" w:rsidTr="009A7C69">
        <w:trPr>
          <w:trHeight w:val="300"/>
          <w:jc w:val="center"/>
        </w:trPr>
        <w:tc>
          <w:tcPr>
            <w:tcW w:w="1418" w:type="dxa"/>
            <w:tcBorders>
              <w:top w:val="nil"/>
              <w:left w:val="nil"/>
              <w:bottom w:val="nil"/>
              <w:right w:val="nil"/>
            </w:tcBorders>
            <w:shd w:val="clear" w:color="auto" w:fill="auto"/>
            <w:noWrap/>
            <w:vAlign w:val="bottom"/>
            <w:hideMark/>
          </w:tcPr>
          <w:p w14:paraId="06AAECC9"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HDC</w:t>
            </w:r>
          </w:p>
        </w:tc>
        <w:tc>
          <w:tcPr>
            <w:tcW w:w="3827" w:type="dxa"/>
            <w:tcBorders>
              <w:top w:val="nil"/>
              <w:left w:val="nil"/>
              <w:bottom w:val="nil"/>
              <w:right w:val="nil"/>
            </w:tcBorders>
            <w:shd w:val="clear" w:color="auto" w:fill="auto"/>
            <w:noWrap/>
            <w:vAlign w:val="bottom"/>
            <w:hideMark/>
          </w:tcPr>
          <w:p w14:paraId="664A83EE"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CTCGTTGCCTACACCTCTGAT</w:t>
            </w:r>
          </w:p>
        </w:tc>
        <w:tc>
          <w:tcPr>
            <w:tcW w:w="3395" w:type="dxa"/>
            <w:tcBorders>
              <w:top w:val="nil"/>
              <w:left w:val="nil"/>
              <w:bottom w:val="nil"/>
              <w:right w:val="nil"/>
            </w:tcBorders>
            <w:shd w:val="clear" w:color="auto" w:fill="auto"/>
            <w:noWrap/>
            <w:vAlign w:val="bottom"/>
            <w:hideMark/>
          </w:tcPr>
          <w:p w14:paraId="53B4220B"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CTCGGAGTGAGAAGTTGTCGT</w:t>
            </w:r>
          </w:p>
        </w:tc>
      </w:tr>
      <w:tr w:rsidR="009232E6" w:rsidRPr="00C55AE5" w14:paraId="2E6F4CF2" w14:textId="77777777" w:rsidTr="009A7C69">
        <w:trPr>
          <w:trHeight w:val="300"/>
          <w:jc w:val="center"/>
        </w:trPr>
        <w:tc>
          <w:tcPr>
            <w:tcW w:w="1418" w:type="dxa"/>
            <w:tcBorders>
              <w:top w:val="nil"/>
              <w:left w:val="nil"/>
              <w:right w:val="nil"/>
            </w:tcBorders>
            <w:shd w:val="clear" w:color="auto" w:fill="auto"/>
            <w:noWrap/>
            <w:vAlign w:val="bottom"/>
            <w:hideMark/>
          </w:tcPr>
          <w:p w14:paraId="2A9A0F7E"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CPT1</w:t>
            </w:r>
          </w:p>
        </w:tc>
        <w:tc>
          <w:tcPr>
            <w:tcW w:w="3827" w:type="dxa"/>
            <w:tcBorders>
              <w:top w:val="nil"/>
              <w:left w:val="nil"/>
              <w:right w:val="nil"/>
            </w:tcBorders>
            <w:shd w:val="clear" w:color="auto" w:fill="auto"/>
            <w:noWrap/>
            <w:vAlign w:val="bottom"/>
            <w:hideMark/>
          </w:tcPr>
          <w:p w14:paraId="73511E5A"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ACCACTGGCCGAATGTCAAG</w:t>
            </w:r>
          </w:p>
        </w:tc>
        <w:tc>
          <w:tcPr>
            <w:tcW w:w="3395" w:type="dxa"/>
            <w:tcBorders>
              <w:top w:val="nil"/>
              <w:left w:val="nil"/>
              <w:right w:val="nil"/>
            </w:tcBorders>
            <w:shd w:val="clear" w:color="auto" w:fill="auto"/>
            <w:noWrap/>
            <w:vAlign w:val="bottom"/>
            <w:hideMark/>
          </w:tcPr>
          <w:p w14:paraId="0A064AC6" w14:textId="77777777" w:rsidR="009232E6" w:rsidRPr="00C55AE5" w:rsidRDefault="009232E6" w:rsidP="009A7C69">
            <w:pPr>
              <w:rPr>
                <w:rFonts w:ascii="Arial" w:eastAsia="等线" w:hAnsi="Arial" w:cs="Arial"/>
                <w:color w:val="000000" w:themeColor="text1"/>
                <w:sz w:val="18"/>
                <w:szCs w:val="18"/>
              </w:rPr>
            </w:pPr>
            <w:bookmarkStart w:id="0" w:name="OLE_LINK1"/>
            <w:r w:rsidRPr="00C55AE5">
              <w:rPr>
                <w:rFonts w:ascii="Arial" w:eastAsia="等线" w:hAnsi="Arial" w:cs="Arial"/>
                <w:color w:val="000000" w:themeColor="text1"/>
                <w:sz w:val="18"/>
                <w:szCs w:val="18"/>
              </w:rPr>
              <w:t>AGCGAGTAGCGCATGGTCAT</w:t>
            </w:r>
            <w:bookmarkEnd w:id="0"/>
          </w:p>
        </w:tc>
      </w:tr>
      <w:tr w:rsidR="009232E6" w:rsidRPr="00C55AE5" w14:paraId="6A3DFB4C" w14:textId="77777777" w:rsidTr="009A7C69">
        <w:trPr>
          <w:trHeight w:val="300"/>
          <w:jc w:val="center"/>
        </w:trPr>
        <w:tc>
          <w:tcPr>
            <w:tcW w:w="1418" w:type="dxa"/>
            <w:tcBorders>
              <w:top w:val="nil"/>
              <w:left w:val="nil"/>
              <w:bottom w:val="single" w:sz="4" w:space="0" w:color="auto"/>
              <w:right w:val="nil"/>
            </w:tcBorders>
            <w:shd w:val="clear" w:color="auto" w:fill="auto"/>
            <w:noWrap/>
            <w:vAlign w:val="bottom"/>
            <w:hideMark/>
          </w:tcPr>
          <w:p w14:paraId="7EE7B089" w14:textId="77777777" w:rsidR="009232E6" w:rsidRPr="00C55AE5" w:rsidRDefault="009232E6" w:rsidP="009A7C69">
            <w:pP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FAS</w:t>
            </w:r>
          </w:p>
        </w:tc>
        <w:tc>
          <w:tcPr>
            <w:tcW w:w="3827" w:type="dxa"/>
            <w:tcBorders>
              <w:top w:val="nil"/>
              <w:left w:val="nil"/>
              <w:bottom w:val="single" w:sz="4" w:space="0" w:color="auto"/>
              <w:right w:val="nil"/>
            </w:tcBorders>
            <w:shd w:val="clear" w:color="auto" w:fill="auto"/>
            <w:noWrap/>
            <w:vAlign w:val="bottom"/>
            <w:hideMark/>
          </w:tcPr>
          <w:p w14:paraId="196C62B2"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CCTGGATAGCATTCCGAACCT</w:t>
            </w:r>
          </w:p>
        </w:tc>
        <w:tc>
          <w:tcPr>
            <w:tcW w:w="3395" w:type="dxa"/>
            <w:tcBorders>
              <w:top w:val="nil"/>
              <w:left w:val="nil"/>
              <w:bottom w:val="single" w:sz="4" w:space="0" w:color="auto"/>
              <w:right w:val="nil"/>
            </w:tcBorders>
            <w:shd w:val="clear" w:color="auto" w:fill="auto"/>
            <w:noWrap/>
            <w:vAlign w:val="bottom"/>
            <w:hideMark/>
          </w:tcPr>
          <w:p w14:paraId="6E1301EE" w14:textId="77777777" w:rsidR="009232E6" w:rsidRPr="00C55AE5" w:rsidRDefault="009232E6" w:rsidP="009A7C69">
            <w:pP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AGCACATCTCGAAGGCTACACA</w:t>
            </w:r>
          </w:p>
        </w:tc>
      </w:tr>
    </w:tbl>
    <w:p w14:paraId="5C2EEE54" w14:textId="77777777" w:rsidR="00F137F5" w:rsidRDefault="00F137F5" w:rsidP="009232E6">
      <w:pPr>
        <w:rPr>
          <w:rFonts w:cs="Times New Roman"/>
          <w:b/>
          <w:bCs/>
          <w:color w:val="000000" w:themeColor="text1"/>
          <w:szCs w:val="24"/>
        </w:rPr>
      </w:pPr>
    </w:p>
    <w:p w14:paraId="5538E3B1" w14:textId="77777777" w:rsidR="00F137F5" w:rsidRDefault="00F137F5">
      <w:pPr>
        <w:spacing w:before="0" w:after="200" w:line="276" w:lineRule="auto"/>
        <w:rPr>
          <w:rFonts w:cs="Times New Roman"/>
          <w:b/>
          <w:bCs/>
          <w:color w:val="000000" w:themeColor="text1"/>
          <w:szCs w:val="24"/>
        </w:rPr>
      </w:pPr>
      <w:r>
        <w:rPr>
          <w:rFonts w:cs="Times New Roman"/>
          <w:b/>
          <w:bCs/>
          <w:color w:val="000000" w:themeColor="text1"/>
          <w:szCs w:val="24"/>
        </w:rPr>
        <w:br w:type="page"/>
      </w:r>
    </w:p>
    <w:p w14:paraId="02AA9323" w14:textId="0F79F857" w:rsidR="009232E6" w:rsidRPr="00C55AE5" w:rsidRDefault="009232E6" w:rsidP="009232E6">
      <w:pPr>
        <w:rPr>
          <w:rFonts w:cs="Times New Roman"/>
          <w:color w:val="000000" w:themeColor="text1"/>
          <w:szCs w:val="24"/>
        </w:rPr>
      </w:pPr>
      <w:r w:rsidRPr="00C55AE5">
        <w:rPr>
          <w:rFonts w:cs="Times New Roman"/>
          <w:b/>
          <w:bCs/>
          <w:color w:val="000000" w:themeColor="text1"/>
          <w:szCs w:val="24"/>
        </w:rPr>
        <w:lastRenderedPageBreak/>
        <w:t>Supplementary Table S</w:t>
      </w:r>
      <w:r>
        <w:rPr>
          <w:rFonts w:cs="Times New Roman"/>
          <w:b/>
          <w:bCs/>
          <w:color w:val="000000" w:themeColor="text1"/>
          <w:szCs w:val="24"/>
        </w:rPr>
        <w:t>3</w:t>
      </w:r>
      <w:r w:rsidRPr="00C55AE5">
        <w:rPr>
          <w:rFonts w:cs="Times New Roman"/>
          <w:color w:val="000000" w:themeColor="text1"/>
          <w:szCs w:val="24"/>
        </w:rPr>
        <w:t>. The potential DKD-associated rate-limiting enzymes in the dysregulated metabolic pathways.</w:t>
      </w:r>
    </w:p>
    <w:tbl>
      <w:tblPr>
        <w:tblW w:w="10065" w:type="dxa"/>
        <w:jc w:val="center"/>
        <w:tblLayout w:type="fixed"/>
        <w:tblLook w:val="04A0" w:firstRow="1" w:lastRow="0" w:firstColumn="1" w:lastColumn="0" w:noHBand="0" w:noVBand="1"/>
      </w:tblPr>
      <w:tblGrid>
        <w:gridCol w:w="897"/>
        <w:gridCol w:w="2081"/>
        <w:gridCol w:w="1134"/>
        <w:gridCol w:w="1984"/>
        <w:gridCol w:w="1204"/>
        <w:gridCol w:w="214"/>
        <w:gridCol w:w="2551"/>
      </w:tblGrid>
      <w:tr w:rsidR="009232E6" w:rsidRPr="00C55AE5" w14:paraId="57B44A1E" w14:textId="77777777" w:rsidTr="009232E6">
        <w:trPr>
          <w:trHeight w:val="538"/>
          <w:jc w:val="center"/>
        </w:trPr>
        <w:tc>
          <w:tcPr>
            <w:tcW w:w="897" w:type="dxa"/>
            <w:tcBorders>
              <w:top w:val="single" w:sz="4" w:space="0" w:color="auto"/>
              <w:left w:val="nil"/>
              <w:bottom w:val="single" w:sz="4" w:space="0" w:color="auto"/>
              <w:right w:val="nil"/>
            </w:tcBorders>
            <w:shd w:val="clear" w:color="auto" w:fill="auto"/>
            <w:vAlign w:val="center"/>
            <w:hideMark/>
          </w:tcPr>
          <w:p w14:paraId="64DB543E" w14:textId="77777777"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Enzyme</w:t>
            </w:r>
          </w:p>
        </w:tc>
        <w:tc>
          <w:tcPr>
            <w:tcW w:w="2081" w:type="dxa"/>
            <w:tcBorders>
              <w:top w:val="single" w:sz="4" w:space="0" w:color="auto"/>
              <w:left w:val="nil"/>
              <w:bottom w:val="single" w:sz="4" w:space="0" w:color="auto"/>
              <w:right w:val="nil"/>
            </w:tcBorders>
            <w:shd w:val="clear" w:color="auto" w:fill="auto"/>
            <w:vAlign w:val="center"/>
            <w:hideMark/>
          </w:tcPr>
          <w:p w14:paraId="4D3BC703" w14:textId="77777777"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Full name of the enzyme</w:t>
            </w:r>
          </w:p>
        </w:tc>
        <w:tc>
          <w:tcPr>
            <w:tcW w:w="1134" w:type="dxa"/>
            <w:tcBorders>
              <w:top w:val="single" w:sz="4" w:space="0" w:color="auto"/>
              <w:left w:val="nil"/>
              <w:bottom w:val="single" w:sz="4" w:space="0" w:color="auto"/>
              <w:right w:val="nil"/>
            </w:tcBorders>
            <w:shd w:val="clear" w:color="auto" w:fill="auto"/>
            <w:vAlign w:val="center"/>
            <w:hideMark/>
          </w:tcPr>
          <w:p w14:paraId="094E8B92" w14:textId="77777777"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EC number</w:t>
            </w:r>
          </w:p>
        </w:tc>
        <w:tc>
          <w:tcPr>
            <w:tcW w:w="1984" w:type="dxa"/>
            <w:tcBorders>
              <w:top w:val="single" w:sz="4" w:space="0" w:color="auto"/>
              <w:left w:val="nil"/>
              <w:bottom w:val="single" w:sz="4" w:space="0" w:color="auto"/>
              <w:right w:val="nil"/>
            </w:tcBorders>
            <w:shd w:val="clear" w:color="auto" w:fill="auto"/>
            <w:vAlign w:val="center"/>
            <w:hideMark/>
          </w:tcPr>
          <w:p w14:paraId="254D0C79" w14:textId="77777777"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Pathway</w:t>
            </w:r>
          </w:p>
        </w:tc>
        <w:tc>
          <w:tcPr>
            <w:tcW w:w="1418" w:type="dxa"/>
            <w:gridSpan w:val="2"/>
            <w:tcBorders>
              <w:top w:val="single" w:sz="4" w:space="0" w:color="auto"/>
              <w:left w:val="nil"/>
              <w:bottom w:val="single" w:sz="4" w:space="0" w:color="auto"/>
              <w:right w:val="nil"/>
            </w:tcBorders>
            <w:shd w:val="clear" w:color="auto" w:fill="auto"/>
            <w:vAlign w:val="center"/>
            <w:hideMark/>
          </w:tcPr>
          <w:p w14:paraId="17E44CC9" w14:textId="212D02D0"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Related metabolite</w:t>
            </w:r>
            <w:r>
              <w:rPr>
                <w:rFonts w:ascii="Arial" w:eastAsia="等线" w:hAnsi="Arial" w:cs="Arial"/>
                <w:b/>
                <w:bCs/>
                <w:color w:val="000000" w:themeColor="text1"/>
                <w:sz w:val="18"/>
                <w:szCs w:val="18"/>
              </w:rPr>
              <w:t>(</w:t>
            </w:r>
            <w:r w:rsidRPr="00C55AE5">
              <w:rPr>
                <w:rFonts w:ascii="Arial" w:eastAsia="等线" w:hAnsi="Arial" w:cs="Arial"/>
                <w:b/>
                <w:bCs/>
                <w:color w:val="000000" w:themeColor="text1"/>
                <w:sz w:val="18"/>
                <w:szCs w:val="18"/>
              </w:rPr>
              <w:t>s</w:t>
            </w:r>
            <w:r>
              <w:rPr>
                <w:rFonts w:ascii="Arial" w:eastAsia="等线" w:hAnsi="Arial" w:cs="Arial"/>
                <w:b/>
                <w:bCs/>
                <w:color w:val="000000" w:themeColor="text1"/>
                <w:sz w:val="18"/>
                <w:szCs w:val="18"/>
              </w:rPr>
              <w:t>)</w:t>
            </w:r>
          </w:p>
        </w:tc>
        <w:tc>
          <w:tcPr>
            <w:tcW w:w="2551" w:type="dxa"/>
            <w:tcBorders>
              <w:top w:val="single" w:sz="4" w:space="0" w:color="auto"/>
              <w:left w:val="nil"/>
              <w:bottom w:val="single" w:sz="4" w:space="0" w:color="auto"/>
              <w:right w:val="nil"/>
            </w:tcBorders>
            <w:shd w:val="clear" w:color="auto" w:fill="auto"/>
            <w:vAlign w:val="center"/>
            <w:hideMark/>
          </w:tcPr>
          <w:p w14:paraId="2C6271CB" w14:textId="77777777" w:rsidR="009232E6" w:rsidRPr="00C55AE5" w:rsidRDefault="009232E6" w:rsidP="009232E6">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Function</w:t>
            </w:r>
          </w:p>
        </w:tc>
      </w:tr>
      <w:tr w:rsidR="009232E6" w:rsidRPr="00C55AE5" w14:paraId="604BE966" w14:textId="77777777" w:rsidTr="009232E6">
        <w:trPr>
          <w:trHeight w:val="720"/>
          <w:jc w:val="center"/>
        </w:trPr>
        <w:tc>
          <w:tcPr>
            <w:tcW w:w="897" w:type="dxa"/>
            <w:tcBorders>
              <w:top w:val="single" w:sz="4" w:space="0" w:color="auto"/>
              <w:left w:val="nil"/>
              <w:bottom w:val="nil"/>
              <w:right w:val="nil"/>
            </w:tcBorders>
            <w:shd w:val="clear" w:color="auto" w:fill="D9D9D9" w:themeFill="background1" w:themeFillShade="D9"/>
            <w:vAlign w:val="center"/>
            <w:hideMark/>
          </w:tcPr>
          <w:p w14:paraId="3A8C44C7"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CSAD</w:t>
            </w:r>
          </w:p>
        </w:tc>
        <w:tc>
          <w:tcPr>
            <w:tcW w:w="2081" w:type="dxa"/>
            <w:tcBorders>
              <w:top w:val="single" w:sz="4" w:space="0" w:color="auto"/>
              <w:left w:val="nil"/>
              <w:bottom w:val="nil"/>
              <w:right w:val="nil"/>
            </w:tcBorders>
            <w:shd w:val="clear" w:color="auto" w:fill="D9D9D9" w:themeFill="background1" w:themeFillShade="D9"/>
            <w:vAlign w:val="center"/>
            <w:hideMark/>
          </w:tcPr>
          <w:p w14:paraId="32376501" w14:textId="77777777" w:rsidR="009232E6" w:rsidRPr="00C55AE5" w:rsidRDefault="009232E6" w:rsidP="009A7C69">
            <w:pPr>
              <w:jc w:val="center"/>
              <w:rPr>
                <w:rFonts w:ascii="Arial" w:eastAsia="等线" w:hAnsi="Arial" w:cs="Arial"/>
                <w:color w:val="000000" w:themeColor="text1"/>
                <w:sz w:val="18"/>
                <w:szCs w:val="18"/>
              </w:rPr>
            </w:pPr>
            <w:bookmarkStart w:id="1" w:name="_Hlk81911625"/>
            <w:r w:rsidRPr="00C55AE5">
              <w:rPr>
                <w:rFonts w:ascii="Arial" w:eastAsia="等线" w:hAnsi="Arial" w:cs="Arial"/>
                <w:color w:val="000000" w:themeColor="text1"/>
                <w:sz w:val="18"/>
                <w:szCs w:val="18"/>
              </w:rPr>
              <w:t>Sulfinoalanine decarboxylase</w:t>
            </w:r>
            <w:bookmarkEnd w:id="1"/>
          </w:p>
        </w:tc>
        <w:tc>
          <w:tcPr>
            <w:tcW w:w="1134" w:type="dxa"/>
            <w:tcBorders>
              <w:top w:val="single" w:sz="4" w:space="0" w:color="auto"/>
              <w:left w:val="nil"/>
              <w:bottom w:val="nil"/>
              <w:right w:val="nil"/>
            </w:tcBorders>
            <w:shd w:val="clear" w:color="auto" w:fill="D9D9D9" w:themeFill="background1" w:themeFillShade="D9"/>
            <w:vAlign w:val="center"/>
            <w:hideMark/>
          </w:tcPr>
          <w:p w14:paraId="122AA19F"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4.1.1.29</w:t>
            </w:r>
          </w:p>
        </w:tc>
        <w:tc>
          <w:tcPr>
            <w:tcW w:w="1984" w:type="dxa"/>
            <w:tcBorders>
              <w:top w:val="single" w:sz="4" w:space="0" w:color="auto"/>
              <w:left w:val="nil"/>
              <w:bottom w:val="nil"/>
              <w:right w:val="nil"/>
            </w:tcBorders>
            <w:shd w:val="clear" w:color="auto" w:fill="D9D9D9" w:themeFill="background1" w:themeFillShade="D9"/>
            <w:vAlign w:val="center"/>
            <w:hideMark/>
          </w:tcPr>
          <w:p w14:paraId="08870477"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Taurine and hypotaurine metabolism</w:t>
            </w:r>
          </w:p>
        </w:tc>
        <w:tc>
          <w:tcPr>
            <w:tcW w:w="1204" w:type="dxa"/>
            <w:tcBorders>
              <w:top w:val="single" w:sz="4" w:space="0" w:color="auto"/>
              <w:left w:val="nil"/>
              <w:bottom w:val="nil"/>
              <w:right w:val="nil"/>
            </w:tcBorders>
            <w:shd w:val="clear" w:color="auto" w:fill="D9D9D9" w:themeFill="background1" w:themeFillShade="D9"/>
            <w:vAlign w:val="center"/>
            <w:hideMark/>
          </w:tcPr>
          <w:p w14:paraId="3EC30972"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L-Cysteate, Taurine</w:t>
            </w:r>
          </w:p>
        </w:tc>
        <w:tc>
          <w:tcPr>
            <w:tcW w:w="2765" w:type="dxa"/>
            <w:gridSpan w:val="2"/>
            <w:tcBorders>
              <w:top w:val="single" w:sz="4" w:space="0" w:color="auto"/>
              <w:left w:val="nil"/>
              <w:bottom w:val="nil"/>
              <w:right w:val="nil"/>
            </w:tcBorders>
            <w:shd w:val="clear" w:color="auto" w:fill="D9D9D9" w:themeFill="background1" w:themeFillShade="D9"/>
            <w:vAlign w:val="center"/>
            <w:hideMark/>
          </w:tcPr>
          <w:p w14:paraId="5B4E2770"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Catalyzes the biosynthesis of taurine</w:t>
            </w:r>
          </w:p>
        </w:tc>
      </w:tr>
      <w:tr w:rsidR="009232E6" w:rsidRPr="00C55AE5" w14:paraId="082543A4" w14:textId="77777777" w:rsidTr="009A7C69">
        <w:trPr>
          <w:trHeight w:val="480"/>
          <w:jc w:val="center"/>
        </w:trPr>
        <w:tc>
          <w:tcPr>
            <w:tcW w:w="897" w:type="dxa"/>
            <w:tcBorders>
              <w:top w:val="nil"/>
              <w:left w:val="nil"/>
              <w:bottom w:val="nil"/>
              <w:right w:val="nil"/>
            </w:tcBorders>
            <w:shd w:val="clear" w:color="auto" w:fill="auto"/>
            <w:vAlign w:val="center"/>
            <w:hideMark/>
          </w:tcPr>
          <w:p w14:paraId="5B45D59B"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SAT1</w:t>
            </w:r>
          </w:p>
        </w:tc>
        <w:tc>
          <w:tcPr>
            <w:tcW w:w="2081" w:type="dxa"/>
            <w:tcBorders>
              <w:top w:val="nil"/>
              <w:left w:val="nil"/>
              <w:bottom w:val="nil"/>
              <w:right w:val="nil"/>
            </w:tcBorders>
            <w:shd w:val="clear" w:color="auto" w:fill="auto"/>
            <w:vAlign w:val="center"/>
            <w:hideMark/>
          </w:tcPr>
          <w:p w14:paraId="21207633" w14:textId="77777777" w:rsidR="009232E6" w:rsidRPr="00C55AE5" w:rsidRDefault="009232E6" w:rsidP="009A7C69">
            <w:pPr>
              <w:jc w:val="center"/>
              <w:rPr>
                <w:rFonts w:ascii="Arial" w:eastAsia="等线" w:hAnsi="Arial" w:cs="Arial"/>
                <w:color w:val="000000" w:themeColor="text1"/>
                <w:sz w:val="18"/>
                <w:szCs w:val="18"/>
              </w:rPr>
            </w:pPr>
            <w:bookmarkStart w:id="2" w:name="_Hlk81911667"/>
            <w:r w:rsidRPr="00C55AE5">
              <w:rPr>
                <w:rFonts w:ascii="Arial" w:eastAsia="等线" w:hAnsi="Arial" w:cs="Arial"/>
                <w:color w:val="000000" w:themeColor="text1"/>
                <w:sz w:val="18"/>
                <w:szCs w:val="18"/>
              </w:rPr>
              <w:t>Spermidine/spermine N1-acetyl transferase 1</w:t>
            </w:r>
            <w:bookmarkEnd w:id="2"/>
          </w:p>
        </w:tc>
        <w:tc>
          <w:tcPr>
            <w:tcW w:w="1134" w:type="dxa"/>
            <w:tcBorders>
              <w:top w:val="nil"/>
              <w:left w:val="nil"/>
              <w:bottom w:val="nil"/>
              <w:right w:val="nil"/>
            </w:tcBorders>
            <w:shd w:val="clear" w:color="auto" w:fill="auto"/>
            <w:vAlign w:val="center"/>
            <w:hideMark/>
          </w:tcPr>
          <w:p w14:paraId="756342AA"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2.3.1.57</w:t>
            </w:r>
          </w:p>
        </w:tc>
        <w:tc>
          <w:tcPr>
            <w:tcW w:w="1984" w:type="dxa"/>
            <w:tcBorders>
              <w:top w:val="nil"/>
              <w:left w:val="nil"/>
              <w:bottom w:val="nil"/>
              <w:right w:val="nil"/>
            </w:tcBorders>
            <w:shd w:val="clear" w:color="auto" w:fill="auto"/>
            <w:vAlign w:val="center"/>
            <w:hideMark/>
          </w:tcPr>
          <w:p w14:paraId="7C01602D"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Arginine and proline metabolism</w:t>
            </w:r>
          </w:p>
        </w:tc>
        <w:tc>
          <w:tcPr>
            <w:tcW w:w="1204" w:type="dxa"/>
            <w:tcBorders>
              <w:top w:val="nil"/>
              <w:left w:val="nil"/>
              <w:bottom w:val="nil"/>
              <w:right w:val="nil"/>
            </w:tcBorders>
            <w:shd w:val="clear" w:color="auto" w:fill="auto"/>
            <w:vAlign w:val="center"/>
            <w:hideMark/>
          </w:tcPr>
          <w:p w14:paraId="5BD39841"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Spermidine, Spermine</w:t>
            </w:r>
          </w:p>
        </w:tc>
        <w:tc>
          <w:tcPr>
            <w:tcW w:w="2765" w:type="dxa"/>
            <w:gridSpan w:val="2"/>
            <w:tcBorders>
              <w:top w:val="nil"/>
              <w:left w:val="nil"/>
              <w:bottom w:val="nil"/>
              <w:right w:val="nil"/>
            </w:tcBorders>
            <w:shd w:val="clear" w:color="auto" w:fill="auto"/>
            <w:vAlign w:val="center"/>
            <w:hideMark/>
          </w:tcPr>
          <w:p w14:paraId="5F84E3D5"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Catalyzes the acetylation of spermidine and spermine</w:t>
            </w:r>
          </w:p>
        </w:tc>
      </w:tr>
      <w:tr w:rsidR="009232E6" w:rsidRPr="00C55AE5" w14:paraId="1DA34564" w14:textId="77777777" w:rsidTr="009232E6">
        <w:trPr>
          <w:trHeight w:val="720"/>
          <w:jc w:val="center"/>
        </w:trPr>
        <w:tc>
          <w:tcPr>
            <w:tcW w:w="897" w:type="dxa"/>
            <w:tcBorders>
              <w:top w:val="nil"/>
              <w:left w:val="nil"/>
              <w:bottom w:val="nil"/>
              <w:right w:val="nil"/>
            </w:tcBorders>
            <w:shd w:val="clear" w:color="auto" w:fill="D9D9D9" w:themeFill="background1" w:themeFillShade="D9"/>
            <w:vAlign w:val="center"/>
            <w:hideMark/>
          </w:tcPr>
          <w:p w14:paraId="18A09537"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HDC</w:t>
            </w:r>
          </w:p>
        </w:tc>
        <w:tc>
          <w:tcPr>
            <w:tcW w:w="2081" w:type="dxa"/>
            <w:tcBorders>
              <w:top w:val="nil"/>
              <w:left w:val="nil"/>
              <w:bottom w:val="nil"/>
              <w:right w:val="nil"/>
            </w:tcBorders>
            <w:shd w:val="clear" w:color="auto" w:fill="D9D9D9" w:themeFill="background1" w:themeFillShade="D9"/>
            <w:vAlign w:val="center"/>
            <w:hideMark/>
          </w:tcPr>
          <w:p w14:paraId="63892004" w14:textId="77777777" w:rsidR="009232E6" w:rsidRPr="00C55AE5" w:rsidRDefault="009232E6" w:rsidP="009A7C69">
            <w:pPr>
              <w:jc w:val="center"/>
              <w:rPr>
                <w:rFonts w:ascii="Arial" w:eastAsia="等线" w:hAnsi="Arial" w:cs="Arial"/>
                <w:color w:val="000000" w:themeColor="text1"/>
                <w:sz w:val="18"/>
                <w:szCs w:val="18"/>
              </w:rPr>
            </w:pPr>
            <w:bookmarkStart w:id="3" w:name="_Hlk81911678"/>
            <w:r w:rsidRPr="00C55AE5">
              <w:rPr>
                <w:rFonts w:ascii="Arial" w:eastAsia="等线" w:hAnsi="Arial" w:cs="Arial"/>
                <w:color w:val="000000" w:themeColor="text1"/>
                <w:sz w:val="18"/>
                <w:szCs w:val="18"/>
              </w:rPr>
              <w:t>Histidine decarboxylase</w:t>
            </w:r>
            <w:bookmarkEnd w:id="3"/>
          </w:p>
        </w:tc>
        <w:tc>
          <w:tcPr>
            <w:tcW w:w="1134" w:type="dxa"/>
            <w:tcBorders>
              <w:top w:val="nil"/>
              <w:left w:val="nil"/>
              <w:bottom w:val="nil"/>
              <w:right w:val="nil"/>
            </w:tcBorders>
            <w:shd w:val="clear" w:color="auto" w:fill="D9D9D9" w:themeFill="background1" w:themeFillShade="D9"/>
            <w:vAlign w:val="center"/>
            <w:hideMark/>
          </w:tcPr>
          <w:p w14:paraId="1E9E2CC5"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4.1.1.22</w:t>
            </w:r>
          </w:p>
        </w:tc>
        <w:tc>
          <w:tcPr>
            <w:tcW w:w="1984" w:type="dxa"/>
            <w:tcBorders>
              <w:top w:val="nil"/>
              <w:left w:val="nil"/>
              <w:bottom w:val="nil"/>
              <w:right w:val="nil"/>
            </w:tcBorders>
            <w:shd w:val="clear" w:color="auto" w:fill="D9D9D9" w:themeFill="background1" w:themeFillShade="D9"/>
            <w:vAlign w:val="center"/>
            <w:hideMark/>
          </w:tcPr>
          <w:p w14:paraId="352849F3"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Histidine metabolism</w:t>
            </w:r>
          </w:p>
        </w:tc>
        <w:tc>
          <w:tcPr>
            <w:tcW w:w="1204" w:type="dxa"/>
            <w:tcBorders>
              <w:top w:val="nil"/>
              <w:left w:val="nil"/>
              <w:bottom w:val="nil"/>
              <w:right w:val="nil"/>
            </w:tcBorders>
            <w:shd w:val="clear" w:color="auto" w:fill="D9D9D9" w:themeFill="background1" w:themeFillShade="D9"/>
            <w:vAlign w:val="center"/>
            <w:hideMark/>
          </w:tcPr>
          <w:p w14:paraId="65A9B496"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Histidine, Histamine</w:t>
            </w:r>
          </w:p>
        </w:tc>
        <w:tc>
          <w:tcPr>
            <w:tcW w:w="2765" w:type="dxa"/>
            <w:gridSpan w:val="2"/>
            <w:tcBorders>
              <w:top w:val="nil"/>
              <w:left w:val="nil"/>
              <w:bottom w:val="nil"/>
              <w:right w:val="nil"/>
            </w:tcBorders>
            <w:shd w:val="clear" w:color="auto" w:fill="D9D9D9" w:themeFill="background1" w:themeFillShade="D9"/>
            <w:vAlign w:val="center"/>
            <w:hideMark/>
          </w:tcPr>
          <w:p w14:paraId="3A81B902"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Induces the decarboxylation of histidine to form histamine</w:t>
            </w:r>
          </w:p>
        </w:tc>
      </w:tr>
      <w:tr w:rsidR="009232E6" w:rsidRPr="00C55AE5" w14:paraId="573EE7F4" w14:textId="77777777" w:rsidTr="009A7C69">
        <w:trPr>
          <w:trHeight w:val="720"/>
          <w:jc w:val="center"/>
        </w:trPr>
        <w:tc>
          <w:tcPr>
            <w:tcW w:w="897" w:type="dxa"/>
            <w:tcBorders>
              <w:top w:val="nil"/>
              <w:left w:val="nil"/>
              <w:right w:val="nil"/>
            </w:tcBorders>
            <w:shd w:val="clear" w:color="auto" w:fill="auto"/>
            <w:vAlign w:val="center"/>
            <w:hideMark/>
          </w:tcPr>
          <w:p w14:paraId="1BA9C1A1"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CPT1</w:t>
            </w:r>
          </w:p>
        </w:tc>
        <w:tc>
          <w:tcPr>
            <w:tcW w:w="2081" w:type="dxa"/>
            <w:tcBorders>
              <w:top w:val="nil"/>
              <w:left w:val="nil"/>
              <w:right w:val="nil"/>
            </w:tcBorders>
            <w:shd w:val="clear" w:color="auto" w:fill="auto"/>
            <w:vAlign w:val="center"/>
            <w:hideMark/>
          </w:tcPr>
          <w:p w14:paraId="5A760F15" w14:textId="77777777" w:rsidR="009232E6" w:rsidRPr="00C55AE5" w:rsidRDefault="009232E6" w:rsidP="009A7C69">
            <w:pPr>
              <w:jc w:val="center"/>
              <w:rPr>
                <w:rFonts w:ascii="Arial" w:eastAsia="等线" w:hAnsi="Arial" w:cs="Arial"/>
                <w:color w:val="000000" w:themeColor="text1"/>
                <w:sz w:val="18"/>
                <w:szCs w:val="18"/>
              </w:rPr>
            </w:pPr>
            <w:bookmarkStart w:id="4" w:name="_Hlk81911647"/>
            <w:r w:rsidRPr="00C55AE5">
              <w:rPr>
                <w:rFonts w:ascii="Arial" w:eastAsia="等线" w:hAnsi="Arial" w:cs="Arial"/>
                <w:color w:val="000000" w:themeColor="text1"/>
                <w:sz w:val="18"/>
                <w:szCs w:val="18"/>
              </w:rPr>
              <w:t>Carnitine O-palmitoyl-transferase 1</w:t>
            </w:r>
            <w:bookmarkEnd w:id="4"/>
          </w:p>
        </w:tc>
        <w:tc>
          <w:tcPr>
            <w:tcW w:w="1134" w:type="dxa"/>
            <w:tcBorders>
              <w:top w:val="nil"/>
              <w:left w:val="nil"/>
              <w:right w:val="nil"/>
            </w:tcBorders>
            <w:shd w:val="clear" w:color="auto" w:fill="auto"/>
            <w:vAlign w:val="center"/>
            <w:hideMark/>
          </w:tcPr>
          <w:p w14:paraId="7E2D9169"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2.3.1.21</w:t>
            </w:r>
          </w:p>
        </w:tc>
        <w:tc>
          <w:tcPr>
            <w:tcW w:w="1984" w:type="dxa"/>
            <w:tcBorders>
              <w:top w:val="nil"/>
              <w:left w:val="nil"/>
              <w:right w:val="nil"/>
            </w:tcBorders>
            <w:shd w:val="clear" w:color="auto" w:fill="auto"/>
            <w:vAlign w:val="center"/>
            <w:hideMark/>
          </w:tcPr>
          <w:p w14:paraId="353061DB"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Fatty acid degradation</w:t>
            </w:r>
          </w:p>
        </w:tc>
        <w:tc>
          <w:tcPr>
            <w:tcW w:w="1204" w:type="dxa"/>
            <w:tcBorders>
              <w:top w:val="nil"/>
              <w:left w:val="nil"/>
              <w:right w:val="nil"/>
            </w:tcBorders>
            <w:shd w:val="clear" w:color="auto" w:fill="auto"/>
            <w:vAlign w:val="center"/>
            <w:hideMark/>
          </w:tcPr>
          <w:p w14:paraId="1C26DA04"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Palmitoyl-CoA</w:t>
            </w:r>
          </w:p>
        </w:tc>
        <w:tc>
          <w:tcPr>
            <w:tcW w:w="2765" w:type="dxa"/>
            <w:gridSpan w:val="2"/>
            <w:tcBorders>
              <w:top w:val="nil"/>
              <w:left w:val="nil"/>
              <w:right w:val="nil"/>
            </w:tcBorders>
            <w:shd w:val="clear" w:color="auto" w:fill="auto"/>
            <w:vAlign w:val="center"/>
            <w:hideMark/>
          </w:tcPr>
          <w:p w14:paraId="19867B8F"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Facilitates long-chain FA crossing mitochondrial outer membranes</w:t>
            </w:r>
          </w:p>
        </w:tc>
      </w:tr>
      <w:tr w:rsidR="009232E6" w:rsidRPr="00C55AE5" w14:paraId="21230334" w14:textId="77777777" w:rsidTr="009232E6">
        <w:trPr>
          <w:trHeight w:val="480"/>
          <w:jc w:val="center"/>
        </w:trPr>
        <w:tc>
          <w:tcPr>
            <w:tcW w:w="897" w:type="dxa"/>
            <w:tcBorders>
              <w:top w:val="nil"/>
              <w:left w:val="nil"/>
              <w:bottom w:val="single" w:sz="4" w:space="0" w:color="auto"/>
              <w:right w:val="nil"/>
            </w:tcBorders>
            <w:shd w:val="clear" w:color="auto" w:fill="D9D9D9" w:themeFill="background1" w:themeFillShade="D9"/>
            <w:vAlign w:val="center"/>
            <w:hideMark/>
          </w:tcPr>
          <w:p w14:paraId="23554EAA" w14:textId="77777777" w:rsidR="009232E6" w:rsidRPr="00C55AE5" w:rsidRDefault="009232E6" w:rsidP="009A7C69">
            <w:pPr>
              <w:jc w:val="center"/>
              <w:rPr>
                <w:rFonts w:ascii="Arial" w:eastAsia="等线" w:hAnsi="Arial" w:cs="Arial"/>
                <w:b/>
                <w:bCs/>
                <w:color w:val="000000" w:themeColor="text1"/>
                <w:sz w:val="18"/>
                <w:szCs w:val="18"/>
              </w:rPr>
            </w:pPr>
            <w:r w:rsidRPr="00C55AE5">
              <w:rPr>
                <w:rFonts w:ascii="Arial" w:eastAsia="等线" w:hAnsi="Arial" w:cs="Arial"/>
                <w:b/>
                <w:bCs/>
                <w:color w:val="000000" w:themeColor="text1"/>
                <w:sz w:val="18"/>
                <w:szCs w:val="18"/>
              </w:rPr>
              <w:t>FAS</w:t>
            </w:r>
          </w:p>
        </w:tc>
        <w:tc>
          <w:tcPr>
            <w:tcW w:w="2081" w:type="dxa"/>
            <w:tcBorders>
              <w:top w:val="nil"/>
              <w:left w:val="nil"/>
              <w:bottom w:val="single" w:sz="4" w:space="0" w:color="auto"/>
              <w:right w:val="nil"/>
            </w:tcBorders>
            <w:shd w:val="clear" w:color="auto" w:fill="D9D9D9" w:themeFill="background1" w:themeFillShade="D9"/>
            <w:vAlign w:val="center"/>
            <w:hideMark/>
          </w:tcPr>
          <w:p w14:paraId="1AB78D20" w14:textId="77777777" w:rsidR="009232E6" w:rsidRPr="00C55AE5" w:rsidRDefault="009232E6" w:rsidP="009A7C69">
            <w:pPr>
              <w:jc w:val="center"/>
              <w:rPr>
                <w:rFonts w:ascii="Arial" w:eastAsia="等线" w:hAnsi="Arial" w:cs="Arial"/>
                <w:color w:val="000000" w:themeColor="text1"/>
                <w:sz w:val="18"/>
                <w:szCs w:val="18"/>
              </w:rPr>
            </w:pPr>
            <w:bookmarkStart w:id="5" w:name="_Hlk81911691"/>
            <w:r w:rsidRPr="00C55AE5">
              <w:rPr>
                <w:rFonts w:ascii="Arial" w:eastAsia="等线" w:hAnsi="Arial" w:cs="Arial"/>
                <w:color w:val="000000" w:themeColor="text1"/>
                <w:sz w:val="18"/>
                <w:szCs w:val="18"/>
              </w:rPr>
              <w:t>Fatty-acid synthase</w:t>
            </w:r>
            <w:bookmarkEnd w:id="5"/>
          </w:p>
        </w:tc>
        <w:tc>
          <w:tcPr>
            <w:tcW w:w="1134" w:type="dxa"/>
            <w:tcBorders>
              <w:top w:val="nil"/>
              <w:left w:val="nil"/>
              <w:bottom w:val="single" w:sz="4" w:space="0" w:color="auto"/>
              <w:right w:val="nil"/>
            </w:tcBorders>
            <w:shd w:val="clear" w:color="auto" w:fill="D9D9D9" w:themeFill="background1" w:themeFillShade="D9"/>
            <w:vAlign w:val="center"/>
            <w:hideMark/>
          </w:tcPr>
          <w:p w14:paraId="0EADD567"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2.3.1.85</w:t>
            </w:r>
          </w:p>
        </w:tc>
        <w:tc>
          <w:tcPr>
            <w:tcW w:w="1984" w:type="dxa"/>
            <w:tcBorders>
              <w:top w:val="nil"/>
              <w:left w:val="nil"/>
              <w:bottom w:val="single" w:sz="4" w:space="0" w:color="auto"/>
              <w:right w:val="nil"/>
            </w:tcBorders>
            <w:shd w:val="clear" w:color="auto" w:fill="D9D9D9" w:themeFill="background1" w:themeFillShade="D9"/>
            <w:vAlign w:val="center"/>
            <w:hideMark/>
          </w:tcPr>
          <w:p w14:paraId="3DE07C8D"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Fatty acid biosynthesis</w:t>
            </w:r>
          </w:p>
        </w:tc>
        <w:tc>
          <w:tcPr>
            <w:tcW w:w="1204" w:type="dxa"/>
            <w:tcBorders>
              <w:top w:val="nil"/>
              <w:left w:val="nil"/>
              <w:bottom w:val="single" w:sz="4" w:space="0" w:color="auto"/>
              <w:right w:val="nil"/>
            </w:tcBorders>
            <w:shd w:val="clear" w:color="auto" w:fill="D9D9D9" w:themeFill="background1" w:themeFillShade="D9"/>
            <w:vAlign w:val="center"/>
            <w:hideMark/>
          </w:tcPr>
          <w:p w14:paraId="68170689"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Long-chain fatty acids</w:t>
            </w:r>
          </w:p>
        </w:tc>
        <w:tc>
          <w:tcPr>
            <w:tcW w:w="2765" w:type="dxa"/>
            <w:gridSpan w:val="2"/>
            <w:tcBorders>
              <w:top w:val="nil"/>
              <w:left w:val="nil"/>
              <w:bottom w:val="single" w:sz="4" w:space="0" w:color="auto"/>
              <w:right w:val="nil"/>
            </w:tcBorders>
            <w:shd w:val="clear" w:color="auto" w:fill="D9D9D9" w:themeFill="background1" w:themeFillShade="D9"/>
            <w:vAlign w:val="center"/>
            <w:hideMark/>
          </w:tcPr>
          <w:p w14:paraId="5662A363" w14:textId="77777777" w:rsidR="009232E6" w:rsidRPr="00C55AE5" w:rsidRDefault="009232E6" w:rsidP="009A7C69">
            <w:pPr>
              <w:jc w:val="center"/>
              <w:rPr>
                <w:rFonts w:ascii="Arial" w:eastAsia="等线" w:hAnsi="Arial" w:cs="Arial"/>
                <w:color w:val="000000" w:themeColor="text1"/>
                <w:sz w:val="18"/>
                <w:szCs w:val="18"/>
              </w:rPr>
            </w:pPr>
            <w:r w:rsidRPr="00C55AE5">
              <w:rPr>
                <w:rFonts w:ascii="Arial" w:eastAsia="等线" w:hAnsi="Arial" w:cs="Arial"/>
                <w:color w:val="000000" w:themeColor="text1"/>
                <w:sz w:val="18"/>
                <w:szCs w:val="18"/>
              </w:rPr>
              <w:t>Catalyzes the formation of long-chain FAs</w:t>
            </w:r>
          </w:p>
        </w:tc>
      </w:tr>
    </w:tbl>
    <w:p w14:paraId="4C3EBA8D" w14:textId="3809F461" w:rsidR="00162552" w:rsidRDefault="00162552" w:rsidP="005D2F55">
      <w:pPr>
        <w:keepNext/>
        <w:rPr>
          <w:rFonts w:cs="Times New Roman"/>
          <w:color w:val="FF0000"/>
          <w:szCs w:val="24"/>
          <w:lang w:eastAsia="zh-CN"/>
        </w:rPr>
      </w:pPr>
    </w:p>
    <w:sectPr w:rsidR="00162552"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6069" w14:textId="77777777" w:rsidR="00D66782" w:rsidRDefault="00D66782" w:rsidP="00117666">
      <w:pPr>
        <w:spacing w:after="0"/>
      </w:pPr>
      <w:r>
        <w:separator/>
      </w:r>
    </w:p>
  </w:endnote>
  <w:endnote w:type="continuationSeparator" w:id="0">
    <w:p w14:paraId="37523965" w14:textId="77777777" w:rsidR="00D66782" w:rsidRDefault="00D6678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67E2" w14:textId="77777777" w:rsidR="00D66782" w:rsidRDefault="00D66782" w:rsidP="00117666">
      <w:pPr>
        <w:spacing w:after="0"/>
      </w:pPr>
      <w:r>
        <w:separator/>
      </w:r>
    </w:p>
  </w:footnote>
  <w:footnote w:type="continuationSeparator" w:id="0">
    <w:p w14:paraId="6DA21340" w14:textId="77777777" w:rsidR="00D66782" w:rsidRDefault="00D6678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4"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61FA6"/>
    <w:rsid w:val="00077D53"/>
    <w:rsid w:val="00105FD9"/>
    <w:rsid w:val="00111AA9"/>
    <w:rsid w:val="00117666"/>
    <w:rsid w:val="001549D3"/>
    <w:rsid w:val="00160065"/>
    <w:rsid w:val="00162552"/>
    <w:rsid w:val="00173438"/>
    <w:rsid w:val="00177D84"/>
    <w:rsid w:val="001D311A"/>
    <w:rsid w:val="00267D18"/>
    <w:rsid w:val="00274347"/>
    <w:rsid w:val="002822A1"/>
    <w:rsid w:val="002868E2"/>
    <w:rsid w:val="002869C3"/>
    <w:rsid w:val="002936E4"/>
    <w:rsid w:val="002B4A57"/>
    <w:rsid w:val="002C74CA"/>
    <w:rsid w:val="003123F4"/>
    <w:rsid w:val="003544FB"/>
    <w:rsid w:val="003753C9"/>
    <w:rsid w:val="003D2F2D"/>
    <w:rsid w:val="00401590"/>
    <w:rsid w:val="00447801"/>
    <w:rsid w:val="00452E9C"/>
    <w:rsid w:val="004735C8"/>
    <w:rsid w:val="004947A6"/>
    <w:rsid w:val="004961FF"/>
    <w:rsid w:val="00517A89"/>
    <w:rsid w:val="005250F2"/>
    <w:rsid w:val="005568F2"/>
    <w:rsid w:val="00593EEA"/>
    <w:rsid w:val="005A19D7"/>
    <w:rsid w:val="005A4293"/>
    <w:rsid w:val="005A5EEE"/>
    <w:rsid w:val="005D2F55"/>
    <w:rsid w:val="00622AA9"/>
    <w:rsid w:val="006375C7"/>
    <w:rsid w:val="00654E8F"/>
    <w:rsid w:val="00660D05"/>
    <w:rsid w:val="006820B1"/>
    <w:rsid w:val="006B7D14"/>
    <w:rsid w:val="00701727"/>
    <w:rsid w:val="0070566C"/>
    <w:rsid w:val="00714C50"/>
    <w:rsid w:val="00725A7D"/>
    <w:rsid w:val="007501BE"/>
    <w:rsid w:val="00753BFF"/>
    <w:rsid w:val="00764EE7"/>
    <w:rsid w:val="00790BB3"/>
    <w:rsid w:val="007C206C"/>
    <w:rsid w:val="007E254B"/>
    <w:rsid w:val="00817DD6"/>
    <w:rsid w:val="0083759F"/>
    <w:rsid w:val="00885156"/>
    <w:rsid w:val="008E579A"/>
    <w:rsid w:val="009151AA"/>
    <w:rsid w:val="009232E6"/>
    <w:rsid w:val="0093429D"/>
    <w:rsid w:val="00943573"/>
    <w:rsid w:val="009514FF"/>
    <w:rsid w:val="00964134"/>
    <w:rsid w:val="00970F7D"/>
    <w:rsid w:val="00994A3D"/>
    <w:rsid w:val="009C2B12"/>
    <w:rsid w:val="00A174D9"/>
    <w:rsid w:val="00A235D2"/>
    <w:rsid w:val="00AA4D24"/>
    <w:rsid w:val="00AB6715"/>
    <w:rsid w:val="00AE4EEF"/>
    <w:rsid w:val="00AF04F7"/>
    <w:rsid w:val="00B14BD8"/>
    <w:rsid w:val="00B1671E"/>
    <w:rsid w:val="00B25EB8"/>
    <w:rsid w:val="00B37F4D"/>
    <w:rsid w:val="00C52A7B"/>
    <w:rsid w:val="00C56BAF"/>
    <w:rsid w:val="00C62654"/>
    <w:rsid w:val="00C679AA"/>
    <w:rsid w:val="00C75972"/>
    <w:rsid w:val="00CA04FC"/>
    <w:rsid w:val="00CD066B"/>
    <w:rsid w:val="00CE4FEE"/>
    <w:rsid w:val="00D060CF"/>
    <w:rsid w:val="00D66782"/>
    <w:rsid w:val="00DB59C3"/>
    <w:rsid w:val="00DC259A"/>
    <w:rsid w:val="00DE23E8"/>
    <w:rsid w:val="00E52377"/>
    <w:rsid w:val="00E537AD"/>
    <w:rsid w:val="00E64E17"/>
    <w:rsid w:val="00E866C9"/>
    <w:rsid w:val="00EA3D3C"/>
    <w:rsid w:val="00EC090A"/>
    <w:rsid w:val="00ED20B5"/>
    <w:rsid w:val="00F137F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EndNoteBibliography">
    <w:name w:val="EndNote Bibliography"/>
    <w:basedOn w:val="a0"/>
    <w:link w:val="EndNoteBibliography0"/>
    <w:rsid w:val="009232E6"/>
    <w:pPr>
      <w:widowControl w:val="0"/>
      <w:spacing w:before="0" w:after="0"/>
      <w:jc w:val="both"/>
    </w:pPr>
    <w:rPr>
      <w:rFonts w:ascii="等线" w:eastAsia="等线" w:hAnsi="等线"/>
      <w:noProof/>
      <w:kern w:val="2"/>
      <w:sz w:val="20"/>
      <w:lang w:eastAsia="zh-CN"/>
    </w:rPr>
  </w:style>
  <w:style w:type="character" w:customStyle="1" w:styleId="EndNoteBibliography0">
    <w:name w:val="EndNote Bibliography 字符"/>
    <w:basedOn w:val="a1"/>
    <w:link w:val="EndNoteBibliography"/>
    <w:rsid w:val="009232E6"/>
    <w:rPr>
      <w:rFonts w:ascii="等线" w:eastAsia="等线" w:hAnsi="等线"/>
      <w:noProof/>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362246680">
      <w:bodyDiv w:val="1"/>
      <w:marLeft w:val="0"/>
      <w:marRight w:val="0"/>
      <w:marTop w:val="0"/>
      <w:marBottom w:val="0"/>
      <w:divBdr>
        <w:top w:val="none" w:sz="0" w:space="0" w:color="auto"/>
        <w:left w:val="none" w:sz="0" w:space="0" w:color="auto"/>
        <w:bottom w:val="none" w:sz="0" w:space="0" w:color="auto"/>
        <w:right w:val="none" w:sz="0" w:space="0" w:color="auto"/>
      </w:divBdr>
      <w:divsChild>
        <w:div w:id="1382241719">
          <w:marLeft w:val="0"/>
          <w:marRight w:val="0"/>
          <w:marTop w:val="0"/>
          <w:marBottom w:val="0"/>
          <w:divBdr>
            <w:top w:val="none" w:sz="0" w:space="0" w:color="auto"/>
            <w:left w:val="none" w:sz="0" w:space="0" w:color="auto"/>
            <w:bottom w:val="none" w:sz="0" w:space="0" w:color="auto"/>
            <w:right w:val="none" w:sz="0" w:space="0" w:color="auto"/>
          </w:divBdr>
        </w:div>
        <w:div w:id="1580823302">
          <w:marLeft w:val="0"/>
          <w:marRight w:val="0"/>
          <w:marTop w:val="0"/>
          <w:marBottom w:val="0"/>
          <w:divBdr>
            <w:top w:val="none" w:sz="0" w:space="0" w:color="auto"/>
            <w:left w:val="none" w:sz="0" w:space="0" w:color="auto"/>
            <w:bottom w:val="none" w:sz="0" w:space="0" w:color="auto"/>
            <w:right w:val="none" w:sz="0" w:space="0" w:color="auto"/>
          </w:divBdr>
        </w:div>
        <w:div w:id="1210454792">
          <w:marLeft w:val="0"/>
          <w:marRight w:val="0"/>
          <w:marTop w:val="0"/>
          <w:marBottom w:val="0"/>
          <w:divBdr>
            <w:top w:val="none" w:sz="0" w:space="0" w:color="auto"/>
            <w:left w:val="none" w:sz="0" w:space="0" w:color="auto"/>
            <w:bottom w:val="none" w:sz="0" w:space="0" w:color="auto"/>
            <w:right w:val="none" w:sz="0" w:space="0" w:color="auto"/>
          </w:divBdr>
        </w:div>
        <w:div w:id="567614650">
          <w:marLeft w:val="0"/>
          <w:marRight w:val="0"/>
          <w:marTop w:val="0"/>
          <w:marBottom w:val="0"/>
          <w:divBdr>
            <w:top w:val="none" w:sz="0" w:space="0" w:color="auto"/>
            <w:left w:val="none" w:sz="0" w:space="0" w:color="auto"/>
            <w:bottom w:val="none" w:sz="0" w:space="0" w:color="auto"/>
            <w:right w:val="none" w:sz="0" w:space="0" w:color="auto"/>
          </w:divBdr>
        </w:div>
        <w:div w:id="694774248">
          <w:marLeft w:val="0"/>
          <w:marRight w:val="0"/>
          <w:marTop w:val="0"/>
          <w:marBottom w:val="0"/>
          <w:divBdr>
            <w:top w:val="none" w:sz="0" w:space="0" w:color="auto"/>
            <w:left w:val="none" w:sz="0" w:space="0" w:color="auto"/>
            <w:bottom w:val="none" w:sz="0" w:space="0" w:color="auto"/>
            <w:right w:val="none" w:sz="0" w:space="0" w:color="auto"/>
          </w:divBdr>
        </w:div>
        <w:div w:id="118114297">
          <w:marLeft w:val="0"/>
          <w:marRight w:val="0"/>
          <w:marTop w:val="0"/>
          <w:marBottom w:val="0"/>
          <w:divBdr>
            <w:top w:val="none" w:sz="0" w:space="0" w:color="auto"/>
            <w:left w:val="none" w:sz="0" w:space="0" w:color="auto"/>
            <w:bottom w:val="none" w:sz="0" w:space="0" w:color="auto"/>
            <w:right w:val="none" w:sz="0" w:space="0" w:color="auto"/>
          </w:divBdr>
        </w:div>
        <w:div w:id="644437777">
          <w:marLeft w:val="0"/>
          <w:marRight w:val="0"/>
          <w:marTop w:val="0"/>
          <w:marBottom w:val="0"/>
          <w:divBdr>
            <w:top w:val="none" w:sz="0" w:space="0" w:color="auto"/>
            <w:left w:val="none" w:sz="0" w:space="0" w:color="auto"/>
            <w:bottom w:val="none" w:sz="0" w:space="0" w:color="auto"/>
            <w:right w:val="none" w:sz="0" w:space="0" w:color="auto"/>
          </w:divBdr>
        </w:div>
        <w:div w:id="1478378898">
          <w:marLeft w:val="0"/>
          <w:marRight w:val="0"/>
          <w:marTop w:val="0"/>
          <w:marBottom w:val="0"/>
          <w:divBdr>
            <w:top w:val="none" w:sz="0" w:space="0" w:color="auto"/>
            <w:left w:val="none" w:sz="0" w:space="0" w:color="auto"/>
            <w:bottom w:val="none" w:sz="0" w:space="0" w:color="auto"/>
            <w:right w:val="none" w:sz="0" w:space="0" w:color="auto"/>
          </w:divBdr>
        </w:div>
        <w:div w:id="179441118">
          <w:marLeft w:val="0"/>
          <w:marRight w:val="0"/>
          <w:marTop w:val="0"/>
          <w:marBottom w:val="0"/>
          <w:divBdr>
            <w:top w:val="none" w:sz="0" w:space="0" w:color="auto"/>
            <w:left w:val="none" w:sz="0" w:space="0" w:color="auto"/>
            <w:bottom w:val="none" w:sz="0" w:space="0" w:color="auto"/>
            <w:right w:val="none" w:sz="0" w:space="0" w:color="auto"/>
          </w:divBdr>
        </w:div>
        <w:div w:id="347756969">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257</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霖楠 拜</cp:lastModifiedBy>
  <cp:revision>11</cp:revision>
  <cp:lastPrinted>2013-10-03T12:51:00Z</cp:lastPrinted>
  <dcterms:created xsi:type="dcterms:W3CDTF">2021-09-19T07:53:00Z</dcterms:created>
  <dcterms:modified xsi:type="dcterms:W3CDTF">2021-11-02T10:12:00Z</dcterms:modified>
</cp:coreProperties>
</file>