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B6D8" w14:textId="2C8A28E1" w:rsidR="00DE1833" w:rsidRPr="00CF2AAD" w:rsidRDefault="00DE1833" w:rsidP="009736AD">
      <w:pPr>
        <w:rPr>
          <w:b/>
          <w:bCs/>
          <w:lang w:val="en-US"/>
        </w:rPr>
      </w:pPr>
      <w:r>
        <w:rPr>
          <w:b/>
          <w:bCs/>
          <w:lang w:val="en-US"/>
        </w:rPr>
        <w:t>Supplementary Tables</w:t>
      </w:r>
    </w:p>
    <w:p w14:paraId="62DF684F" w14:textId="6527CFD1" w:rsidR="00CF2AAD" w:rsidRDefault="00DE1833" w:rsidP="009736AD">
      <w:pPr>
        <w:rPr>
          <w:lang w:val="en-US"/>
        </w:rPr>
      </w:pPr>
      <w:r>
        <w:rPr>
          <w:lang w:val="en-US"/>
        </w:rPr>
        <w:t xml:space="preserve">Supplementary </w:t>
      </w:r>
      <w:r w:rsidR="00041361">
        <w:rPr>
          <w:lang w:val="en-US"/>
        </w:rPr>
        <w:t>Table 1. Novel FDA approved therapies for cancer between 2018-2020</w:t>
      </w:r>
    </w:p>
    <w:p w14:paraId="73A20F9C" w14:textId="77777777" w:rsidR="00346D75" w:rsidRDefault="00346D75" w:rsidP="009736AD">
      <w:pPr>
        <w:rPr>
          <w:lang w:val="en-US"/>
        </w:rPr>
      </w:pPr>
    </w:p>
    <w:tbl>
      <w:tblPr>
        <w:tblStyle w:val="ListTable6Colourful"/>
        <w:tblW w:w="0" w:type="auto"/>
        <w:tblLook w:val="04A0" w:firstRow="1" w:lastRow="0" w:firstColumn="1" w:lastColumn="0" w:noHBand="0" w:noVBand="1"/>
      </w:tblPr>
      <w:tblGrid>
        <w:gridCol w:w="666"/>
        <w:gridCol w:w="1886"/>
        <w:gridCol w:w="2693"/>
        <w:gridCol w:w="4678"/>
        <w:gridCol w:w="2977"/>
        <w:gridCol w:w="1060"/>
      </w:tblGrid>
      <w:tr w:rsidR="00346D75" w14:paraId="7365AF15" w14:textId="77777777" w:rsidTr="00346D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tcPr>
          <w:p w14:paraId="6739DC96" w14:textId="5E971AC4" w:rsidR="00F05583" w:rsidRPr="00346D75" w:rsidRDefault="00F05583" w:rsidP="009736AD">
            <w:pPr>
              <w:rPr>
                <w:sz w:val="18"/>
                <w:szCs w:val="18"/>
                <w:lang w:val="en-US"/>
              </w:rPr>
            </w:pPr>
            <w:r w:rsidRPr="00346D75">
              <w:rPr>
                <w:sz w:val="18"/>
                <w:szCs w:val="18"/>
                <w:lang w:val="en-US"/>
              </w:rPr>
              <w:t>Year</w:t>
            </w:r>
          </w:p>
        </w:tc>
        <w:tc>
          <w:tcPr>
            <w:tcW w:w="1886" w:type="dxa"/>
          </w:tcPr>
          <w:p w14:paraId="31D05AEF" w14:textId="4D973111" w:rsidR="00F05583" w:rsidRPr="00346D75" w:rsidRDefault="00F05583" w:rsidP="009736AD">
            <w:pPr>
              <w:cnfStyle w:val="100000000000" w:firstRow="1" w:lastRow="0" w:firstColumn="0" w:lastColumn="0" w:oddVBand="0" w:evenVBand="0" w:oddHBand="0" w:evenHBand="0" w:firstRowFirstColumn="0" w:firstRowLastColumn="0" w:lastRowFirstColumn="0" w:lastRowLastColumn="0"/>
              <w:rPr>
                <w:sz w:val="18"/>
                <w:szCs w:val="18"/>
                <w:lang w:val="en-US"/>
              </w:rPr>
            </w:pPr>
            <w:r w:rsidRPr="00346D75">
              <w:rPr>
                <w:sz w:val="18"/>
                <w:szCs w:val="18"/>
                <w:lang w:val="en-US"/>
              </w:rPr>
              <w:t>Cancer Therapy</w:t>
            </w:r>
          </w:p>
        </w:tc>
        <w:tc>
          <w:tcPr>
            <w:tcW w:w="2693" w:type="dxa"/>
          </w:tcPr>
          <w:p w14:paraId="213D40A4" w14:textId="3AF63D24" w:rsidR="00F05583" w:rsidRPr="00346D75" w:rsidRDefault="00F05583" w:rsidP="009736AD">
            <w:pPr>
              <w:cnfStyle w:val="100000000000" w:firstRow="1" w:lastRow="0" w:firstColumn="0" w:lastColumn="0" w:oddVBand="0" w:evenVBand="0" w:oddHBand="0" w:evenHBand="0" w:firstRowFirstColumn="0" w:firstRowLastColumn="0" w:lastRowFirstColumn="0" w:lastRowLastColumn="0"/>
              <w:rPr>
                <w:sz w:val="18"/>
                <w:szCs w:val="18"/>
                <w:lang w:val="en-US"/>
              </w:rPr>
            </w:pPr>
            <w:r w:rsidRPr="00346D75">
              <w:rPr>
                <w:sz w:val="18"/>
                <w:szCs w:val="18"/>
                <w:lang w:val="en-US"/>
              </w:rPr>
              <w:t>Target or Mechanism of Action</w:t>
            </w:r>
          </w:p>
        </w:tc>
        <w:tc>
          <w:tcPr>
            <w:tcW w:w="4678" w:type="dxa"/>
          </w:tcPr>
          <w:p w14:paraId="45E5A7CC" w14:textId="21859531" w:rsidR="00F05583" w:rsidRPr="00346D75" w:rsidRDefault="00F05583" w:rsidP="009736AD">
            <w:pPr>
              <w:cnfStyle w:val="100000000000" w:firstRow="1" w:lastRow="0" w:firstColumn="0" w:lastColumn="0" w:oddVBand="0" w:evenVBand="0" w:oddHBand="0" w:evenHBand="0" w:firstRowFirstColumn="0" w:firstRowLastColumn="0" w:lastRowFirstColumn="0" w:lastRowLastColumn="0"/>
              <w:rPr>
                <w:sz w:val="18"/>
                <w:szCs w:val="18"/>
                <w:lang w:val="en-US"/>
              </w:rPr>
            </w:pPr>
            <w:r w:rsidRPr="00346D75">
              <w:rPr>
                <w:sz w:val="18"/>
                <w:szCs w:val="18"/>
                <w:lang w:val="en-US"/>
              </w:rPr>
              <w:t>Indication</w:t>
            </w:r>
          </w:p>
        </w:tc>
        <w:tc>
          <w:tcPr>
            <w:tcW w:w="2977" w:type="dxa"/>
          </w:tcPr>
          <w:p w14:paraId="48D8D39D" w14:textId="4B6F7006" w:rsidR="00F05583" w:rsidRPr="00346D75" w:rsidRDefault="00786661" w:rsidP="009736AD">
            <w:pPr>
              <w:cnfStyle w:val="100000000000" w:firstRow="1" w:lastRow="0" w:firstColumn="0" w:lastColumn="0" w:oddVBand="0" w:evenVBand="0" w:oddHBand="0" w:evenHBand="0" w:firstRowFirstColumn="0" w:firstRowLastColumn="0" w:lastRowFirstColumn="0" w:lastRowLastColumn="0"/>
              <w:rPr>
                <w:sz w:val="18"/>
                <w:szCs w:val="18"/>
                <w:lang w:val="en-US"/>
              </w:rPr>
            </w:pPr>
            <w:r>
              <w:rPr>
                <w:sz w:val="18"/>
                <w:szCs w:val="18"/>
                <w:lang w:val="en-US"/>
              </w:rPr>
              <w:t xml:space="preserve">Registrational </w:t>
            </w:r>
            <w:r w:rsidR="00F05583" w:rsidRPr="00346D75">
              <w:rPr>
                <w:sz w:val="18"/>
                <w:szCs w:val="18"/>
                <w:lang w:val="en-US"/>
              </w:rPr>
              <w:t>Trial(s)</w:t>
            </w:r>
          </w:p>
        </w:tc>
        <w:tc>
          <w:tcPr>
            <w:tcW w:w="1060" w:type="dxa"/>
          </w:tcPr>
          <w:p w14:paraId="16631D3F" w14:textId="5508ACC5" w:rsidR="00F05583" w:rsidRPr="00346D75" w:rsidRDefault="00F05583" w:rsidP="009736AD">
            <w:pPr>
              <w:cnfStyle w:val="100000000000" w:firstRow="1" w:lastRow="0" w:firstColumn="0" w:lastColumn="0" w:oddVBand="0" w:evenVBand="0" w:oddHBand="0" w:evenHBand="0" w:firstRowFirstColumn="0" w:firstRowLastColumn="0" w:lastRowFirstColumn="0" w:lastRowLastColumn="0"/>
              <w:rPr>
                <w:sz w:val="18"/>
                <w:szCs w:val="18"/>
                <w:lang w:val="en-US"/>
              </w:rPr>
            </w:pPr>
            <w:r w:rsidRPr="00346D75">
              <w:rPr>
                <w:sz w:val="18"/>
                <w:szCs w:val="18"/>
                <w:lang w:val="en-US"/>
              </w:rPr>
              <w:t>Reference</w:t>
            </w:r>
          </w:p>
        </w:tc>
      </w:tr>
      <w:tr w:rsidR="00346D75" w14:paraId="506BA140"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1EFAB77C" w14:textId="2E422BDE"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135DD775" w14:textId="3B99BB3D"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Apalutamide</w:t>
            </w:r>
          </w:p>
        </w:tc>
        <w:tc>
          <w:tcPr>
            <w:tcW w:w="2693" w:type="dxa"/>
            <w:vAlign w:val="bottom"/>
          </w:tcPr>
          <w:p w14:paraId="121F5AF4" w14:textId="13B0F9F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Androgen receptor inhibitor</w:t>
            </w:r>
          </w:p>
        </w:tc>
        <w:tc>
          <w:tcPr>
            <w:tcW w:w="4678" w:type="dxa"/>
            <w:vAlign w:val="bottom"/>
          </w:tcPr>
          <w:p w14:paraId="57F10600" w14:textId="0772344D"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Prostate cancer</w:t>
            </w:r>
          </w:p>
        </w:tc>
        <w:tc>
          <w:tcPr>
            <w:tcW w:w="2977" w:type="dxa"/>
            <w:vAlign w:val="bottom"/>
          </w:tcPr>
          <w:p w14:paraId="101194E8" w14:textId="6D0244A4"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SPARTAN</w:t>
            </w:r>
          </w:p>
        </w:tc>
        <w:tc>
          <w:tcPr>
            <w:tcW w:w="1060" w:type="dxa"/>
          </w:tcPr>
          <w:p w14:paraId="54801327" w14:textId="1C13C5D2"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sz w:val="18"/>
                <w:szCs w:val="18"/>
                <w:lang w:val="en-US"/>
              </w:rPr>
              <w:fldChar w:fldCharType="begin"/>
            </w:r>
            <w:r w:rsidR="00913423">
              <w:rPr>
                <w:sz w:val="18"/>
                <w:szCs w:val="18"/>
                <w:lang w:val="en-US"/>
              </w:rPr>
              <w:instrText xml:space="preserve"> ADDIN ZOTERO_ITEM CSL_CITATION {"citationID":"4VTKfoLq","properties":{"formattedCitation":"(1)","plainCitation":"(1)","noteIndex":0},"citationItems":[{"id":13583,"uris":["http://zotero.org/users/5405906/items/CPI7A6XS"],"uri":["http://zotero.org/users/5405906/items/CPI7A6XS"],"itemData":{"id":13583,"type":"article-journal","abstract":"BACKGROUND: Apalutamide, a competitive inhibitor of the androgen receptor, is under  development for the treatment of prostate cancer. We evaluated the efficacy of  apalutamide in men with nonmetastatic castration-resistant prostate cancer who were  at high risk for the development of metastasis. METHODS: We conducted a  double-blind, placebo-controlled, phase 3 trial involving men with nonmetastatic  castration-resistant prostate cancer and a prostate-specific antigen doubling time  of 10 months or less. Patients were randomly assigned, in a 2:1 ratio, to receive  apalutamide (240 mg per day) or placebo. All the patients continued to receive  androgen-deprivation therapy. The primary end point was metastasis-free survival,  which was defined as the time from randomization to the first detection of distant  metastasis on imaging or death. RESULTS: A total of 1207 men underwent randomization  (806 to the apalutamide group and 401 to the placebo group). In the planned primary  analysis, which was performed after 378 events had occurred, median metastasis-free  survival was 40.5 months in the apalutamide group as compared with 16.2 months in  the placebo group (hazard ratio for metastasis or death, 0.28; 95% confidence  interval [CI], 0.23 to 0.35; P&lt;0.001). Time to symptomatic progression was  significantly longer with apalutamide than with placebo (hazard ratio, 0.45; 95% CI,  0.32 to 0.63; P&lt;0.001). The rate of adverse events leading to discontinuation of the  trial regimen was 10.6% in the apalutamide group and 7.0% in the placebo group. The  following adverse events occurred at a higher rate with apalutamide than with  placebo: rash (23.8% vs. 5.5%), hypothyroidism (8.1% vs. 2.0%), and fracture (11.7%  vs. 6.5%). CONCLUSIONS: Among men with nonmetastatic castration-resistant prostate  cancer, metastasis-free survival and time to symptomatic progression were  significantly longer with apalutamide than with placebo. (Funded by Janssen Research  and Development; SPARTAN ClinicalTrials.gov number, NCT01946204 .).","container-title":"The New England journal of medicine","DOI":"10.1056/NEJMoa1715546","ISSN":"1533-4406 0028-4793","issue":"15","journalAbbreviation":"N Engl J Med","language":"eng","note":"publisher-place: United States\nPMID: 29420164","page":"1408-1418","title":"Apalutamide Treatment and Metastasis-free Survival in Prostate Cancer.","volume":"378","author":[{"family":"Smith","given":"Matthew R."},{"family":"Saad","given":"Fred"},{"family":"Chowdhury","given":"Simon"},{"family":"Oudard","given":"Stéphane"},{"family":"Hadaschik","given":"Boris A."},{"family":"Graff","given":"Julie N."},{"family":"Olmos","given":"David"},{"family":"Mainwaring","given":"Paul N."},{"family":"Lee","given":"Ji Youl"},{"family":"Uemura","given":"Hiroji"},{"family":"Lopez-Gitlitz","given":"Angela"},{"family":"Trudel","given":"Géralyn C."},{"family":"Espina","given":"Byron M."},{"family":"Shu","given":"Youyi"},{"family":"Park","given":"Youn C."},{"family":"Rackoff","given":"Wayne R."},{"family":"Yu","given":"Margaret K."},{"family":"Small","given":"Eric J."}],"issued":{"date-parts":[["2018",4,12]]}}}],"schema":"https://github.com/citation-style-language/schema/raw/master/csl-citation.json"} </w:instrText>
            </w:r>
            <w:r w:rsidRPr="00346D75">
              <w:rPr>
                <w:sz w:val="18"/>
                <w:szCs w:val="18"/>
                <w:lang w:val="en-US"/>
              </w:rPr>
              <w:fldChar w:fldCharType="separate"/>
            </w:r>
            <w:r w:rsidR="00913423">
              <w:rPr>
                <w:noProof/>
                <w:sz w:val="18"/>
                <w:szCs w:val="18"/>
                <w:lang w:val="en-US"/>
              </w:rPr>
              <w:t>(1)</w:t>
            </w:r>
            <w:r w:rsidRPr="00346D75">
              <w:rPr>
                <w:sz w:val="18"/>
                <w:szCs w:val="18"/>
                <w:lang w:val="en-US"/>
              </w:rPr>
              <w:fldChar w:fldCharType="end"/>
            </w:r>
          </w:p>
        </w:tc>
      </w:tr>
      <w:tr w:rsidR="00346D75" w14:paraId="4827FE36"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4C15E52C" w14:textId="434D30F5"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7F05A96A" w14:textId="035C0FAF"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Binimetinib</w:t>
            </w:r>
          </w:p>
        </w:tc>
        <w:tc>
          <w:tcPr>
            <w:tcW w:w="2693" w:type="dxa"/>
            <w:vAlign w:val="bottom"/>
          </w:tcPr>
          <w:p w14:paraId="17413EF2" w14:textId="7DD25688"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MEK inhibitor</w:t>
            </w:r>
          </w:p>
        </w:tc>
        <w:tc>
          <w:tcPr>
            <w:tcW w:w="4678" w:type="dxa"/>
            <w:vAlign w:val="bottom"/>
          </w:tcPr>
          <w:p w14:paraId="3D189212" w14:textId="094E94D3"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BRAF</w:t>
            </w:r>
            <w:r w:rsidRPr="00346D75">
              <w:rPr>
                <w:rFonts w:ascii="Calibri" w:hAnsi="Calibri" w:cs="Calibri"/>
                <w:color w:val="000000"/>
                <w:sz w:val="18"/>
                <w:szCs w:val="18"/>
              </w:rPr>
              <w:t>-mutated melanoma</w:t>
            </w:r>
          </w:p>
        </w:tc>
        <w:tc>
          <w:tcPr>
            <w:tcW w:w="2977" w:type="dxa"/>
            <w:vAlign w:val="bottom"/>
          </w:tcPr>
          <w:p w14:paraId="094EC83B" w14:textId="0B104636"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COLUMBUS</w:t>
            </w:r>
          </w:p>
        </w:tc>
        <w:tc>
          <w:tcPr>
            <w:tcW w:w="1060" w:type="dxa"/>
          </w:tcPr>
          <w:p w14:paraId="72A8934E" w14:textId="4FC2385A"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rkU9uM50","properties":{"formattedCitation":"(2)","plainCitation":"(2)","noteIndex":0},"citationItems":[{"id":15812,"uris":["http://zotero.org/users/5405906/items/YNRZ4RX5"],"uri":["http://zotero.org/users/5405906/items/YNRZ4RX5"],"itemData":{"id":15812,"type":"article-journal","abstract":"BACKGROUND: Combined BRAF-MEK inhibitor therapy is the standard of care for  BRAF(V600)-mutant advanced melanoma. We investigated encorafenib, a BRAF inhibitor  with unique target-binding properties, alone or in combination with the MEK  inhibitor binimetinib, versus vemurafenib in patients with advanced  BRAF(V600)-mutant melanoma. METHODS: COLUMBUS was conducted as a two-part,  randomised, open-label phase 3 study at 162 hospitals in 28 countries. Eligible  patients were aged 18 years or older and had histologically confirmed locally  advanced (American Joint Committee on Cancer [AJCC] stage IIIB, IIIC, or IV),  unresectable or metastatic cutaneous melanoma, or unknown primary melanoma; a  BRAF(V600E) or BRAF(V600K) mutation; an Eastern Cooperative Oncology Group (ECOG)  performance status of 0 or 1; and were treatment naive or had progressed on or after  previous first-line immunotherapy. In part 1 of the study, patients were randomly  assigned (1:1:1) via interactive response technology to receive either oral  encorafenib 450 mg once daily plus oral binimetinib 45 mg twice daily (encorafenib  plus binimetinib group), oral encorafenib 300 mg once daily (encorafenib group), or  oral vemurafenib 960 mg twice daily (vemurafenib group). The primary endpoint was  progression-free survival by blinded independent central review for encorafenib plus  binimetinib versus vemurafenib. Efficacy analyses were by intention-to-treat. Safety  was analysed in patients who received at least one dose of study drug and one  postbaseline safety assessment. The results of part 2 will be published separately.  This study is registered with ClinicalTrials.gov, number NCT01909453, and EudraCT,  number 2013-001176-38. FINDINGS: Between Dec 30, 2013, and April 10, 2015, 577 of  1345 screened patients were randomly assigned to either the encorafenib plus  binimetinib group (n=192), the encorafenib group (n=194), or the vemurafenib group  (n=191). With a median follow-up of 16·6 months (95% CI 14·8-16·9), median  progression-free survival was 14·9 months (95% CI 11·0-18·5) in the encorafenib plus  binimetinib group and 7·3 months (5·6-8·2) in the vemurafenib group (hazard ratio  [HR] 0·54, 95% CI 0·41-0·71; two-sided p&lt;0·0001). The most common grade 3-4 adverse  events seen in more than 5% of patients in the encorafenib plus binimetinib group  were increased γ-glutamyltransferase (18 [9%] of 192 patients), increased creatine  phosphokinase (13 [7%]), and hypertension (11 [6%]); in the encorafenib group they  were palmoplantar erythrodysaesthesia syndrome (26 [14%] of 192 patients), myalgia  (19 [10%]), and arthralgia (18 [9%]); and in the vemurafenib group it was arthralgia  (11 [6%] of 186 patients). There were no treatment-related deaths except for one  death in the combination group, which was considered possibly related to treatment  by the investigator. INTERPRETATION: Encorafenib plus binimetinib and encorafenib  monotherapy showed favourable efficacy compared with vemurafenib. Overall,  encorafenib plus binimetinib appears to have an improved tolerability profile  compared with encorafenib or vemurafenib. Encorafenib plus binimetinib could  represent a new treatment option for patients with BRAF-mutant melanoma. FUNDING:  Array BioPharma, Novartis.","container-title":"The Lancet. Oncology","DOI":"10.1016/S1470-2045(18)30142-6","ISSN":"1474-5488 1470-2045","issue":"5","journalAbbreviation":"Lancet Oncol","language":"eng","note":"publisher-place: England\nPMID: 29573941","page":"603-615","title":"Encorafenib plus binimetinib versus vemurafenib or encorafenib in patients with  BRAF-mutant melanoma (COLUMBUS): a multicentre, open-label, randomised phase 3  trial.","volume":"19","author":[{"family":"Dummer","given":"Reinhard"},{"family":"Ascierto","given":"Paolo A."},{"family":"Gogas","given":"Helen J."},{"family":"Arance","given":"Ana"},{"family":"Mandala","given":"Mario"},{"family":"Liszkay","given":"Gabriella"},{"family":"Garbe","given":"Claus"},{"family":"Schadendorf","given":"Dirk"},{"family":"Krajsova","given":"Ivana"},{"family":"Gutzmer","given":"Ralf"},{"family":"Chiarion-Sileni","given":"Vanna"},{"family":"Dutriaux","given":"Caroline"},{"family":"Groot","given":"Jan Willem B.","non-dropping-particle":"de"},{"family":"Yamazaki","given":"Naoya"},{"family":"Loquai","given":"Carmen"},{"family":"Moutouh-de Parseval","given":"Laure A."},{"family":"Pickard","given":"Michael D."},{"family":"Sandor","given":"Victor"},{"family":"Robert","given":"Caroline"},{"family":"Flaherty","given":"Keith T."}],"issued":{"date-parts":[["2018",5]]}}}],"schema":"https://github.com/citation-style-language/schema/raw/master/csl-citation.json"} </w:instrText>
            </w:r>
            <w:r>
              <w:rPr>
                <w:sz w:val="18"/>
                <w:szCs w:val="18"/>
                <w:lang w:val="en-US"/>
              </w:rPr>
              <w:fldChar w:fldCharType="separate"/>
            </w:r>
            <w:r w:rsidR="00913423">
              <w:rPr>
                <w:noProof/>
                <w:sz w:val="18"/>
                <w:szCs w:val="18"/>
                <w:lang w:val="en-US"/>
              </w:rPr>
              <w:t>(2)</w:t>
            </w:r>
            <w:r>
              <w:rPr>
                <w:sz w:val="18"/>
                <w:szCs w:val="18"/>
                <w:lang w:val="en-US"/>
              </w:rPr>
              <w:fldChar w:fldCharType="end"/>
            </w:r>
          </w:p>
        </w:tc>
      </w:tr>
      <w:tr w:rsidR="00346D75" w14:paraId="4490036C"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41504698" w14:textId="26B0080B"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3FB0FB0D" w14:textId="4A3159F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Cemiplimab</w:t>
            </w:r>
          </w:p>
        </w:tc>
        <w:tc>
          <w:tcPr>
            <w:tcW w:w="2693" w:type="dxa"/>
            <w:vAlign w:val="bottom"/>
          </w:tcPr>
          <w:p w14:paraId="039C06A8" w14:textId="244DC90B"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PD</w:t>
            </w:r>
            <w:r w:rsidR="00786661">
              <w:rPr>
                <w:rFonts w:ascii="Calibri" w:hAnsi="Calibri" w:cs="Calibri"/>
                <w:color w:val="000000"/>
                <w:sz w:val="18"/>
                <w:szCs w:val="18"/>
              </w:rPr>
              <w:t>-</w:t>
            </w:r>
            <w:r w:rsidRPr="00346D75">
              <w:rPr>
                <w:rFonts w:ascii="Calibri" w:hAnsi="Calibri" w:cs="Calibri"/>
                <w:color w:val="000000"/>
                <w:sz w:val="18"/>
                <w:szCs w:val="18"/>
              </w:rPr>
              <w:t>1 antibody</w:t>
            </w:r>
          </w:p>
        </w:tc>
        <w:tc>
          <w:tcPr>
            <w:tcW w:w="4678" w:type="dxa"/>
            <w:vAlign w:val="bottom"/>
          </w:tcPr>
          <w:p w14:paraId="13B801D9" w14:textId="22F8A16A"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C</w:t>
            </w:r>
            <w:r w:rsidR="00786661">
              <w:rPr>
                <w:rFonts w:ascii="Calibri" w:hAnsi="Calibri" w:cs="Calibri"/>
                <w:color w:val="000000"/>
                <w:sz w:val="18"/>
                <w:szCs w:val="18"/>
              </w:rPr>
              <w:t>utaneous squamous cell carcinoma</w:t>
            </w:r>
          </w:p>
        </w:tc>
        <w:tc>
          <w:tcPr>
            <w:tcW w:w="2977" w:type="dxa"/>
            <w:vAlign w:val="bottom"/>
          </w:tcPr>
          <w:p w14:paraId="57DEE556" w14:textId="0A623833"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Study 1423; Study 1540</w:t>
            </w:r>
          </w:p>
        </w:tc>
        <w:tc>
          <w:tcPr>
            <w:tcW w:w="1060" w:type="dxa"/>
          </w:tcPr>
          <w:p w14:paraId="152B98C2" w14:textId="52A6BB8D"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13glksuhhr","properties":{"formattedCitation":"(3)","plainCitation":"(3)","noteIndex":0},"citationItems":[{"id":13573,"uris":["http://zotero.org/users/5405906/items/FHJDQH4W"],"uri":["http://zotero.org/users/5405906/items/FHJDQH4W"],"itemData":{"id":13573,"type":"article-journal","abstract":"BACKGROUND: No systemic therapies have been approved for the treatment of advanced  cutaneous squamous-cell carcinoma. This cancer may be responsive to immune therapy,  because the mutation burden of the tumor is high and the disease risk is strongly  associated with immunosuppression. In the dose-escalation portion of the phase 1  study of cemiplimab, a deep and durable response was observed in a patient with  metastatic cutaneous squamous-cell carcinoma. METHODS: We report the results of the  phase 1 study of cemiplimab for expansion cohorts of patients with locally advanced  or metastatic cutaneous squamous-cell carcinoma, as well as the results of the  pivotal phase 2 study for a cohort of patients with metastatic disease  (metastatic-disease cohort). In both studies, the patients received an intravenous  dose of cemiplimab (3 mg per kilogram of body weight) every 2 weeks and were  assessed for a response every 8 weeks. In the phase 2 study, the primary end point  was the response rate, as assessed by independent central review. RESULTS: In the  expansion cohorts of the phase 1 study, a response to cemiplimab was observed in 13  of 26 patients (50%; 95% confidence interval [CI], 30 to 70). In the  metastatic-disease cohort of the phase 2 study, a response was observed in 28 of 59  patients (47%; 95% CI, 34 to 61). The median follow-up was 7.9 months in the  metastatic-disease cohort of the phase 2 study. Among the 28 patients who had a  response, the duration of response exceeded 6 months in 57%, and 82% continued to  have a response and to receive cemiplimab at the time of data cutoff. Adverse events  that occurred in at least 15% of the patients in the metastatic-disease cohort of  the phase 2 study were diarrhea, fatigue, nausea, constipation, and rash; 7% of the  patients discontinued treatment because of an adverse event. CONCLUSIONS: Among  patients with advanced cutaneous squamous-cell carcinoma, cemiplimab induced a  response in approximately half the patients and was associated with adverse events  that usually occur with immune checkpoint inhibitors. (Funded by Regeneron  Pharmaceuticals and Sanofi; ClinicalTrials.gov numbers, NCT02383212 and NCT02760498  .).","container-title":"The New England journal of medicine","DOI":"10.1056/NEJMoa1805131","ISSN":"1533-4406 0028-4793","issue":"4","journalAbbreviation":"N Engl J Med","language":"eng","note":"publisher-place: United States\nPMID: 29863979","page":"341-351","title":"PD-1 Blockade with Cemiplimab in Advanced Cutaneous Squamous-Cell Carcinoma.","volume":"379","author":[{"family":"Migden","given":"Michael R."},{"family":"Rischin","given":"Danny"},{"family":"Schmults","given":"Chrysalyne D."},{"family":"Guminski","given":"Alexander"},{"family":"Hauschild","given":"Axel"},{"family":"Lewis","given":"Karl D."},{"family":"Chung","given":"Christine H."},{"family":"Hernandez-Aya","given":"Leonel"},{"family":"Lim","given":"Annette M."},{"family":"Chang","given":"Anne Lynn S."},{"family":"Rabinowits","given":"Guilherme"},{"family":"Thai","given":"Alesha A."},{"family":"Dunn","given":"Lara A."},{"family":"Hughes","given":"Brett G. M."},{"family":"Khushalani","given":"Nikhil I."},{"family":"Modi","given":"Badri"},{"family":"Schadendorf","given":"Dirk"},{"family":"Gao","given":"Bo"},{"family":"Seebach","given":"Frank"},{"family":"Li","given":"Siyu"},{"family":"Li","given":"Jingjin"},{"family":"Mathias","given":"Melissa"},{"family":"Booth","given":"Jocelyn"},{"family":"Mohan","given":"Kosalai"},{"family":"Stankevich","given":"Elizabeth"},{"family":"Babiker","given":"Hani M."},{"family":"Brana","given":"Irene"},{"family":"Gil-Martin","given":"Marta"},{"family":"Homsi","given":"Jade"},{"family":"Johnson","given":"Melissa L."},{"family":"Moreno","given":"Victor"},{"family":"Niu","given":"Jiaxin"},{"family":"Owonikoko","given":"Taofeek K."},{"family":"Papadopoulos","given":"Kyriakos P."},{"family":"Yancopoulos","given":"George D."},{"family":"Lowy","given":"Israel"},{"family":"Fury","given":"Matthew G."}],"issued":{"date-parts":[["2018",7,26]]}}}],"schema":"https://github.com/citation-style-language/schema/raw/master/csl-citation.json"} </w:instrText>
            </w:r>
            <w:r>
              <w:rPr>
                <w:sz w:val="18"/>
                <w:szCs w:val="18"/>
                <w:lang w:val="en-US"/>
              </w:rPr>
              <w:fldChar w:fldCharType="separate"/>
            </w:r>
            <w:r w:rsidR="00913423">
              <w:rPr>
                <w:rFonts w:ascii="Calibri" w:cs="Calibri"/>
                <w:color w:val="000000"/>
                <w:sz w:val="18"/>
                <w:lang w:val="en-GB"/>
              </w:rPr>
              <w:t>(3)</w:t>
            </w:r>
            <w:r>
              <w:rPr>
                <w:sz w:val="18"/>
                <w:szCs w:val="18"/>
                <w:lang w:val="en-US"/>
              </w:rPr>
              <w:fldChar w:fldCharType="end"/>
            </w:r>
          </w:p>
        </w:tc>
      </w:tr>
      <w:tr w:rsidR="00346D75" w14:paraId="54E7E059"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63E021DF" w14:textId="1D7F7D45"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28804779" w14:textId="3EF58B25"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Dacomitinib</w:t>
            </w:r>
          </w:p>
        </w:tc>
        <w:tc>
          <w:tcPr>
            <w:tcW w:w="2693" w:type="dxa"/>
            <w:vAlign w:val="bottom"/>
          </w:tcPr>
          <w:p w14:paraId="5C42B02B" w14:textId="6CE7E46E"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EGFR inhibitor</w:t>
            </w:r>
          </w:p>
        </w:tc>
        <w:tc>
          <w:tcPr>
            <w:tcW w:w="4678" w:type="dxa"/>
            <w:vAlign w:val="bottom"/>
          </w:tcPr>
          <w:p w14:paraId="056D38D7" w14:textId="002EDA4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EGFR</w:t>
            </w:r>
            <w:r w:rsidRPr="00346D75">
              <w:rPr>
                <w:rFonts w:ascii="Calibri" w:hAnsi="Calibri" w:cs="Calibri"/>
                <w:color w:val="000000"/>
                <w:sz w:val="18"/>
                <w:szCs w:val="18"/>
              </w:rPr>
              <w:t xml:space="preserve">-mutated </w:t>
            </w:r>
            <w:r w:rsidR="00786661">
              <w:rPr>
                <w:rFonts w:ascii="Calibri" w:hAnsi="Calibri" w:cs="Calibri"/>
                <w:color w:val="000000"/>
                <w:sz w:val="18"/>
                <w:szCs w:val="18"/>
              </w:rPr>
              <w:t>non-small cell lung cancer (</w:t>
            </w:r>
            <w:r w:rsidRPr="00346D75">
              <w:rPr>
                <w:rFonts w:ascii="Calibri" w:hAnsi="Calibri" w:cs="Calibri"/>
                <w:color w:val="000000"/>
                <w:sz w:val="18"/>
                <w:szCs w:val="18"/>
              </w:rPr>
              <w:t>NSCLC</w:t>
            </w:r>
            <w:r w:rsidR="00786661">
              <w:rPr>
                <w:rFonts w:ascii="Calibri" w:hAnsi="Calibri" w:cs="Calibri"/>
                <w:color w:val="000000"/>
                <w:sz w:val="18"/>
                <w:szCs w:val="18"/>
              </w:rPr>
              <w:t>)</w:t>
            </w:r>
          </w:p>
        </w:tc>
        <w:tc>
          <w:tcPr>
            <w:tcW w:w="2977" w:type="dxa"/>
            <w:vAlign w:val="bottom"/>
          </w:tcPr>
          <w:p w14:paraId="30F725DC" w14:textId="7512A0F1"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ARCHER 1050</w:t>
            </w:r>
          </w:p>
        </w:tc>
        <w:tc>
          <w:tcPr>
            <w:tcW w:w="1060" w:type="dxa"/>
          </w:tcPr>
          <w:p w14:paraId="4A2A5411" w14:textId="40329DFA"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ghiog32k3","properties":{"formattedCitation":"(4)","plainCitation":"(4)","noteIndex":0},"citationItems":[{"id":18430,"uris":["http://zotero.org/users/5405906/items/GRRW3ZTS"],"uri":["http://zotero.org/users/5405906/items/GRRW3ZTS"],"itemData":{"id":18430,"type":"article-journal","abstract":"BACKGROUND: Dacomitinib is a second-generation, irreversible EGFR tyrosine kinase inhibitor. We compared its efficacy and safety with that of the reversible EGFR  tyrosine kinase inhibitor gefitinib in the first-line treatment of patients with  advanced EGFR-mutation-positive non-small-cell lung cancer (NSCLC). METHODS: In this  international, multicentre, randomised, open-label, phase 3 study (ARCHER 1050), we  enrolled adults (aged ≥18 years or ≥20 years in Japan and South Korea) with newly  diagnosed advanced NSCLC and one EGFR mutation (exon 19 deletion or Leu858Arg) at 71  academic medical centres and university hospitals in seven countries or special  administrative regions. We randomly assigned participants (1:1) to receive oral  dacomitinib 45 mg/day (in 28-day cycles) or oral gefitinib 250 mg/day (in 28-day  cycles) until disease progression or another discontinuation criterion was met.  Randomisation, stratified by race and EGFR mutation type, was done with a  computer-generated random code assigned by a central interactive web response  system. The primary endpoint was progression-free survival assessed by masked  independent review in the intention-to-treat population. Safety was assessed in all  patients who received at least one dose of study treatment. This study is registered  with ClinicalTrials.gov, number NCT01774721, and is ongoing but no longer recruiting  patients. FINDINGS: Between May 9, 2013, and March 20, 2015, 452 eligible patients  were randomly assigned to receive dacomitinib (n=227) or gefitinib (n=225). Median  duration of follow-up for progression-free survival was 22·1 months (95% CI  20·3-23·9). Median progression-free survival according to masked independent review  was 14·7 months (95% CI 11·1-16·6) in the dacomitinib group and 9·2 months  (9·1-11·0) in the gefitinib group (hazard ratio 0·59, 95% CI 0·47-0·74; p&lt;0·0001).  The most common grade 3-4 adverse events were dermatitis acneiform (31 [14%] of 227  patients given dacomitinib vs none of 224 patients given gefitinib), diarrhoea (19  [8%] vs two [1%]), and raised alanine aminotransferase levels (two [1%] vs 19 [8%]).  Treatment-related serious adverse events were reported in 21 (9%) patients given  dacomitinib and in ten (4%) patients given gefitinib. Two treatment-related deaths  occurred in the dacomitinib group (one related to untreated diarrhoea and one to  untreated cholelithases/liver disease) and one in the gefitinib group (related to  sigmoid colon diverticulitis/rupture complicated by pneumonia). INTERPRETATION:  Dacomitinib significantly improved progression-free survival over gefitinib in  first-line treatment of patients with EGFR-mutation-positive NSCLC and should be  considered as a new treatment option for this population. FUNDING: SFJ  Pharmaceuticals Group and Pfizer.","container-title":"The Lancet. Oncology","DOI":"10.1016/S1470-2045(17)30608-3","ISSN":"1474-5488 1470-2045","issue":"11","journalAbbreviation":"Lancet Oncol","language":"eng","note":"publisher-place: England\nPMID: 28958502","page":"1454-1466","title":"Dacomitinib versus gefitinib as first-line treatment for patients with EGFR-mutation-positive non-small-cell lung cancer (ARCHER 1050): a randomised,  open-label, phase 3 trial.","volume":"18","author":[{"family":"Wu","given":"Yi-Long"},{"family":"Cheng","given":"Ying"},{"family":"Zhou","given":"Xiangdong"},{"family":"Lee","given":"Ki Hyeong"},{"family":"Nakagawa","given":"Kazuhiko"},{"family":"Niho","given":"Seiji"},{"family":"Tsuji","given":"Fumito"},{"family":"Linke","given":"Rolf"},{"family":"Rosell","given":"Rafael"},{"family":"Corral","given":"Jesus"},{"family":"Migliorino","given":"Maria Rita"},{"family":"Pluzanski","given":"Adam"},{"family":"Sbar","given":"Eric I."},{"family":"Wang","given":"Tao"},{"family":"White","given":"Jane Liang"},{"family":"Nadanaciva","given":"Sashi"},{"family":"Sandin","given":"Rickard"},{"family":"Mok","given":"Tony S."}],"issued":{"date-parts":[["2017",11]]}}}],"schema":"https://github.com/citation-style-language/schema/raw/master/csl-citation.json"} </w:instrText>
            </w:r>
            <w:r>
              <w:rPr>
                <w:sz w:val="18"/>
                <w:szCs w:val="18"/>
                <w:lang w:val="en-US"/>
              </w:rPr>
              <w:fldChar w:fldCharType="separate"/>
            </w:r>
            <w:r w:rsidR="00913423">
              <w:rPr>
                <w:rFonts w:ascii="Calibri" w:cs="Calibri"/>
                <w:color w:val="000000"/>
                <w:sz w:val="18"/>
                <w:lang w:val="en-GB"/>
              </w:rPr>
              <w:t>(4)</w:t>
            </w:r>
            <w:r>
              <w:rPr>
                <w:sz w:val="18"/>
                <w:szCs w:val="18"/>
                <w:lang w:val="en-US"/>
              </w:rPr>
              <w:fldChar w:fldCharType="end"/>
            </w:r>
          </w:p>
        </w:tc>
      </w:tr>
      <w:tr w:rsidR="00346D75" w14:paraId="233B4EB7"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5E969DCE" w14:textId="21B4C530"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5330E21E" w14:textId="2EFD916A"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Encorafenib</w:t>
            </w:r>
          </w:p>
        </w:tc>
        <w:tc>
          <w:tcPr>
            <w:tcW w:w="2693" w:type="dxa"/>
            <w:vAlign w:val="bottom"/>
          </w:tcPr>
          <w:p w14:paraId="155F8386" w14:textId="50C0543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BRAF inhibitor</w:t>
            </w:r>
          </w:p>
        </w:tc>
        <w:tc>
          <w:tcPr>
            <w:tcW w:w="4678" w:type="dxa"/>
            <w:vAlign w:val="bottom"/>
          </w:tcPr>
          <w:p w14:paraId="0C45715E" w14:textId="7D6BB178"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BRAF</w:t>
            </w:r>
            <w:r w:rsidRPr="00346D75">
              <w:rPr>
                <w:rFonts w:ascii="Calibri" w:hAnsi="Calibri" w:cs="Calibri"/>
                <w:color w:val="000000"/>
                <w:sz w:val="18"/>
                <w:szCs w:val="18"/>
              </w:rPr>
              <w:t>-mutated melanoma</w:t>
            </w:r>
          </w:p>
        </w:tc>
        <w:tc>
          <w:tcPr>
            <w:tcW w:w="2977" w:type="dxa"/>
            <w:vAlign w:val="bottom"/>
          </w:tcPr>
          <w:p w14:paraId="46BCD7DB" w14:textId="66B5220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COLUMBUS</w:t>
            </w:r>
          </w:p>
        </w:tc>
        <w:tc>
          <w:tcPr>
            <w:tcW w:w="1060" w:type="dxa"/>
          </w:tcPr>
          <w:p w14:paraId="5F1AD3C6" w14:textId="43B36D54"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bims3g7dl","properties":{"formattedCitation":"(2)","plainCitation":"(2)","noteIndex":0},"citationItems":[{"id":15812,"uris":["http://zotero.org/users/5405906/items/YNRZ4RX5"],"uri":["http://zotero.org/users/5405906/items/YNRZ4RX5"],"itemData":{"id":15812,"type":"article-journal","abstract":"BACKGROUND: Combined BRAF-MEK inhibitor therapy is the standard of care for  BRAF(V600)-mutant advanced melanoma. We investigated encorafenib, a BRAF inhibitor  with unique target-binding properties, alone or in combination with the MEK  inhibitor binimetinib, versus vemurafenib in patients with advanced  BRAF(V600)-mutant melanoma. METHODS: COLUMBUS was conducted as a two-part,  randomised, open-label phase 3 study at 162 hospitals in 28 countries. Eligible  patients were aged 18 years or older and had histologically confirmed locally  advanced (American Joint Committee on Cancer [AJCC] stage IIIB, IIIC, or IV),  unresectable or metastatic cutaneous melanoma, or unknown primary melanoma; a  BRAF(V600E) or BRAF(V600K) mutation; an Eastern Cooperative Oncology Group (ECOG)  performance status of 0 or 1; and were treatment naive or had progressed on or after  previous first-line immunotherapy. In part 1 of the study, patients were randomly  assigned (1:1:1) via interactive response technology to receive either oral  encorafenib 450 mg once daily plus oral binimetinib 45 mg twice daily (encorafenib  plus binimetinib group), oral encorafenib 300 mg once daily (encorafenib group), or  oral vemurafenib 960 mg twice daily (vemurafenib group). The primary endpoint was  progression-free survival by blinded independent central review for encorafenib plus  binimetinib versus vemurafenib. Efficacy analyses were by intention-to-treat. Safety  was analysed in patients who received at least one dose of study drug and one  postbaseline safety assessment. The results of part 2 will be published separately.  This study is registered with ClinicalTrials.gov, number NCT01909453, and EudraCT,  number 2013-001176-38. FINDINGS: Between Dec 30, 2013, and April 10, 2015, 577 of  1345 screened patients were randomly assigned to either the encorafenib plus  binimetinib group (n=192), the encorafenib group (n=194), or the vemurafenib group  (n=191). With a median follow-up of 16·6 months (95% CI 14·8-16·9), median  progression-free survival was 14·9 months (95% CI 11·0-18·5) in the encorafenib plus  binimetinib group and 7·3 months (5·6-8·2) in the vemurafenib group (hazard ratio  [HR] 0·54, 95% CI 0·41-0·71; two-sided p&lt;0·0001). The most common grade 3-4 adverse  events seen in more than 5% of patients in the encorafenib plus binimetinib group  were increased γ-glutamyltransferase (18 [9%] of 192 patients), increased creatine  phosphokinase (13 [7%]), and hypertension (11 [6%]); in the encorafenib group they  were palmoplantar erythrodysaesthesia syndrome (26 [14%] of 192 patients), myalgia  (19 [10%]), and arthralgia (18 [9%]); and in the vemurafenib group it was arthralgia  (11 [6%] of 186 patients). There were no treatment-related deaths except for one  death in the combination group, which was considered possibly related to treatment  by the investigator. INTERPRETATION: Encorafenib plus binimetinib and encorafenib  monotherapy showed favourable efficacy compared with vemurafenib. Overall,  encorafenib plus binimetinib appears to have an improved tolerability profile  compared with encorafenib or vemurafenib. Encorafenib plus binimetinib could  represent a new treatment option for patients with BRAF-mutant melanoma. FUNDING:  Array BioPharma, Novartis.","container-title":"The Lancet. Oncology","DOI":"10.1016/S1470-2045(18)30142-6","ISSN":"1474-5488 1470-2045","issue":"5","journalAbbreviation":"Lancet Oncol","language":"eng","note":"publisher-place: England\nPMID: 29573941","page":"603-615","title":"Encorafenib plus binimetinib versus vemurafenib or encorafenib in patients with  BRAF-mutant melanoma (COLUMBUS): a multicentre, open-label, randomised phase 3  trial.","volume":"19","author":[{"family":"Dummer","given":"Reinhard"},{"family":"Ascierto","given":"Paolo A."},{"family":"Gogas","given":"Helen J."},{"family":"Arance","given":"Ana"},{"family":"Mandala","given":"Mario"},{"family":"Liszkay","given":"Gabriella"},{"family":"Garbe","given":"Claus"},{"family":"Schadendorf","given":"Dirk"},{"family":"Krajsova","given":"Ivana"},{"family":"Gutzmer","given":"Ralf"},{"family":"Chiarion-Sileni","given":"Vanna"},{"family":"Dutriaux","given":"Caroline"},{"family":"Groot","given":"Jan Willem B.","non-dropping-particle":"de"},{"family":"Yamazaki","given":"Naoya"},{"family":"Loquai","given":"Carmen"},{"family":"Moutouh-de Parseval","given":"Laure A."},{"family":"Pickard","given":"Michael D."},{"family":"Sandor","given":"Victor"},{"family":"Robert","given":"Caroline"},{"family":"Flaherty","given":"Keith T."}],"issued":{"date-parts":[["2018",5]]}}}],"schema":"https://github.com/citation-style-language/schema/raw/master/csl-citation.json"} </w:instrText>
            </w:r>
            <w:r>
              <w:rPr>
                <w:sz w:val="18"/>
                <w:szCs w:val="18"/>
                <w:lang w:val="en-US"/>
              </w:rPr>
              <w:fldChar w:fldCharType="separate"/>
            </w:r>
            <w:r w:rsidR="00913423">
              <w:rPr>
                <w:rFonts w:ascii="Calibri" w:cs="Calibri"/>
                <w:color w:val="000000"/>
                <w:sz w:val="18"/>
                <w:lang w:val="en-GB"/>
              </w:rPr>
              <w:t>(2)</w:t>
            </w:r>
            <w:r>
              <w:rPr>
                <w:sz w:val="18"/>
                <w:szCs w:val="18"/>
                <w:lang w:val="en-US"/>
              </w:rPr>
              <w:fldChar w:fldCharType="end"/>
            </w:r>
          </w:p>
        </w:tc>
      </w:tr>
      <w:tr w:rsidR="00346D75" w14:paraId="3B0B7D74"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354778A8" w14:textId="27845396"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11EC8506" w14:textId="1A87793C"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Larotrectinib</w:t>
            </w:r>
          </w:p>
        </w:tc>
        <w:tc>
          <w:tcPr>
            <w:tcW w:w="2693" w:type="dxa"/>
            <w:vAlign w:val="bottom"/>
          </w:tcPr>
          <w:p w14:paraId="39B7EF4D" w14:textId="5A42C12C"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TRKA, TRKB and TRKC inhibitor</w:t>
            </w:r>
          </w:p>
        </w:tc>
        <w:tc>
          <w:tcPr>
            <w:tcW w:w="4678" w:type="dxa"/>
            <w:vAlign w:val="bottom"/>
          </w:tcPr>
          <w:p w14:paraId="606438AF" w14:textId="4DF98EAC"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NTRK</w:t>
            </w:r>
            <w:r w:rsidRPr="00346D75">
              <w:rPr>
                <w:rFonts w:ascii="Calibri" w:hAnsi="Calibri" w:cs="Calibri"/>
                <w:color w:val="000000"/>
                <w:sz w:val="18"/>
                <w:szCs w:val="18"/>
              </w:rPr>
              <w:t>-positive solid cancers</w:t>
            </w:r>
          </w:p>
        </w:tc>
        <w:tc>
          <w:tcPr>
            <w:tcW w:w="2977" w:type="dxa"/>
            <w:vAlign w:val="bottom"/>
          </w:tcPr>
          <w:p w14:paraId="1DFB80EA" w14:textId="4DE756B6"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LOXO-TRK-14001; SCOUT; NAVIGATE</w:t>
            </w:r>
          </w:p>
        </w:tc>
        <w:tc>
          <w:tcPr>
            <w:tcW w:w="1060" w:type="dxa"/>
          </w:tcPr>
          <w:p w14:paraId="7FDF77FF" w14:textId="7CFB49E3"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t36rrdjed","properties":{"formattedCitation":"(5)","plainCitation":"(5)","noteIndex":0},"citationItems":[{"id":15632,"uris":["http://zotero.org/users/5405906/items/RLJIEYDP"],"uri":["http://zotero.org/users/5405906/items/RLJIEYDP"],"itemData":{"id":15632,"type":"article-journal","abstract":"BACKGROUND: The selective TRK inhibitor larotrectinib was approved for paediatric  and adult patients with advanced TRK fusion-positive solid tumours based on a  primary analysis set of 55 patients. The aim of our analysis was to explore the  efficacy and long-term safety of larotrectinib in a larger population of patients  with TRK fusion-positive solid tumours. METHODS: Patients were enrolled and treated  in a phase 1 adult, a phase 1/2 paediatric, or a phase 2 adolescent and adult trial.  Some eligibility criteria differed between these studies. For this pooled analysis,  eligible patients were aged 1 month or older, with a locally advanced or metastatic  non-CNS primary, TRK fusion-positive solid tumour, who had received standard therapy  previously if available. This analysis set includes the 55 patients on which  approval of larotrectinib was based. Larotrectinib was administered orally (capsule  or liquid formulation), on a continuous 28-day schedule, to adults mostly at a dose  of 100 mg twice daily, and to paediatric patients mostly at a dose of 100 mg/m(2)  (maximum of 100 mg) twice daily. The primary endpoint was objective response as  assessed by local investigators in an intention-to-treat analysis. Contributing  trials are registered with ClinicalTrials.gov, NCT02122913 (active not recruiting),  NCT02637687 (recruiting), and NCT02576431 (recruiting). FINDINGS: Between May 1,  2014, and Feb 19, 2019, 159 patients with TRK fusion-positive cancer were enrolled  and treated with larotrectinib. Ages ranged from less than 1 month to 84 years. The  proportion of patients with an objective response according to investigator  assessment was 121 (79%, 95% CI 72-85) of 153 evaluable patients, with 24 (16%)  having complete responses. In a safety population of 260 patients treated regardless  of TRK fusion status, the most common grade 3 or 4 larotrectinib-related adverse  events were increased alanine aminotransferase (eight [3%] of 260 patients), anaemia  (six, 2%), and decreased neutrophil count (five [2%]). The most common  larotrectinib-related serious adverse events were increased alanine aminotransferase  (two [&lt;1%] of 260 patients), increased aspartate aminotransferase (two [&lt;1%]), and  nausea (two [&lt;1%]). No treatment-related deaths occurred. INTERPRETATION: These data  confirm that TRK fusions define a unique molecular subgroup of advanced solid  tumours for which larotrectinib is highly active. Safety data indicate that  long-term administration of larotrectinib is feasible. FUNDING: Bayer and Loxo  Oncology.","container-title":"The Lancet. Oncology","DOI":"10.1016/S1470-2045(19)30856-3","ISSN":"1474-5488 1470-2045 1470-2045","issue":"4","journalAbbreviation":"Lancet Oncol","language":"eng","note":"PMID: 32105622 \nPMCID: PMC7497841","page":"531-540","title":"Larotrectinib in patients with TRK fusion-positive solid tumours: a pooled analysis  of three phase 1/2 clinical trials.","volume":"21","author":[{"family":"Hong","given":"David S."},{"family":"DuBois","given":"Steven G."},{"family":"Kummar","given":"Shivaani"},{"family":"Farago","given":"Anna F."},{"family":"Albert","given":"Catherine M."},{"family":"Rohrberg","given":"Kristoffer S."},{"family":"Tilburg","given":"Cornelis M.","non-dropping-particle":"van"},{"family":"Nagasubramanian","given":"Ramamoorthy"},{"family":"Berlin","given":"Jordan D."},{"family":"Federman","given":"Noah"},{"family":"Mascarenhas","given":"Leo"},{"family":"Geoerger","given":"Birgit"},{"family":"Dowlati","given":"Afshin"},{"family":"Pappo","given":"Alberto S."},{"family":"Bielack","given":"Stefan"},{"family":"Doz","given":"François"},{"family":"McDermott","given":"Ray"},{"family":"Patel","given":"Jyoti D."},{"family":"Schilder","given":"Russell J."},{"family":"Tahara","given":"Makoto"},{"family":"Pfister","given":"Stefan M."},{"family":"Witt","given":"Olaf"},{"family":"Ladanyi","given":"Marc"},{"family":"Rudzinski","given":"Erin R."},{"family":"Nanda","given":"Shivani"},{"family":"Childs","given":"Barrett H."},{"family":"Laetsch","given":"Theodore W."},{"family":"Hyman","given":"David M."},{"family":"Drilon","given":"Alexander"}],"issued":{"date-parts":[["2020",4]]}}}],"schema":"https://github.com/citation-style-language/schema/raw/master/csl-citation.json"} </w:instrText>
            </w:r>
            <w:r>
              <w:rPr>
                <w:sz w:val="18"/>
                <w:szCs w:val="18"/>
                <w:lang w:val="en-US"/>
              </w:rPr>
              <w:fldChar w:fldCharType="separate"/>
            </w:r>
            <w:r w:rsidR="00913423">
              <w:rPr>
                <w:rFonts w:ascii="Calibri" w:cs="Calibri"/>
                <w:color w:val="000000"/>
                <w:sz w:val="18"/>
                <w:lang w:val="en-GB"/>
              </w:rPr>
              <w:t>(5)</w:t>
            </w:r>
            <w:r>
              <w:rPr>
                <w:sz w:val="18"/>
                <w:szCs w:val="18"/>
                <w:lang w:val="en-US"/>
              </w:rPr>
              <w:fldChar w:fldCharType="end"/>
            </w:r>
          </w:p>
        </w:tc>
      </w:tr>
      <w:tr w:rsidR="00346D75" w14:paraId="4B7FB3FF"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42D8A2E2" w14:textId="79E34694"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0BED867B" w14:textId="1F17A3C3"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Lorlatinib</w:t>
            </w:r>
          </w:p>
        </w:tc>
        <w:tc>
          <w:tcPr>
            <w:tcW w:w="2693" w:type="dxa"/>
            <w:vAlign w:val="bottom"/>
          </w:tcPr>
          <w:p w14:paraId="324CD003" w14:textId="68F23D63"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ALK and ROS1 inhibitor</w:t>
            </w:r>
          </w:p>
        </w:tc>
        <w:tc>
          <w:tcPr>
            <w:tcW w:w="4678" w:type="dxa"/>
            <w:vAlign w:val="bottom"/>
          </w:tcPr>
          <w:p w14:paraId="47D4C6D3" w14:textId="3029FF18"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ALK</w:t>
            </w:r>
            <w:r w:rsidRPr="00346D75">
              <w:rPr>
                <w:rFonts w:ascii="Calibri" w:hAnsi="Calibri" w:cs="Calibri"/>
                <w:color w:val="000000"/>
                <w:sz w:val="18"/>
                <w:szCs w:val="18"/>
              </w:rPr>
              <w:t>-positive NSCLC</w:t>
            </w:r>
          </w:p>
        </w:tc>
        <w:tc>
          <w:tcPr>
            <w:tcW w:w="2977" w:type="dxa"/>
            <w:vAlign w:val="bottom"/>
          </w:tcPr>
          <w:p w14:paraId="4AF935AD" w14:textId="3EF65ABC"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Study B7461001</w:t>
            </w:r>
          </w:p>
        </w:tc>
        <w:tc>
          <w:tcPr>
            <w:tcW w:w="1060" w:type="dxa"/>
          </w:tcPr>
          <w:p w14:paraId="48DC6E49" w14:textId="286DADC3"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cq6p86ft1","properties":{"formattedCitation":"(6)","plainCitation":"(6)","noteIndex":0},"citationItems":[{"id":15756,"uris":["http://zotero.org/users/5405906/items/TFHEQT7T"],"uri":["http://zotero.org/users/5405906/items/TFHEQT7T"],"itemData":{"id":15756,"type":"article-journal","abstract":"BACKGROUND: Lorlatinib is a potent, brain-penetrant, third-generation inhibitor of  ALK and ROS1 tyrosine kinases with broad coverage of ALK mutations. In a phase 1  study, activity was seen in patients with ALK-positive non-small-cell lung cancer,  most of whom had CNS metastases and progression after ALK-directed therapy. We aimed  to analyse the overall and intracranial antitumour activity of lorlatinib in  patients with ALK-positive, advanced non-small-cell lung cancer. METHODS: In this  phase 2 study, patients with histologically or cytologically ALK-positive or  ROS1-positive, advanced, non-small-cell lung cancer, with or without CNS metastases,  with an Eastern Cooperative Oncology Group performance status of 0, 1, or 2, and  adequate end-organ function were eligible. Patients were enrolled into six different  expansion cohorts (EXP1-6) on the basis of ALK and ROS1 status and previous therapy,  and were given lorlatinib 100 mg orally once daily continuously in 21-day cycles.  The primary endpoint was overall and intracranial tumour response by independent  central review, assessed in pooled subgroups of ALK-positive patients. Analyses of  activity and safety were based on the safety analysis set (ie, all patients who  received at least one dose of lorlatinib) as assessed by independent central review.  Patients with measurable CNS metastases at baseline by independent central review  were included in the intracranial activity analyses. In this report, we present  lorlatinib activity data for the ALK-positive patients (EXP1-5 only), and safety  data for all treated patients (EXP1-6). This study is ongoing and is registered with  ClinicalTrials.gov, number NCT01970865. FINDINGS: Between Sept 15, 2015, and Oct 3,  2016, 276 patients were enrolled: 30 who were ALK positive and treatment naive  (EXP1); 59 who were ALK positive and received previous crizotinib without (n=27;  EXP2) or with (n=32; EXP3A) previous chemotherapy; 28 who were ALK positive and  received one previous non-crizotinib ALK tyrosine kinase inhibitor, with or without  chemotherapy (EXP3B); 112 who were ALK positive with two (n=66; EXP4) or three  (n=46; EXP5) previous ALK tyrosine kinase inhibitors with or without chemotherapy;  and 47 who were ROS1 positive with any previous treatment (EXP6). One patient in  EXP4 died before receiving lorlatinib and was excluded from the safety analysis set.  In treatment-naive patients (EXP1), an objective response was achieved in 27 (90·0%;  95% CI 73·5-97·9) of 30 patients. Three patients in EXP1 had measurable baseline CNS  lesions per independent central review, and objective intracranial responses were  observed in two (66·7%; 95% CI 9·4-99·2). In ALK-positive patients with at least one  previous ALK tyrosine kinase inhibitor (EXP2-5), objective responses were achieved  in 93 (47·0%; 39·9-54·2) of 198 patients and objective intracranial response in  those with measurable baseline CNS lesions in 51 (63·0%; 51·5-73·4) of 81 patients.  Objective response was achieved in 41 (69·5%; 95% CI 56·1-80·8) of 59 patients who  had only received previous crizotinib (EXP2-3A), nine (32·1%; 15·9-52·4) of 28  patients with one previous non-crizotinib ALK tyrosine kinase inhibitor (EXP3B), and  43 (38·7%; 29·6-48·5) of 111 patients with two or more previous ALK tyrosine kinase  inhibitors (EXP4-5). Objective intracranial response was achieved in 20 (87·0%; 95%  CI 66·4-97·2) of 23 patients with measurable baseline CNS lesions in EXP2-3A, five  (55·6%; 21·2-86·3) of nine patients in EXP3B, and 26 (53·1%; 38·3-67·5) of 49  patients in EXP4-5. The most common treatment-related adverse events across all  patients were hypercholesterolaemia (224 [81%] of 275 patients overall and 43 [16%]  grade 3-4) and hypertriglyceridaemia (166 [60%] overall and 43 [16%] grade 3-4).  Serious treatment-related adverse events occurred in 19 (7%) of 275 patients and  seven patients (3%) permanently discontinued treatment because of treatment-related  adverse events. No treatment-related deaths were reported. INTERPRETATION:  Consistent with its broad ALK mutational coverage and CNS penetration, lorlatinib  showed substantial overall and intracranial activity both in treatment-naive  patients with ALK-positive non-small-cell lung cancer, and in those who had  progressed on crizotinib, second-generation ALK tyrosine kinase inhibitors, or after  up to three previous ALK tyrosine kinase inhibitors. Thus, lorlatinib could  represent an effective treatment option for patients with ALK-positive  non-small-cell lung cancer in first-line or subsequent therapy. FUNDING: Pfizer.","container-title":"The Lancet. Oncology","DOI":"10.1016/S1470-2045(18)30649-1","ISSN":"1474-5488 1470-2045","issue":"12","journalAbbreviation":"Lancet Oncol","language":"eng","note":"publisher-place: England\nPMID: 30413378","page":"1654-1667","title":"Lorlatinib in patients with ALK-positive non-small-cell lung cancer: results from a  global phase 2 study.","volume":"19","author":[{"family":"Solomon","given":"Benjamin J."},{"family":"Besse","given":"Benjamin"},{"family":"Bauer","given":"Todd M."},{"family":"Felip","given":"Enriqueta"},{"family":"Soo","given":"Ross A."},{"family":"Camidge","given":"D. Ross"},{"family":"Chiari","given":"Rita"},{"family":"Bearz","given":"Alessandra"},{"family":"Lin","given":"Chia-Chi"},{"family":"Gadgeel","given":"Shirish M."},{"family":"Riely","given":"Gregory J."},{"family":"Tan","given":"Eng Huat"},{"family":"Seto","given":"Takashi"},{"family":"James","given":"Leonard P."},{"family":"Clancy","given":"Jill S."},{"family":"Abbattista","given":"Antonello"},{"family":"Martini","given":"Jean-François"},{"family":"Chen","given":"Joseph"},{"family":"Peltz","given":"Gerson"},{"family":"Thurm","given":"Holger"},{"family":"Ou","given":"Sai-Hong Ignatius"},{"family":"Shaw","given":"Alice T."}],"issued":{"date-parts":[["2018",12]]}}}],"schema":"https://github.com/citation-style-language/schema/raw/master/csl-citation.json"} </w:instrText>
            </w:r>
            <w:r>
              <w:rPr>
                <w:sz w:val="18"/>
                <w:szCs w:val="18"/>
                <w:lang w:val="en-US"/>
              </w:rPr>
              <w:fldChar w:fldCharType="separate"/>
            </w:r>
            <w:r w:rsidR="00913423">
              <w:rPr>
                <w:rFonts w:ascii="Calibri" w:cs="Calibri"/>
                <w:color w:val="000000"/>
                <w:sz w:val="18"/>
                <w:lang w:val="en-GB"/>
              </w:rPr>
              <w:t>(6)</w:t>
            </w:r>
            <w:r>
              <w:rPr>
                <w:sz w:val="18"/>
                <w:szCs w:val="18"/>
                <w:lang w:val="en-US"/>
              </w:rPr>
              <w:fldChar w:fldCharType="end"/>
            </w:r>
          </w:p>
        </w:tc>
      </w:tr>
      <w:tr w:rsidR="00346D75" w14:paraId="4303B7BF"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7D29106E" w14:textId="562C066C"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2B684126" w14:textId="71FF3ABE"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Lutetium Lu 177 dotatate</w:t>
            </w:r>
          </w:p>
        </w:tc>
        <w:tc>
          <w:tcPr>
            <w:tcW w:w="2693" w:type="dxa"/>
            <w:vAlign w:val="bottom"/>
          </w:tcPr>
          <w:p w14:paraId="59982BF0" w14:textId="677D7F3C"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Somatostatin receptor-targeted radiopharmaceutical</w:t>
            </w:r>
          </w:p>
        </w:tc>
        <w:tc>
          <w:tcPr>
            <w:tcW w:w="4678" w:type="dxa"/>
            <w:vAlign w:val="bottom"/>
          </w:tcPr>
          <w:p w14:paraId="3DDA8DEC" w14:textId="4377BF1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G</w:t>
            </w:r>
            <w:r w:rsidR="00786661">
              <w:rPr>
                <w:rFonts w:ascii="Calibri" w:hAnsi="Calibri" w:cs="Calibri"/>
                <w:color w:val="000000"/>
                <w:sz w:val="18"/>
                <w:szCs w:val="18"/>
              </w:rPr>
              <w:t>astroenterohepatic-neuroendocrine tumours (GEP-NET)</w:t>
            </w:r>
          </w:p>
        </w:tc>
        <w:tc>
          <w:tcPr>
            <w:tcW w:w="2977" w:type="dxa"/>
            <w:vAlign w:val="bottom"/>
          </w:tcPr>
          <w:p w14:paraId="1D44A9EF" w14:textId="0C03B73E"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NETTER-1</w:t>
            </w:r>
          </w:p>
        </w:tc>
        <w:tc>
          <w:tcPr>
            <w:tcW w:w="1060" w:type="dxa"/>
          </w:tcPr>
          <w:p w14:paraId="04837A9E" w14:textId="5831A5CE"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upmme76mu","properties":{"formattedCitation":"(7)","plainCitation":"(7)","noteIndex":0},"citationItems":[{"id":21194,"uris":["http://zotero.org/users/5405906/items/R5X2S4GK"],"uri":["http://zotero.org/users/5405906/items/R5X2S4GK"],"itemData":{"id":21194,"type":"article-journal","abstract":"BACKGROUND: Patients with advanced midgut neuroendocrine tumors who have had disease progression during first-line somatostatin analogue therapy have limited therapeutic options. This randomized, controlled trial evaluated the efficacy and safety of lutetium-177 (177Lu)-Dotatate in patients with advanced, progressive, somatostatin-receptor-positive midgut neuroendocrine tumors.\nMETHODS: We randomly assigned 229 patients who had well-differentiated, metastatic midgut neuroendocrine tumors to receive either 177Lu-Dotatate (116 patients) at a dose of 7.4 GBq every 8 weeks (four intravenous infusions, plus best supportive care including octreotide long-acting repeatable [LAR] administered intramuscularly at a dose of 30 mg) (177Lu-Dotatate group) or octreotide LAR alone (113 patients) administered intramuscularly at a dose of 60 mg every 4 weeks (control group). The primary end point was progression-free survival. Secondary end points included the objective response rate, overall survival, safety, and the side-effect profile. The final analysis of overall survival will be conducted in the future as specified in the protocol; a prespecified interim analysis of overall survival was conducted and is reported here.\nRESULTS: At the data-cutoff date for the primary analysis, the estimated rate of progression-free survival at month 20 was 65.2% (95% confidence interval [CI], 50.0 to 76.8) in the 177Lu-Dotatate group and 10.8% (95% CI, 3.5 to 23.0) in the control group. The response rate was 18% in the 177Lu-Dotatate group versus 3% in the control group (P&lt;0.001). In the planned interim analysis of overall survival, 14 deaths occurred in the 177Lu-Dotatate group and 26 in the control group (P=0.004). Grade 3 or 4 neutropenia, thrombocytopenia, and lymphopenia occurred in 1%, 2%, and 9%, respectively, of patients in the 177Lu-Dotatate group as compared with no patients in the control group, with no evidence of renal toxic effects during the observed time frame.\nCONCLUSIONS: Treatment with 177Lu-Dotatate resulted in markedly longer progression-free survival and a significantly higher response rate than high-dose octreotide LAR among patients with advanced midgut neuroendocrine tumors. Preliminary evidence of an overall survival benefit was seen in an interim analysis; confirmation will be required in the planned final analysis. Clinically significant myelosuppression occurred in less than 10% of patients in the 177Lu-Dotatate group. (Funded by Advanced Accelerator Applications; NETTER-1 ClinicalTrials.gov number, NCT01578239 ; EudraCT number 2011-005049-11 .).","container-title":"The New England Journal of Medicine","DOI":"10.1056/NEJMoa1607427","ISSN":"1533-4406","issue":"2","journalAbbreviation":"N Engl J Med","language":"eng","note":"PMID: 28076709\nPMCID: PMC5895095","page":"125-135","source":"PubMed","title":"Phase 3 Trial of 177Lu-Dotatate for Midgut Neuroendocrine Tumors","volume":"376","author":[{"family":"Strosberg","given":"Jonathan"},{"family":"El-Haddad","given":"Ghassan"},{"family":"Wolin","given":"Edward"},{"family":"Hendifar","given":"Andrew"},{"family":"Yao","given":"James"},{"family":"Chasen","given":"Beth"},{"family":"Mittra","given":"Erik"},{"family":"Kunz","given":"Pamela L."},{"family":"Kulke","given":"Matthew H."},{"family":"Jacene","given":"Heather"},{"family":"Bushnell","given":"David"},{"family":"O'Dorisio","given":"Thomas M."},{"family":"Baum","given":"Richard P."},{"family":"Kulkarni","given":"Harshad R."},{"family":"Caplin","given":"Martyn"},{"family":"Lebtahi","given":"Rachida"},{"family":"Hobday","given":"Timothy"},{"family":"Delpassand","given":"Ebrahim"},{"family":"Van Cutsem","given":"Eric"},{"family":"Benson","given":"Al"},{"family":"Srirajaskanthan","given":"Rajaventhan"},{"family":"Pavel","given":"Marianne"},{"family":"Mora","given":"Jaime"},{"family":"Berlin","given":"Jordan"},{"family":"Grande","given":"Enrique"},{"family":"Reed","given":"Nicholas"},{"family":"Seregni","given":"Ettore"},{"family":"Öberg","given":"Kjell"},{"family":"Lopera Sierra","given":"Maribel"},{"family":"Santoro","given":"Paola"},{"family":"Thevenet","given":"Thomas"},{"family":"Erion","given":"Jack L."},{"family":"Ruszniewski","given":"Philippe"},{"family":"Kwekkeboom","given":"Dik"},{"family":"Krenning","given":"Eric"},{"literal":"NETTER-1 Trial Investigators"}],"issued":{"date-parts":[["2017",1,12]]}}}],"schema":"https://github.com/citation-style-language/schema/raw/master/csl-citation.json"} </w:instrText>
            </w:r>
            <w:r>
              <w:rPr>
                <w:sz w:val="18"/>
                <w:szCs w:val="18"/>
                <w:lang w:val="en-US"/>
              </w:rPr>
              <w:fldChar w:fldCharType="separate"/>
            </w:r>
            <w:r w:rsidR="00913423">
              <w:rPr>
                <w:rFonts w:ascii="Calibri" w:cs="Calibri"/>
                <w:color w:val="000000"/>
                <w:sz w:val="18"/>
                <w:lang w:val="en-GB"/>
              </w:rPr>
              <w:t>(7)</w:t>
            </w:r>
            <w:r>
              <w:rPr>
                <w:sz w:val="18"/>
                <w:szCs w:val="18"/>
                <w:lang w:val="en-US"/>
              </w:rPr>
              <w:fldChar w:fldCharType="end"/>
            </w:r>
          </w:p>
        </w:tc>
      </w:tr>
      <w:tr w:rsidR="00346D75" w14:paraId="7F7F47B7"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00ACE4A5" w14:textId="5D7760C7"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03CC41A5" w14:textId="47C88D2E"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Talazoparib</w:t>
            </w:r>
          </w:p>
        </w:tc>
        <w:tc>
          <w:tcPr>
            <w:tcW w:w="2693" w:type="dxa"/>
            <w:vAlign w:val="bottom"/>
          </w:tcPr>
          <w:p w14:paraId="4DFF1728" w14:textId="73DD043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PARP inhibitor</w:t>
            </w:r>
          </w:p>
        </w:tc>
        <w:tc>
          <w:tcPr>
            <w:tcW w:w="4678" w:type="dxa"/>
            <w:vAlign w:val="bottom"/>
          </w:tcPr>
          <w:p w14:paraId="4E28320E" w14:textId="00F7780B"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BRCA</w:t>
            </w:r>
            <w:r w:rsidRPr="00346D75">
              <w:rPr>
                <w:rFonts w:ascii="Calibri" w:hAnsi="Calibri" w:cs="Calibri"/>
                <w:color w:val="000000"/>
                <w:sz w:val="18"/>
                <w:szCs w:val="18"/>
              </w:rPr>
              <w:t xml:space="preserve">-mutated </w:t>
            </w:r>
            <w:r w:rsidRPr="00786661">
              <w:rPr>
                <w:rFonts w:ascii="Calibri" w:hAnsi="Calibri" w:cs="Calibri"/>
                <w:i/>
                <w:iCs/>
                <w:color w:val="000000"/>
                <w:sz w:val="18"/>
                <w:szCs w:val="18"/>
              </w:rPr>
              <w:t>HER2</w:t>
            </w:r>
            <w:r w:rsidRPr="00346D75">
              <w:rPr>
                <w:rFonts w:ascii="Calibri" w:hAnsi="Calibri" w:cs="Calibri"/>
                <w:color w:val="000000"/>
                <w:sz w:val="18"/>
                <w:szCs w:val="18"/>
              </w:rPr>
              <w:t>-negative breast cancer</w:t>
            </w:r>
          </w:p>
        </w:tc>
        <w:tc>
          <w:tcPr>
            <w:tcW w:w="2977" w:type="dxa"/>
            <w:vAlign w:val="bottom"/>
          </w:tcPr>
          <w:p w14:paraId="724B9D26" w14:textId="059969F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EMBRACA</w:t>
            </w:r>
          </w:p>
        </w:tc>
        <w:tc>
          <w:tcPr>
            <w:tcW w:w="1060" w:type="dxa"/>
          </w:tcPr>
          <w:p w14:paraId="7715197A" w14:textId="0D30B6DE"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lfuceordn","properties":{"formattedCitation":"(8)","plainCitation":"(8)","noteIndex":0},"citationItems":[{"id":15088,"uris":["http://zotero.org/users/5405906/items/D4VB79RX"],"uri":["http://zotero.org/users/5405906/items/D4VB79RX"],"itemData":{"id":15088,"type":"article-journal","abstract":"BACKGROUND: The poly(adenosine diphosphate-ribose) inhibitor talazoparib has shown  antitumor activity in patients with advanced breast cancer and germline mutations in  BRCA1 and BRCA2 ( BRCA1/2). METHODS: We conducted a randomized, open-label, phase 3  trial in which patients with advanced breast cancer and a germline BRCA1/2 mutation  were assigned, in a 2:1 ratio, to receive talazoparib (1 mg once daily) or standard  single-agent therapy of the physician's choice (capecitabine, eribulin, gemcitabine,  or vinorelbine in continuous 21-day cycles). The primary end point was  progression-free survival, which was assessed by blinded independent central review.  RESULTS: Of the 431 patients who underwent randomization, 287 were assigned to  receive talazoparib and 144 were assigned to receive standard therapy. Median  progression-free survival was significantly longer in the talazoparib group than in  the standard-therapy group (8.6 months vs. 5.6 months; hazard ratio for disease  progression or death, 0.54; 95% confidence interval [CI], 0.41 to 0.71; P&lt;0.001).  The interim median hazard ratio for death was 0.76 (95% CI, 0.55 to 1.06; P=0.11  [57% of projected events]). The objective response rate was higher in the  talazoparib group than in the standard-therapy group (62.6% vs. 27.2%; odds ratio,  5.0; 95% CI, 2.9 to 8.8; P&lt;0.001). Hematologic grade 3-4 adverse events (primarily  anemia) occurred in 55% of the patients who received talazoparib and in 38% of the  patients who received standard therapy; nonhematologic grade 3 adverse events  occurred in 32% and 38% of the patients, respectively. Patient-reported outcomes  favored talazoparib; significant overall improvements and significant delays in the  time to clinically meaningful deterioration according to both the global health  status-quality-of-life and breast symptoms scales were observed. CONCLUSIONS: Among  patients with advanced breast cancer and a germline BRCA1/2 mutation, single-agent  talazoparib provided a significant benefit over standard chemotherapy with respect  to progression-free survival. Patient-reported outcomes were superior with  talazoparib. (Funded by Medivation [Pfizer]; EMBRACA ClinicalTrials.gov number,  NCT01945775 .).","container-title":"The New England journal of medicine","DOI":"10.1056/NEJMoa1802905","ISSN":"1533-4406 0028-4793","issue":"8","journalAbbreviation":"N Engl J Med","language":"eng","note":"publisher-place: United States\nPMID: 30110579","page":"753-763","title":"Talazoparib in Patients with Advanced Breast Cancer and a Germline BRCA Mutation.","volume":"379","author":[{"family":"Litton","given":"Jennifer K."},{"family":"Rugo","given":"Hope S."},{"family":"Ettl","given":"Johannes"},{"family":"Hurvitz","given":"Sara A."},{"family":"Gonçalves","given":"Anthony"},{"family":"Lee","given":"Kyung-Hun"},{"family":"Fehrenbacher","given":"Louis"},{"family":"Yerushalmi","given":"Rinat"},{"family":"Mina","given":"Lida A."},{"family":"Martin","given":"Miguel"},{"family":"Roché","given":"Henri"},{"family":"Im","given":"Young-Hyuck"},{"family":"Quek","given":"Ruben G. W."},{"family":"Markova","given":"Denka"},{"family":"Tudor","given":"Iulia C."},{"family":"Hannah","given":"Alison L."},{"family":"Eiermann","given":"Wolfgang"},{"family":"Blum","given":"Joanne L."}],"issued":{"date-parts":[["2018",8,23]]}}}],"schema":"https://github.com/citation-style-language/schema/raw/master/csl-citation.json"} </w:instrText>
            </w:r>
            <w:r>
              <w:rPr>
                <w:sz w:val="18"/>
                <w:szCs w:val="18"/>
                <w:lang w:val="en-US"/>
              </w:rPr>
              <w:fldChar w:fldCharType="separate"/>
            </w:r>
            <w:r w:rsidR="00913423">
              <w:rPr>
                <w:rFonts w:ascii="Calibri" w:cs="Calibri"/>
                <w:color w:val="000000"/>
                <w:sz w:val="18"/>
                <w:lang w:val="en-GB"/>
              </w:rPr>
              <w:t>(8)</w:t>
            </w:r>
            <w:r>
              <w:rPr>
                <w:sz w:val="18"/>
                <w:szCs w:val="18"/>
                <w:lang w:val="en-US"/>
              </w:rPr>
              <w:fldChar w:fldCharType="end"/>
            </w:r>
          </w:p>
        </w:tc>
      </w:tr>
      <w:tr w:rsidR="00346D75" w14:paraId="17EB54A0"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50EF34FC" w14:textId="30C4EB2E"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2018</w:t>
            </w:r>
          </w:p>
        </w:tc>
        <w:tc>
          <w:tcPr>
            <w:tcW w:w="1886" w:type="dxa"/>
            <w:vAlign w:val="bottom"/>
          </w:tcPr>
          <w:p w14:paraId="03D08AFB" w14:textId="0D7F0B7F"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Trastuzumab deruxtecan</w:t>
            </w:r>
          </w:p>
        </w:tc>
        <w:tc>
          <w:tcPr>
            <w:tcW w:w="2693" w:type="dxa"/>
            <w:vAlign w:val="bottom"/>
          </w:tcPr>
          <w:p w14:paraId="72707415" w14:textId="287ED212"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 xml:space="preserve">HER2-directed </w:t>
            </w:r>
            <w:r w:rsidR="00786661">
              <w:rPr>
                <w:rFonts w:ascii="Calibri" w:hAnsi="Calibri" w:cs="Calibri"/>
                <w:color w:val="000000"/>
                <w:sz w:val="18"/>
                <w:szCs w:val="18"/>
              </w:rPr>
              <w:t>antibody-drug conjugate (</w:t>
            </w:r>
            <w:r w:rsidRPr="00346D75">
              <w:rPr>
                <w:rFonts w:ascii="Calibri" w:hAnsi="Calibri" w:cs="Calibri"/>
                <w:color w:val="000000"/>
                <w:sz w:val="18"/>
                <w:szCs w:val="18"/>
              </w:rPr>
              <w:t>ADC</w:t>
            </w:r>
            <w:r w:rsidR="00786661">
              <w:rPr>
                <w:rFonts w:ascii="Calibri" w:hAnsi="Calibri" w:cs="Calibri"/>
                <w:color w:val="000000"/>
                <w:sz w:val="18"/>
                <w:szCs w:val="18"/>
              </w:rPr>
              <w:t>)</w:t>
            </w:r>
          </w:p>
        </w:tc>
        <w:tc>
          <w:tcPr>
            <w:tcW w:w="4678" w:type="dxa"/>
            <w:vAlign w:val="bottom"/>
          </w:tcPr>
          <w:p w14:paraId="5F222C9C" w14:textId="46166614"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HER2</w:t>
            </w:r>
            <w:r w:rsidRPr="00346D75">
              <w:rPr>
                <w:rFonts w:ascii="Calibri" w:hAnsi="Calibri" w:cs="Calibri"/>
                <w:color w:val="000000"/>
                <w:sz w:val="18"/>
                <w:szCs w:val="18"/>
              </w:rPr>
              <w:t>-positive breast cancer</w:t>
            </w:r>
          </w:p>
        </w:tc>
        <w:tc>
          <w:tcPr>
            <w:tcW w:w="2977" w:type="dxa"/>
            <w:vAlign w:val="bottom"/>
          </w:tcPr>
          <w:p w14:paraId="6B0F4786" w14:textId="698200A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DESTINY-Breast01</w:t>
            </w:r>
          </w:p>
        </w:tc>
        <w:tc>
          <w:tcPr>
            <w:tcW w:w="1060" w:type="dxa"/>
          </w:tcPr>
          <w:p w14:paraId="3D163490" w14:textId="039B8734"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fljbujtc1","properties":{"formattedCitation":"(9)","plainCitation":"(9)","noteIndex":0},"citationItems":[{"id":13538,"uris":["http://zotero.org/users/5405906/items/2VKRP5YJ"],"uri":["http://zotero.org/users/5405906/items/2VKRP5YJ"],"itemData":{"id":13538,"type":"article-journal","abstract":"BACKGROUND: Trastuzumab deruxtecan (DS-8201) is an antibody-drug conjugate composed  of an anti-HER2 (human epidermal growth factor receptor 2) antibody, a cleavable  tetrapeptide-based linker, and a cytotoxic topoisomerase I inhibitor. In a phase 1  dose-finding study, a majority of the patients with advanced HER2-positive breast  cancer had a response to trastuzumab deruxtecan (median response duration, 20.7  months). The efficacy of trastuzumab deruxtecan in patients with HER2-positive  metastatic breast cancer previously treated with trastuzumab emtansine requires  confirmation. METHODS: In this two-part, open-label, single-group, multicenter,  phase 2 study, we evaluated trastuzumab deruxtecan in adults with pathologically  documented HER2-positive metastatic breast cancer who had received previous  treatment with trastuzumab emtansine. In the first part of the study, we evaluated  three different doses of trastuzumab deruxtecan to establish a recommended dose; in  the second part, we evaluated the efficacy and safety of the recommended dose. The  primary end point was the objective response, according to independent central  review. Key secondary end points were the disease-control rate, clinical-benefit  rate, duration of response and progression-free survival, and safety. RESULTS:  Overall, 184 patients who had undergone a median of six previous treatments received  the recommended dose of trastuzumab deruxtecan (5.4 mg per kilogram of body weight).  In the intention-to-treat analysis, a response to therapy was reported in 112  patients (60.9%; 95% confidence interval [CI], 53.4 to 68.0). The median duration of  follow-up was 11.1 months (range, 0.7 to 19.9). The median response duration was  14.8 months (95% CI, 13.8 to 16.9), and the median duration of progression-free  survival was 16.4 months (95% CI, 12.7 to not reached). During the study, the most  common adverse events of grade 3 or higher were a decreased neutrophil count (in  20.7% of the patients), anemia (in 8.7%), and nausea (in 7.6%). On independent  adjudication, the trial drug was associated with interstitial lung disease in 13.6%  of the patients (grade 1 or 2, 10.9%; grade 3 or 4, 0.5%; and grade 5, 2.2%).  CONCLUSIONS: Trastuzumab deruxtecan showed durable antitumor activity in a  pretreated patient population with HER2-positive metastatic breast cancer. In  addition to nausea and myelosuppression, interstitial lung disease was observed in a  subgroup of patients and requires attention to pulmonary symptoms and careful  monitoring. (Funded by Daiichi Sankyo and AstraZeneca; DESTINY-Breast01  ClinicalTrials.gov number, NCT03248492.).","container-title":"The New England journal of medicine","DOI":"10.1056/NEJMoa1914510","ISSN":"1533-4406 0028-4793","issue":"7","journalAbbreviation":"N Engl J Med","language":"eng","note":"publisher-place: United States\nPMID: 31825192","page":"610-621","title":"Trastuzumab Deruxtecan in Previously Treated HER2-Positive Breast Cancer.","volume":"382","author":[{"family":"Modi","given":"Shanu"},{"family":"Saura","given":"Cristina"},{"family":"Yamashita","given":"Toshinari"},{"family":"Park","given":"Yeon Hee"},{"family":"Kim","given":"Sung-Bae"},{"family":"Tamura","given":"Kenji"},{"family":"Andre","given":"Fabrice"},{"family":"Iwata","given":"Hiroji"},{"family":"Ito","given":"Yoshinori"},{"family":"Tsurutani","given":"Junji"},{"family":"Sohn","given":"Joohyuk"},{"family":"Denduluri","given":"Neelima"},{"family":"Perrin","given":"Christophe"},{"family":"Aogi","given":"Kenjiro"},{"family":"Tokunaga","given":"Eriko"},{"family":"Im","given":"Seock-Ah"},{"family":"Lee","given":"Keun Seok"},{"family":"Hurvitz","given":"Sara A."},{"family":"Cortes","given":"Javier"},{"family":"Lee","given":"Caleb"},{"family":"Chen","given":"Shuquan"},{"family":"Zhang","given":"Lin"},{"family":"Shahidi","given":"Javad"},{"family":"Yver","given":"Antoine"},{"family":"Krop","given":"Ian"}],"issued":{"date-parts":[["2020",2,13]]}}}],"schema":"https://github.com/citation-style-language/schema/raw/master/csl-citation.json"} </w:instrText>
            </w:r>
            <w:r>
              <w:rPr>
                <w:sz w:val="18"/>
                <w:szCs w:val="18"/>
                <w:lang w:val="en-US"/>
              </w:rPr>
              <w:fldChar w:fldCharType="separate"/>
            </w:r>
            <w:r w:rsidR="00913423">
              <w:rPr>
                <w:rFonts w:ascii="Calibri" w:cs="Calibri"/>
                <w:color w:val="000000"/>
                <w:sz w:val="18"/>
                <w:lang w:val="en-GB"/>
              </w:rPr>
              <w:t>(9)</w:t>
            </w:r>
            <w:r>
              <w:rPr>
                <w:sz w:val="18"/>
                <w:szCs w:val="18"/>
                <w:lang w:val="en-US"/>
              </w:rPr>
              <w:fldChar w:fldCharType="end"/>
            </w:r>
          </w:p>
        </w:tc>
      </w:tr>
      <w:tr w:rsidR="00346D75" w14:paraId="547D8326"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3A1A4F93" w14:textId="6456F4AA"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1E6B7EE4" w14:textId="76F51112"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Alpelisib</w:t>
            </w:r>
          </w:p>
        </w:tc>
        <w:tc>
          <w:tcPr>
            <w:tcW w:w="2693" w:type="dxa"/>
            <w:vAlign w:val="bottom"/>
          </w:tcPr>
          <w:p w14:paraId="1CEFA50E" w14:textId="329CCE4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PI3K inhibitor</w:t>
            </w:r>
          </w:p>
        </w:tc>
        <w:tc>
          <w:tcPr>
            <w:tcW w:w="4678" w:type="dxa"/>
            <w:vAlign w:val="bottom"/>
          </w:tcPr>
          <w:p w14:paraId="309BD4B7" w14:textId="44A28BFA"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Breast cancer</w:t>
            </w:r>
          </w:p>
        </w:tc>
        <w:tc>
          <w:tcPr>
            <w:tcW w:w="2977" w:type="dxa"/>
            <w:vAlign w:val="bottom"/>
          </w:tcPr>
          <w:p w14:paraId="2A2545DC" w14:textId="3B6069DA"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SOLAR-1</w:t>
            </w:r>
          </w:p>
        </w:tc>
        <w:tc>
          <w:tcPr>
            <w:tcW w:w="1060" w:type="dxa"/>
          </w:tcPr>
          <w:p w14:paraId="653C4705" w14:textId="45822612"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hrmfrl5t7","properties":{"formattedCitation":"(10)","plainCitation":"(10)","noteIndex":0},"citationItems":[{"id":15036,"uris":["http://zotero.org/users/5405906/items/57PR8YMK"],"uri":["http://zotero.org/users/5405906/items/57PR8YMK"],"itemData":{"id":15036,"type":"article-journal","abstract":"BACKGROUND: PIK3CA mutations occur in approximately 40% of patients with hormone  receptor (HR)-positive, human epidermal growth factor receptor 2 (HER2)-negative  breast cancer. The PI3Kα-specific inhibitor alpelisib has shown antitumor activity  in early studies. METHODS: In a randomized, phase 3 trial, we compared alpelisib (at  a dose of 300 mg per day) plus fulvestrant (at a dose of 500 mg every 28 days and  once on day 15) with placebo plus fulvestrant in patients with HR-positive,  HER2-negative advanced breast cancer who had received endocrine therapy previously.  Patients were enrolled into two cohorts on the basis of tumor-tissue PIK3CA mutation  status. The primary end point was progression-free survival, as assessed by the  investigator, in the cohort with PIK3CA-mutated cancer; progression-free survival  was also analyzed in the cohort without PIK3CA-mutated cancer. Secondary end points  included overall response and safety. RESULTS: A total of 572 patients underwent  randomization, including 341 patients with confirmed tumor-tissue PIK3CA mutations.  In the cohort of patients with PIK3CA-mutated cancer, progression-free survival at a  median follow-up of 20 months was 11.0 months (95% confidence interval [CI], 7.5 to  14.5) in the alpelisib-fulvestrant group, as compared with 5.7 months (95% CI, 3.7  to 7.4) in the placebo-fulvestrant group (hazard ratio for progression or death,  0.65; 95% CI, 0.50 to 0.85; P&lt;0.001); in the cohort without PIK3CA-mutated cancer,  the hazard ratio was 0.85 (95% CI, 0.58 to 1.25; posterior probability of hazard  ratio &lt;1.00, 79.4%). Overall response among all the patients in the cohort without  PIK3CA-mutated cancer was greater with alpelisib-fulvestrant than with  placebo-fulvestrant (26.6% vs. 12.8%); among patients with measurable disease in  this cohort, the percentages were 35.7% and 16.2%, respectively. In the overall  population, the most frequent adverse events of grade 3 or 4 were hyperglycemia  (36.6% in the alpelisib-fulvestrant group vs. 0.7% in the placebo-fulvestrant group)  and rash (9.9% vs. 0.3%). Diarrhea of grade 3 occurred in 6.7% of patients in the  alpelisib-fulvestrant group, as compared with 0.3% of those in the  placebo-fulvestrant group; no diarrhea of grade 4 was reported. The percentages of  patients who discontinued alpelisib and placebo owing to adverse events were 25.0%  and 4.2%, respectively. CONCLUSIONS: Treatment with alpelisib-fulvestrant prolonged  progression-free survival among patients with PIK3CA-mutated, HR-positive,  HER2-negative advanced breast cancer who had received endocrine therapy previously.  (Funded by Novartis Pharmaceuticals; SOLAR-1 ClinicalTrials.gov number,  NCT02437318.).","container-title":"The New England journal of medicine","DOI":"10.1056/NEJMoa1813904","ISSN":"1533-4406 0028-4793","issue":"20","journalAbbreviation":"N Engl J Med","language":"eng","note":"publisher-place: United States\nPMID: 31091374","page":"1929-1940","title":"Alpelisib for PIK3CA-Mutated, Hormone Receptor-Positive Advanced Breast Cancer.","volume":"380","author":[{"family":"André","given":"Fabrice"},{"family":"Ciruelos","given":"Eva"},{"family":"Rubovszky","given":"Gabor"},{"family":"Campone","given":"Mario"},{"family":"Loibl","given":"Sibylle"},{"family":"Rugo","given":"Hope S."},{"family":"Iwata","given":"Hiroji"},{"family":"Conte","given":"Pierfranco"},{"family":"Mayer","given":"Ingrid A."},{"family":"Kaufman","given":"Bella"},{"family":"Yamashita","given":"Toshinari"},{"family":"Lu","given":"Yen-Shen"},{"family":"Inoue","given":"Kenichi"},{"family":"Takahashi","given":"Masato"},{"family":"Pápai","given":"Zsuzsanna"},{"family":"Longin","given":"Anne-Sophie"},{"family":"Mills","given":"David"},{"family":"Wilke","given":"Celine"},{"family":"Hirawat","given":"Samit"},{"family":"Juric","given":"Dejan"}],"issued":{"date-parts":[["2019",5,16]]}}}],"schema":"https://github.com/citation-style-language/schema/raw/master/csl-citation.json"} </w:instrText>
            </w:r>
            <w:r>
              <w:rPr>
                <w:sz w:val="18"/>
                <w:szCs w:val="18"/>
                <w:lang w:val="en-US"/>
              </w:rPr>
              <w:fldChar w:fldCharType="separate"/>
            </w:r>
            <w:r w:rsidR="00913423">
              <w:rPr>
                <w:rFonts w:ascii="Calibri" w:cs="Calibri"/>
                <w:color w:val="000000"/>
                <w:sz w:val="18"/>
                <w:lang w:val="en-GB"/>
              </w:rPr>
              <w:t>(10)</w:t>
            </w:r>
            <w:r>
              <w:rPr>
                <w:sz w:val="18"/>
                <w:szCs w:val="18"/>
                <w:lang w:val="en-US"/>
              </w:rPr>
              <w:fldChar w:fldCharType="end"/>
            </w:r>
          </w:p>
        </w:tc>
      </w:tr>
      <w:tr w:rsidR="00346D75" w14:paraId="15664569"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6E1D3E11" w14:textId="2AE0DE46"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72E2F647" w14:textId="0FBBDED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Darolutamide</w:t>
            </w:r>
          </w:p>
        </w:tc>
        <w:tc>
          <w:tcPr>
            <w:tcW w:w="2693" w:type="dxa"/>
            <w:vAlign w:val="bottom"/>
          </w:tcPr>
          <w:p w14:paraId="080EF569" w14:textId="3561063F"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Androgen receptor inhibitor</w:t>
            </w:r>
          </w:p>
        </w:tc>
        <w:tc>
          <w:tcPr>
            <w:tcW w:w="4678" w:type="dxa"/>
            <w:vAlign w:val="bottom"/>
          </w:tcPr>
          <w:p w14:paraId="40E97B1C" w14:textId="66396970"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Prostate cancer</w:t>
            </w:r>
          </w:p>
        </w:tc>
        <w:tc>
          <w:tcPr>
            <w:tcW w:w="2977" w:type="dxa"/>
            <w:vAlign w:val="bottom"/>
          </w:tcPr>
          <w:p w14:paraId="5AB36AEC" w14:textId="7CC99FD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ARAMIS</w:t>
            </w:r>
          </w:p>
        </w:tc>
        <w:tc>
          <w:tcPr>
            <w:tcW w:w="1060" w:type="dxa"/>
          </w:tcPr>
          <w:p w14:paraId="5824C354" w14:textId="4B375198"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clc9i1poa","properties":{"formattedCitation":"(11)","plainCitation":"(11)","noteIndex":0},"citationItems":[{"id":13558,"uris":["http://zotero.org/users/5405906/items/CYFG5WDL"],"uri":["http://zotero.org/users/5405906/items/CYFG5WDL"],"itemData":{"id":13558,"type":"article-journal","abstract":"BACKGROUND: Darolutamide is a structurally unique androgen-receptor antagonist that  is under development for the treatment of prostate cancer. We evaluated the efficacy  of darolutamide for delaying metastasis and death in men with nonmetastatic,  castration-resistant prostate cancer. METHODS: We conducted a randomized,  double-blind, placebo-controlled, phase 3 trial involving men with nonmetastatic,  castration-resistant prostate cancer and a prostate-specific antigen doubling time  of 10 months or less. Patients were randomly assigned in a 2:1 ratio to receive  darolutamide (600 mg [two 300-mg tablets] twice daily) or placebo while continuing  androgen-deprivation therapy. The primary end point was metastasis-free survival,  with the presence of metastasis determined by independent central review of  radiographic imaging every 16 weeks. RESULTS: In total, 1509 patients underwent  randomization (955 to the darolutamide group and 554 to the placebo group). In the  planned primary analysis, which was performed after 437 primary end-point events had  occurred, the median metastasis-free survival was 40.4 months with darolutamide, as  compared with 18.4 months with placebo (hazard ratio for metastasis or death in the  darolutamide group, 0.41; 95% confidence interval, 0.34 to 0.50; P&lt;0.001).  Darolutamide was also associated with benefits with regard to all secondary end  points, including overall survival, time to pain progression, time to cytotoxic  chemotherapy, and time to a symptomatic skeletal event. The incidence of adverse  events that occurred or worsened during the treatment period and had a frequency of  5% or more or were of grade 3 or higher was similar in the two groups; all such  events except fatigue occurred in less than 10% of patients in either group. The  percentage of patients who discontinued the assigned regimen because of adverse  events was 8.9% in the darolutamide group and 8.7% in the placebo group.  Darolutamide was not associated with a higher incidence of seizures, falls,  fractures, cognitive disorder, or hypertension than placebo. CONCLUSIONS: Among men  with nonmetastatic, castration-resistant prostate cancer, metastasis-free survival  was significantly longer with darolutamide than with placebo. The incidence of  adverse events was similar for darolutamide and placebo. (Funded by Bayer HealthCare  and Orion Pharma; ARAMIS ClinicalTrials.gov number, NCT02200614.).","container-title":"The New England journal of medicine","DOI":"10.1056/NEJMoa1815671","ISSN":"1533-4406 0028-4793","issue":"13","journalAbbreviation":"N Engl J Med","language":"eng","note":"publisher-place: United States\nPMID: 30763142","page":"1235-1246","title":"Darolutamide in Nonmetastatic, Castration-Resistant Prostate Cancer.","volume":"380","author":[{"family":"Fizazi","given":"Karim"},{"family":"Shore","given":"Neal"},{"family":"Tammela","given":"Teuvo L."},{"family":"Ulys","given":"Albertas"},{"family":"Vjaters","given":"Egils"},{"family":"Polyakov","given":"Sergey"},{"family":"Jievaltas","given":"Mindaugas"},{"family":"Luz","given":"Murilo"},{"family":"Alekseev","given":"Boris"},{"family":"Kuss","given":"Iris"},{"family":"Kappeler","given":"Christian"},{"family":"Snapir","given":"Amir"},{"family":"Sarapohja","given":"Toni"},{"family":"Smith","given":"Matthew R."}],"issued":{"date-parts":[["2019",3,28]]}}}],"schema":"https://github.com/citation-style-language/schema/raw/master/csl-citation.json"} </w:instrText>
            </w:r>
            <w:r>
              <w:rPr>
                <w:sz w:val="18"/>
                <w:szCs w:val="18"/>
                <w:lang w:val="en-US"/>
              </w:rPr>
              <w:fldChar w:fldCharType="separate"/>
            </w:r>
            <w:r w:rsidR="00913423">
              <w:rPr>
                <w:rFonts w:ascii="Calibri" w:cs="Calibri"/>
                <w:color w:val="000000"/>
                <w:sz w:val="18"/>
                <w:lang w:val="en-GB"/>
              </w:rPr>
              <w:t>(11)</w:t>
            </w:r>
            <w:r>
              <w:rPr>
                <w:sz w:val="18"/>
                <w:szCs w:val="18"/>
                <w:lang w:val="en-US"/>
              </w:rPr>
              <w:fldChar w:fldCharType="end"/>
            </w:r>
          </w:p>
        </w:tc>
      </w:tr>
      <w:tr w:rsidR="00346D75" w14:paraId="4F823FE6"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0F818319" w14:textId="438EE3A0"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768F012A" w14:textId="5BBF473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Enfortumab vedotin</w:t>
            </w:r>
          </w:p>
        </w:tc>
        <w:tc>
          <w:tcPr>
            <w:tcW w:w="2693" w:type="dxa"/>
            <w:vAlign w:val="bottom"/>
          </w:tcPr>
          <w:p w14:paraId="672C931A" w14:textId="541BFDDE"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Nectin-4-directed ADC</w:t>
            </w:r>
          </w:p>
        </w:tc>
        <w:tc>
          <w:tcPr>
            <w:tcW w:w="4678" w:type="dxa"/>
            <w:vAlign w:val="bottom"/>
          </w:tcPr>
          <w:p w14:paraId="34144D8C" w14:textId="50E7154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Urothelial cancers</w:t>
            </w:r>
          </w:p>
        </w:tc>
        <w:tc>
          <w:tcPr>
            <w:tcW w:w="2977" w:type="dxa"/>
            <w:vAlign w:val="bottom"/>
          </w:tcPr>
          <w:p w14:paraId="6555D50E" w14:textId="5E05FE8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EV-201</w:t>
            </w:r>
          </w:p>
        </w:tc>
        <w:tc>
          <w:tcPr>
            <w:tcW w:w="1060" w:type="dxa"/>
          </w:tcPr>
          <w:p w14:paraId="09EFCC6E" w14:textId="28818F7F"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12741bhttb","properties":{"formattedCitation":"(12)","plainCitation":"(12)","noteIndex":0},"citationItems":[{"id":14108,"uris":["http://zotero.org/users/5405906/items/4R7R7WAC"],"uri":["http://zotero.org/users/5405906/items/4R7R7WAC"],"itemData":{"id":14108,"type":"article-journal","abstract":"PURPOSE: Locally advanced or metastatic urothelial carcinoma is an incurable disease  with limited treatment options, especially for patients who were previously treated  with platinum and anti-programmed death 1 or anti-programmed death ligand 1  (PD-1/L1) therapy. Enfortumab vedotin is an antibody-drug conjugate that targets  Nectin-4, which is highly expressed in urothelial carcinoma. METHODS: EV-201 is a  global, phase II, single-arm study of enfortumab vedotin 1.25 mg/kg (intravenously  on days 1, 8, and 15 of every 28-day cycle) in patients with locally advanced or  metastatic urothelial carcinoma who were previously treated with platinum  chemotherapy and anti-PD-1/L1 therapy. The primary end point was objective response  rate per Response Evaluation Criteria in Solid Tumors (RECIST) version 1.1 by  blinded independent central review. Key secondary end points were duration of  response, progression-free survival, overall survival, safety, and tolerability.  RESULTS: Enfortumab vedotin was administered to 125 patients with metastatic  urothelial carcinoma. Median follow-up was 10.2 months (range, 0.5 to 16.5 months).  Confirmed objective response rate was 44% (95% CI, 35.1% to 53.2%), including 12%  complete responses. Similar responses were observed in prespecified subgroups, such  as those patients with liver metastases and those with no response to prior  anti-PD-1/L1 therapy. Median duration of response was 7.6 months (range, 0.95 to  11.30+ months). The most common treatment-related adverse events were fatigue (50%),  any peripheral neuropathy (50%), alopecia (49%), any rash (48%), decreased appetite  (44%), and dysgeusia (40%). No single treatment-related adverse events grade 3 or  greater occurred in 10% or more of patients. CONCLUSION: Enfortumab vedotin  demonstrated a clinically meaningful response rate with a manageable and tolerable  safety profile in patients with locally advanced or metastatic urothelial carcinoma  who were previously treated with platinum and anti-PD-1/L1 therapies.","container-title":"Journal of clinical oncology : official journal of the American Society of Clinical  Oncology","DOI":"10.1200/JCO.19.01140","ISSN":"1527-7755 0732-183X 0732-183X","issue":"29","journalAbbreviation":"J Clin Oncol","language":"eng","note":"PMID: 31356140 \nPMCID: PMC6784850","page":"2592-2600","title":"Pivotal Trial of Enfortumab Vedotin in Urothelial Carcinoma After Platinum and  Anti-Programmed Death 1/Programmed Death Ligand 1 Therapy.","volume":"37","author":[{"family":"Rosenberg","given":"Jonathan E."},{"family":"O'Donnell","given":"Peter H."},{"family":"Balar","given":"Arjun V."},{"family":"McGregor","given":"Bradley A."},{"family":"Heath","given":"Elisabeth I."},{"family":"Yu","given":"Evan Y."},{"family":"Galsky","given":"Matthew D."},{"family":"Hahn","given":"Noah M."},{"family":"Gartner","given":"Elaina M."},{"family":"Pinelli","given":"Juan M."},{"family":"Liang","given":"Shang-Ying"},{"family":"Melhem-Bertrandt","given":"Amal"},{"family":"Petrylak","given":"Daniel P."}],"issued":{"date-parts":[["2019",10,10]]}}}],"schema":"https://github.com/citation-style-language/schema/raw/master/csl-citation.json"} </w:instrText>
            </w:r>
            <w:r>
              <w:rPr>
                <w:sz w:val="18"/>
                <w:szCs w:val="18"/>
                <w:lang w:val="en-US"/>
              </w:rPr>
              <w:fldChar w:fldCharType="separate"/>
            </w:r>
            <w:r w:rsidR="00913423">
              <w:rPr>
                <w:rFonts w:ascii="Calibri" w:cs="Calibri"/>
                <w:color w:val="000000"/>
                <w:sz w:val="18"/>
                <w:lang w:val="en-GB"/>
              </w:rPr>
              <w:t>(12)</w:t>
            </w:r>
            <w:r>
              <w:rPr>
                <w:sz w:val="18"/>
                <w:szCs w:val="18"/>
                <w:lang w:val="en-US"/>
              </w:rPr>
              <w:fldChar w:fldCharType="end"/>
            </w:r>
          </w:p>
        </w:tc>
      </w:tr>
      <w:tr w:rsidR="00346D75" w14:paraId="338BCE66"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52DA2D46" w14:textId="4C280049"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1707C4A7" w14:textId="359FD2E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Entrectinib</w:t>
            </w:r>
          </w:p>
        </w:tc>
        <w:tc>
          <w:tcPr>
            <w:tcW w:w="2693" w:type="dxa"/>
            <w:vAlign w:val="bottom"/>
          </w:tcPr>
          <w:p w14:paraId="200FF590" w14:textId="4F6AAE5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TRKA, TRKB, TRKC, ROS1 and ALK inhibitor</w:t>
            </w:r>
          </w:p>
        </w:tc>
        <w:tc>
          <w:tcPr>
            <w:tcW w:w="4678" w:type="dxa"/>
            <w:vAlign w:val="bottom"/>
          </w:tcPr>
          <w:p w14:paraId="1F4C6650" w14:textId="57A09AAD"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NTRK</w:t>
            </w:r>
            <w:r w:rsidRPr="00346D75">
              <w:rPr>
                <w:rFonts w:ascii="Calibri" w:hAnsi="Calibri" w:cs="Calibri"/>
                <w:color w:val="000000"/>
                <w:sz w:val="18"/>
                <w:szCs w:val="18"/>
              </w:rPr>
              <w:t xml:space="preserve">-positive solid tumours and </w:t>
            </w:r>
            <w:r w:rsidRPr="00786661">
              <w:rPr>
                <w:rFonts w:ascii="Calibri" w:hAnsi="Calibri" w:cs="Calibri"/>
                <w:i/>
                <w:iCs/>
                <w:color w:val="000000"/>
                <w:sz w:val="18"/>
                <w:szCs w:val="18"/>
              </w:rPr>
              <w:t>ROS1</w:t>
            </w:r>
            <w:r w:rsidRPr="00346D75">
              <w:rPr>
                <w:rFonts w:ascii="Calibri" w:hAnsi="Calibri" w:cs="Calibri"/>
                <w:color w:val="000000"/>
                <w:sz w:val="18"/>
                <w:szCs w:val="18"/>
              </w:rPr>
              <w:t>-positive NSCLC</w:t>
            </w:r>
          </w:p>
        </w:tc>
        <w:tc>
          <w:tcPr>
            <w:tcW w:w="2977" w:type="dxa"/>
            <w:vAlign w:val="bottom"/>
          </w:tcPr>
          <w:p w14:paraId="05B8C887" w14:textId="270271F6"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ALKA; STARTRK-1; STARTRK-2</w:t>
            </w:r>
          </w:p>
        </w:tc>
        <w:tc>
          <w:tcPr>
            <w:tcW w:w="1060" w:type="dxa"/>
          </w:tcPr>
          <w:p w14:paraId="50FDCC19" w14:textId="637A2276"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cg3au3i95","properties":{"formattedCitation":"(13,14)","plainCitation":"(13,14)","noteIndex":0},"citationItems":[{"id":17951,"uris":["http://zotero.org/users/5405906/items/QM5HIYTY"],"uri":["http://zotero.org/users/5405906/items/QM5HIYTY"],"itemData":{"id":17951,"type":"article-journal","abstract":"BACKGROUND: Recurrent gene fusions, such as ROS1 fusions, are oncogenic drivers of various cancers, including non-small-cell lung cancer (NSCLC). Up to 36% of patients with ROS1 fusion-positive NSCLC have brain metastases at the diagnosis of advanced disease. Entrectinib is a ROS1 inhibitor that has been designed to effectively penetrate and remain in the CNS. We explored the use of entrectinib in patients with locally advanced or metastatic ROS1 fusion-positive NSCLC.\nMETHODS: We did an integrated analysis of three ongoing phase 1 or 2 trials of entrectinib (ALKA-372-001, STARTRK-1, and STARTRK-2). The efficacy-evaluable population included adult patients (aged ≥18 years) with locally advanced or metastatic ROS1 fusion-positive NSCLC who received entrectinib at a dose of at least 600 mg orally once per day, with at least 12 months' follow-up. All patients had an Eastern Cooperative Oncology Group performance status of 0-2, and previous cancer treatment (except for ROS1 inhibitors) was allowed. The primary endpoints were the proportion of patients with an objective response (complete or partial response according to Response Evaluation Criteria in Solid Tumors version 1.1) and duration of response, and were evaluated by blinded independent central review. The safety-evaluable population for the safety analysis included all patients with ROS1 fusion-positive NSCLC in the three trials who received at least one dose of entrectinib (irrespective of dose or duration of follow-up). These ongoing studies are registered with ClinicalTrials.gov, NCT02097810 (STARTRK-1) and NCT02568267 (STARTRK-2), and EudraCT, 2012-000148-88 (ALKA-372-001).\nFINDINGS: Patients were enrolled in ALKA-372-001 from Oct 26, 2012, to March 27, 2018; in STARTRK-1 from Aug 7, 2014, to May 10, 2018; and in STARTRK-2 from Nov 19, 2015 (enrolment is ongoing). At the data cutoff date for this analysis (May 31, 2018), 41 (77%; 95% CI 64-88) of 53 patients in the efficacy-evaluable population had an objective response. Median follow-up was 15·5 monhts (IQR 13·4-20·2). Median duration of response was 24·6 months (95% CI 11·4-34·8). In the safety-evaluable population, 79 (59%) of 134 patients had grade 1 or 2 treatment-related adverse events. 46 (34%) of 134 patients had grade 3 or 4 treatment-related adverse events, with the most common being weight increase (ten [8%]) and neutropenia (five [4%]). 15 (11%) patients had serious treatment-related adverse events, the most common of which were nervous system disorders (four [3%]) and cardiac disorders (three [2%]). No treatment-related deaths occurred.\nINTERPRETATION: Entrectinib is active with durable disease control in patients with ROS1 fusion-positive NSCLC, and is well tolerated with a manageable safety profile, making it amenable to long-term dosing in these patients. These data highlight the need to routinely test for ROS1 fusions to broaden therapeutic options for patients with ROS1 fusion-positive NSCLC.\nFUNDING: Ignyta/F Hoffmann-La Roche.","container-title":"The Lancet. Oncology","DOI":"10.1016/S1470-2045(19)30690-4","ISSN":"1474-5488","issue":"2","journalAbbreviation":"Lancet Oncol","language":"eng","note":"PMID: 31838015\nPMCID: PMC7811790","page":"261-270","source":"PubMed","title":"Entrectinib in ROS1 fusion-positive non-small-cell lung cancer: integrated analysis of three phase 1-2 trials","title-short":"Entrectinib in ROS1 fusion-positive non-small-cell lung cancer","volume":"21","author":[{"family":"Drilon","given":"Alexander"},{"family":"Siena","given":"Salvatore"},{"family":"Dziadziuszko","given":"Rafal"},{"family":"Barlesi","given":"Fabrice"},{"family":"Krebs","given":"Matthew G."},{"family":"Shaw","given":"Alice T."},{"family":"Braud","given":"Filippo","non-dropping-particle":"de"},{"family":"Rolfo","given":"Christian"},{"family":"Ahn","given":"Myung-Ju"},{"family":"Wolf","given":"Jürgen"},{"family":"Seto","given":"Takashi"},{"family":"Cho","given":"Byoung Chul"},{"family":"Patel","given":"Manish R."},{"family":"Chiu","given":"Chao-Hua"},{"family":"John","given":"Thomas"},{"family":"Goto","given":"Koichi"},{"family":"Karapetis","given":"Christos S."},{"family":"Arkenau","given":"Hendrick-Tobias"},{"family":"Kim","given":"Sang-We"},{"family":"Ohe","given":"Yuichiro"},{"family":"Li","given":"Yu-Chung"},{"family":"Chae","given":"Young K."},{"family":"Chung","given":"Christine H."},{"family":"Otterson","given":"Gregory A."},{"family":"Murakami","given":"Haruyasu"},{"family":"Lin","given":"Chia-Chi"},{"family":"Tan","given":"Daniel S. W."},{"family":"Prenen","given":"Hans"},{"family":"Riehl","given":"Todd"},{"family":"Chow-Maneval","given":"Edna"},{"family":"Simmons","given":"Brian"},{"family":"Cui","given":"Na"},{"family":"Johnson","given":"Ann"},{"family":"Eng","given":"Susan"},{"family":"Wilson","given":"Timothy R."},{"family":"Doebele","given":"Robert C."},{"literal":"trial investigators"}],"issued":{"date-parts":[["2020",2]]}}},{"id":21181,"uris":["http://zotero.org/users/5405906/items/BJZV8FM9"],"uri":["http://zotero.org/users/5405906/items/BJZV8FM9"],"itemData":{"id":21181,"type":"article-journal","abstract":"BACKGROUND: Entrectinib is a potent inhibitor of tropomyosin receptor kinase (TRK) A, B, and C, which has been shown to have anti-tumour activity against NTRK gene fusion-positive solid tumours, including CNS activity due to its ability to penetrate the blood-brain barrier. We present an integrated efficacy and safety analysis of patients with metastatic or locally advanced solid tumours harbouring oncogenic NTRK1, NTRK2, and NTRK3 gene fusions treated in three ongoing, early-phase trials.\nMETHODS: An integrated database comprised the pivotal datasets of three, ongoing phase 1 or 2 clinical trials (ALKA-372-001, STARTRK-1, and STARTRK-2), which enrolled patients aged 18 years or older with metastatic or locally advanced NTRK fusion-positive solid tumours who received entrectinib orally at a dose of at least 600 mg once per day in a capsule. All patients had an Eastern Cooperative Oncology Group performance status of 0-2 and could have received previous anti-cancer therapy (except previous TRK inhibitors). The primary endpoints, the proportion of patients with an objective response and median duration of response, were evaluated by blinded independent central review in the efficacy-evaluable population (ie, patients with NTRK fusion-positive solid tumours who were TRK inhibitor-naive and had received at least one dose of entrectinib). Overall safety evaluable population included patients from STARTRK-1, STARTRK-2, ALKA-372-001, and STARTRK-NG (NCT02650401; treating young adult and paediatric patients [aged ≤21 years]), who received at least one dose of entrectinib, regardless of tumour type or gene rearrangement. NTRK fusion-positive safety evaluable population comprised all patients who have received at least one dose of entrectinib regardless of dose or follow-up. These ongoing studies are registered with ClinicalTrials.gov, NCT02097810 (STARTRK-1) and NCT02568267 (STARTRK-2), and EudraCT, 2012-000148-88 (ALKA-372-001).\nFINDINGS: Patients were enrolled in ALKA-372-001 from Oct 26, 2012, to March 27, 2018; in STARTRK-1 from Aug 7, 2014, to May 10, 2018; and in STARTRK-2 from Nov 19, 2015 (enrolment is ongoing). At the data cutoff date for this analysis (May 31, 2018) the efficacy-evaluable population comprised 54 adults with advanced or metastatic NTRK fusion-positive solid tumours comprising ten different tumour types and 19 different histologies. Median follow-up was 12.9 months (IQR 8·77-18·76). 31 (57%; 95% CI 43·2-70·8) of 54 patients had an objective response, of which four (7%) were complete responses and 27 (50%) partial reponses. Median duration of response was 10 months (95% CI 7·1 to not estimable). The most common grade 3 or 4 treatment-related adverse events in both safety populations were increased weight (seven [10%] of 68 patients in the NTRK fusion-positive safety population and in 18 [5%] of 355 patients in the overall safety-evaluable population) and anaemia (8 [12%] and 16 [5%]). The most common serious treatment-related adverse events were nervous system disorders (three [4%] of 68 patients and ten [3%] of 355 patients). No treatment-related deaths occurred.\nINTERPRETATION: Entrectinib induced durable and clinically meaningful responses in patients with NTRK fusion-positive solid tumours, and was well tolerated with a manageable safety profile. These results show that entrectinib is a safe and active treatment option for patients with NTRK fusion-positive solid tumours. These data highlight the need to routinely test for NTRK fusions to broaden the therapeutic options available for patients with NTRK fusion-positive solid tumours.\nFUNDING: Ignyta/F Hoffmann-La Roche.","container-title":"The Lancet. Oncology","DOI":"10.1016/S1470-2045(19)30691-6","ISSN":"1474-5488","issue":"2","journalAbbreviation":"Lancet Oncol","language":"eng","note":"PMID: 31838007\nPMCID: PMC7461630","page":"271-282","source":"PubMed","title":"Entrectinib in patients with advanced or metastatic NTRK fusion-positive solid tumours: integrated analysis of three phase 1-2 trials","title-short":"Entrectinib in patients with advanced or metastatic NTRK fusion-positive solid tumours","volume":"21","author":[{"family":"Doebele","given":"Robert C."},{"family":"Drilon","given":"Alexander"},{"family":"Paz-Ares","given":"Luis"},{"family":"Siena","given":"Salvatore"},{"family":"Shaw","given":"Alice T."},{"family":"Farago","given":"Anna F."},{"family":"Blakely","given":"Collin M."},{"family":"Seto","given":"Takashi"},{"family":"Cho","given":"Byung Chul"},{"family":"Tosi","given":"Diego"},{"family":"Besse","given":"Benjamin"},{"family":"Chawla","given":"Sant P."},{"family":"Bazhenova","given":"Lyudmila"},{"family":"Krauss","given":"John C."},{"family":"Chae","given":"Young Kwang"},{"family":"Barve","given":"Minal"},{"family":"Garrido-Laguna","given":"Ignacio"},{"family":"Liu","given":"Stephen V."},{"family":"Conkling","given":"Paul"},{"family":"John","given":"Thomas"},{"family":"Fakih","given":"Marwan"},{"family":"Sigal","given":"Darren"},{"family":"Loong","given":"Herbert H."},{"family":"Buchschacher","given":"Gary L."},{"family":"Garrido","given":"Pilar"},{"family":"Nieva","given":"Jorge"},{"family":"Steuer","given":"Conor"},{"family":"Overbeck","given":"Tobias R."},{"family":"Bowles","given":"Daniel W."},{"family":"Fox","given":"Elizabeth"},{"family":"Riehl","given":"Todd"},{"family":"Chow-Maneval","given":"Edna"},{"family":"Simmons","given":"Brian"},{"family":"Cui","given":"Na"},{"family":"Johnson","given":"Ann"},{"family":"Eng","given":"Susan"},{"family":"Wilson","given":"Timothy R."},{"family":"Demetri","given":"George D."},{"literal":"trial investigators"}],"issued":{"date-parts":[["2020",2]]}}}],"schema":"https://github.com/citation-style-language/schema/raw/master/csl-citation.json"} </w:instrText>
            </w:r>
            <w:r>
              <w:rPr>
                <w:sz w:val="18"/>
                <w:szCs w:val="18"/>
                <w:lang w:val="en-US"/>
              </w:rPr>
              <w:fldChar w:fldCharType="separate"/>
            </w:r>
            <w:r w:rsidR="00913423">
              <w:rPr>
                <w:rFonts w:ascii="Calibri" w:cs="Calibri"/>
                <w:color w:val="000000"/>
                <w:sz w:val="18"/>
                <w:lang w:val="en-GB"/>
              </w:rPr>
              <w:t>(13,14)</w:t>
            </w:r>
            <w:r>
              <w:rPr>
                <w:sz w:val="18"/>
                <w:szCs w:val="18"/>
                <w:lang w:val="en-US"/>
              </w:rPr>
              <w:fldChar w:fldCharType="end"/>
            </w:r>
          </w:p>
        </w:tc>
      </w:tr>
      <w:tr w:rsidR="00346D75" w14:paraId="3F5BE3FF"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1579E770" w14:textId="4A33C683"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00B07900" w14:textId="3F536FE0"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Erdafitinib</w:t>
            </w:r>
          </w:p>
        </w:tc>
        <w:tc>
          <w:tcPr>
            <w:tcW w:w="2693" w:type="dxa"/>
            <w:vAlign w:val="bottom"/>
          </w:tcPr>
          <w:p w14:paraId="0D1EA927" w14:textId="7EF7A782"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FGFR inhibitor</w:t>
            </w:r>
          </w:p>
        </w:tc>
        <w:tc>
          <w:tcPr>
            <w:tcW w:w="4678" w:type="dxa"/>
            <w:vAlign w:val="bottom"/>
          </w:tcPr>
          <w:p w14:paraId="6C4C00D4" w14:textId="7DE21CD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Bladder cancer</w:t>
            </w:r>
          </w:p>
        </w:tc>
        <w:tc>
          <w:tcPr>
            <w:tcW w:w="2977" w:type="dxa"/>
            <w:vAlign w:val="bottom"/>
          </w:tcPr>
          <w:p w14:paraId="78CC9925" w14:textId="23DAB9F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BLC2001</w:t>
            </w:r>
          </w:p>
        </w:tc>
        <w:tc>
          <w:tcPr>
            <w:tcW w:w="1060" w:type="dxa"/>
          </w:tcPr>
          <w:p w14:paraId="3AC8AB2E" w14:textId="38486682"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jv50oaigb","properties":{"formattedCitation":"(15)","plainCitation":"(15)","noteIndex":0},"citationItems":[{"id":13546,"uris":["http://zotero.org/users/5405906/items/QISCYP25"],"uri":["http://zotero.org/users/5405906/items/QISCYP25"],"itemData":{"id":13546,"type":"article-journal","abstract":"BACKGROUND: Alterations in the gene encoding fibroblast growth factor receptor  (FGFR) are common in urothelial carcinoma and may be associated with lower  sensitivity to immune interventions. Erdafitinib, a tyrosine kinase inhibitor of","container-title":"The New England journal of medicine","DOI":"10.1056/NEJMoa1817323","ISSN":"1533-4406 0028-4793","issue":"4","journalAbbreviation":"N Engl J Med","language":"eng","note":"publisher-place: United States\nPMID: 31340094","page":"338-348","title":"Erdafitinib in Locally Advanced or Metastatic Urothelial Carcinoma.","volume":"381","author":[{"family":"Loriot","given":"Yohann"},{"family":"Necchi","given":"Andrea"},{"family":"Park","given":"Se Hoon"},{"family":"Garcia-Donas","given":"Jesus"},{"family":"Huddart","given":"Robert"},{"family":"Burgess","given":"Earle"},{"family":"Fleming","given":"Mark"},{"family":"Rezazadeh","given":"Arash"},{"family":"Mellado","given":"Begoña"},{"family":"Varlamov","given":"Sergey"},{"family":"Joshi","given":"Monika"},{"family":"Duran","given":"Ignacio"},{"family":"Tagawa","given":"Scott T."},{"family":"Zakharia","given":"Yousef"},{"family":"Zhong","given":"Bob"},{"family":"Stuyckens","given":"Kim"},{"family":"Santiago-Walker","given":"Ademi"},{"family":"De Porre","given":"Peter"},{"family":"O'Hagan","given":"Anne"},{"family":"Avadhani","given":"Anjali"},{"family":"Siefker-Radtke","given":"Arlene O."}],"issued":{"date-parts":[["2019",7,25]]}}}],"schema":"https://github.com/citation-style-language/schema/raw/master/csl-citation.json"} </w:instrText>
            </w:r>
            <w:r>
              <w:rPr>
                <w:sz w:val="18"/>
                <w:szCs w:val="18"/>
                <w:lang w:val="en-US"/>
              </w:rPr>
              <w:fldChar w:fldCharType="separate"/>
            </w:r>
            <w:r w:rsidR="00913423">
              <w:rPr>
                <w:rFonts w:ascii="Calibri" w:cs="Calibri"/>
                <w:color w:val="000000"/>
                <w:sz w:val="18"/>
                <w:lang w:val="en-GB"/>
              </w:rPr>
              <w:t>(15)</w:t>
            </w:r>
            <w:r>
              <w:rPr>
                <w:sz w:val="18"/>
                <w:szCs w:val="18"/>
                <w:lang w:val="en-US"/>
              </w:rPr>
              <w:fldChar w:fldCharType="end"/>
            </w:r>
          </w:p>
        </w:tc>
      </w:tr>
      <w:tr w:rsidR="00346D75" w14:paraId="512FAF78"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434670C6" w14:textId="66792C42"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00612C2F" w14:textId="51A3DD2E"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Pexidartinib</w:t>
            </w:r>
          </w:p>
        </w:tc>
        <w:tc>
          <w:tcPr>
            <w:tcW w:w="2693" w:type="dxa"/>
            <w:vAlign w:val="bottom"/>
          </w:tcPr>
          <w:p w14:paraId="2AE8A8CB" w14:textId="16691B8F"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CSF1R, KIT and FLT3 inhibitor</w:t>
            </w:r>
          </w:p>
        </w:tc>
        <w:tc>
          <w:tcPr>
            <w:tcW w:w="4678" w:type="dxa"/>
            <w:vAlign w:val="bottom"/>
          </w:tcPr>
          <w:p w14:paraId="3AA0438C" w14:textId="5952FB5D"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Tenosynovial giant cell tumour</w:t>
            </w:r>
          </w:p>
        </w:tc>
        <w:tc>
          <w:tcPr>
            <w:tcW w:w="2977" w:type="dxa"/>
            <w:vAlign w:val="bottom"/>
          </w:tcPr>
          <w:p w14:paraId="3B8249B1" w14:textId="191C28A5"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ENLIVEN</w:t>
            </w:r>
          </w:p>
        </w:tc>
        <w:tc>
          <w:tcPr>
            <w:tcW w:w="1060" w:type="dxa"/>
          </w:tcPr>
          <w:p w14:paraId="314C24E2" w14:textId="5606542F"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ns73p6dlq","properties":{"formattedCitation":"(16)","plainCitation":"(16)","noteIndex":0},"citationItems":[{"id":15201,"uris":["http://zotero.org/users/5405906/items/JDQVKCQL"],"uri":["http://zotero.org/users/5405906/items/JDQVKCQL"],"itemData":{"id":15201,"type":"article-journal","abstract":"BACKGROUND: Tenosynovial giant cell tumour (TGCT), a rare, locally aggressive  neoplasm, overexpresses colony-stimulating factor 1 (CSF1). Surgery is standard with  no approved systemic therapy. We aimed to evaluate pexidartinib, a CSF1 receptor  inhibitor, in patients with TGCT to provide them with a viable systemic treatment  option, especially in cases that are not amenable to surgical resection. METHODS:  This phase 3 randomised trial had two parts. Part one was a double-blind study in  which patients with symptomatic, advanced TGCT for whom surgery was not recommended  were randomly assigned via an integrated web response system (1:1) to the  pexidartinib or placebo group. Individuals in the pexidartinib group received a  loading dose of 1000 mg pexidartinib per day orally (400 mg morning; 600 mg evening)  for the first 2 weeks, followed by 800 mg per day (400 mg twice a day) for 22 weeks.  Part two was an open-label study of pexidartinib for all patients. The primary  endpoint, assessed in all intention-to-treat patients, was overall response at week  25, and was centrally reviewed by RECIST, version 1.1. Safety was analysed in all  patients who received at least one dose of the study drug. This study is registered  with ClinicalTrials.gov, number NCT02371369. FINDINGS: Between May 11, 2015, and  Sept 30, 2016, of 174 patients assessed for eligibility, 120 patients were randomly  assigned to, and received, pexidartinib (n=61) or placebo (n=59). There were 11  dropouts in the placebo group and nine in the pexidartinib group. Emergence of mixed  or cholestatic hepatotoxicity caused the data monitoring committee to stop enrolment  six patients short of target. The proportion of patients who achieved overall  response was higher for pexidartinib than placebo at week 25 by RECIST (24 [39%] of  61 vs none of 59; absolute difference 39% [95% CI 27-53]; p&lt;0·0001). Serious adverse  events occurred in eight (13%) of 61 patients in the pexidartinib group and one (2%)  of 59 patients in the placebo group. Hair colour changes (67%), fatigue (54%),  aspartate aminotransferase increase (39%), nausea (38%), alanine aminotransferase  increase (28%), and dysgeusia (25%) were the most frequent pexidartinib-associated  adverse events. Three patients given pexidartinib had aminotransferase elevations  three or more times the upper limit of normal with total bilirubin and alkaline  phosphatase two or more times the upper limit of normal indicative of mixed or  cholestatic hepatotoxicity, one lasting 7 months and confirmed by biopsy.  INTERPRETATION: Pexidartinib is the first systemic therapy to show a robust tumour  response in TGCT with improved patient symptoms and functional outcomes; mixed or  cholestatic hepatotoxicity is an identified risk. Pexidartinib could be considered  as a potential treatment for TGCT associated with severe morbidity or functional  limitations in cases not amenable to improvement with surgery. FUNDING: Daiichi  Sankyo.","container-title":"Lancet (London, England)","DOI":"10.1016/S0140-6736(19)30764-0","ISSN":"1474-547X 0140-6736 0140-6736","issue":"10197","journalAbbreviation":"Lancet","language":"eng","note":"PMID: 31229240 \nPMCID: PMC6860022","page":"478-487","title":"Pexidartinib versus placebo for advanced tenosynovial giant cell tumour (ENLIVEN): a  randomised phase 3 trial.","volume":"394","author":[{"family":"Tap","given":"William D."},{"family":"Gelderblom","given":"Hans"},{"family":"Palmerini","given":"Emanuela"},{"family":"Desai","given":"Jayesh"},{"family":"Bauer","given":"Sebastian"},{"family":"Blay","given":"Jean-Yves"},{"family":"Alcindor","given":"Thierry"},{"family":"Ganjoo","given":"Kristen"},{"family":"Martín-Broto","given":"Javier"},{"family":"Ryan","given":"Christopher W."},{"family":"Thomas","given":"David M."},{"family":"Peterfy","given":"Charles"},{"family":"Healey","given":"John H."},{"family":"Sande","given":"Michiel","non-dropping-particle":"van de"},{"family":"Gelhorn","given":"Heather L."},{"family":"Shuster","given":"Dale E."},{"family":"Wang","given":"Qiang"},{"family":"Yver","given":"Antoine"},{"family":"Hsu","given":"Henry H."},{"family":"Lin","given":"Paul S."},{"family":"Tong-Starksen","given":"Sandra"},{"family":"Stacchiotti","given":"Silvia"},{"family":"Wagner","given":"Andrew J."}],"issued":{"date-parts":[["2019",8,10]]}}}],"schema":"https://github.com/citation-style-language/schema/raw/master/csl-citation.json"} </w:instrText>
            </w:r>
            <w:r>
              <w:rPr>
                <w:sz w:val="18"/>
                <w:szCs w:val="18"/>
                <w:lang w:val="en-US"/>
              </w:rPr>
              <w:fldChar w:fldCharType="separate"/>
            </w:r>
            <w:r w:rsidR="00913423">
              <w:rPr>
                <w:rFonts w:ascii="Calibri" w:cs="Calibri"/>
                <w:color w:val="000000"/>
                <w:sz w:val="18"/>
                <w:lang w:val="en-GB"/>
              </w:rPr>
              <w:t>(16)</w:t>
            </w:r>
            <w:r>
              <w:rPr>
                <w:sz w:val="18"/>
                <w:szCs w:val="18"/>
                <w:lang w:val="en-US"/>
              </w:rPr>
              <w:fldChar w:fldCharType="end"/>
            </w:r>
          </w:p>
        </w:tc>
      </w:tr>
      <w:tr w:rsidR="00346D75" w14:paraId="3C998816"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2D6B5F5E" w14:textId="5F820463"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2019</w:t>
            </w:r>
          </w:p>
        </w:tc>
        <w:tc>
          <w:tcPr>
            <w:tcW w:w="1886" w:type="dxa"/>
            <w:vAlign w:val="bottom"/>
          </w:tcPr>
          <w:p w14:paraId="0B366BA6" w14:textId="19EF2F7F"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Zanubrutinib</w:t>
            </w:r>
          </w:p>
        </w:tc>
        <w:tc>
          <w:tcPr>
            <w:tcW w:w="2693" w:type="dxa"/>
            <w:vAlign w:val="bottom"/>
          </w:tcPr>
          <w:p w14:paraId="41CC7242" w14:textId="07FDD35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BTK inhibitor</w:t>
            </w:r>
          </w:p>
        </w:tc>
        <w:tc>
          <w:tcPr>
            <w:tcW w:w="4678" w:type="dxa"/>
            <w:vAlign w:val="bottom"/>
          </w:tcPr>
          <w:p w14:paraId="5B48153B" w14:textId="2FA14690"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Mantle cell lymphoma</w:t>
            </w:r>
          </w:p>
        </w:tc>
        <w:tc>
          <w:tcPr>
            <w:tcW w:w="2977" w:type="dxa"/>
            <w:vAlign w:val="bottom"/>
          </w:tcPr>
          <w:p w14:paraId="315781AC" w14:textId="6850107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BGB-3111-206</w:t>
            </w:r>
          </w:p>
        </w:tc>
        <w:tc>
          <w:tcPr>
            <w:tcW w:w="1060" w:type="dxa"/>
          </w:tcPr>
          <w:p w14:paraId="77636EAB" w14:textId="07865159"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unj3nap2f","properties":{"formattedCitation":"(17)","plainCitation":"(17)","noteIndex":0},"citationItems":[{"id":21239,"uris":["http://zotero.org/users/5405906/items/9US858P5"],"uri":["http://zotero.org/users/5405906/items/9US858P5"],"itemData":{"id":21239,"type":"article-journal","abstract":"PURPOSE: Mantle-cell lymphoma (MCL) is an incurable mature B-cell neoplasm with high initial response rates followed almost invariably by relapse. Prognosis for patients following relapse is poor, and treatment choices are limited. We evaluated the efficacy and safety of zanubrutinib, an investigational selective Bruton's tyrosine kinase (BTK) inhibitor.\nPATIENTS AND METHODS: Patients with relapsed/refractory MCL were enrolled in this ongoing phase II, single-arm, open-label study, and treated with oral zanubrutinib 160 mg twice daily. The primary endpoint is overall response rate (ORR) assessed by an independent review committee (per Lugano 2014 classification); secondary endpoints include duration of response (DOR), time to response, progression-free survival (PFS), and safety.\nRESULTS: Eighty-six patients (median age, 60.5 years) were enrolled after a median of 2 prior lines of therapy, received ≥1 dose of the study drug, and were evaluable for safety and efficacy. After a median follow-up of 18.4 months, 72 (84%) patients achieved an objective response, with 59 (68.6%) achieving a complete response (CR). Median DOR and PFS were 19.5 and 22.1 months, respectively; 12-month event-free estimates for DOR and PFS are 78% and 76%, respectively. Most common grade ≥3 adverse events (AE) were neutropenia (19.8%) and lung infection/pneumonia (9.3%). Three patients experienced major bleeding events, and there were no reports of atrial fibrillation. Eight (9.3%) patients discontinued zanubrutinib for AEs.\nCONCLUSIONS: These results demonstrate high and durable ORR and CR rates in patients with relapsed/refractory MCL. Zanubrutinib was generally well tolerated; grade ≥3 BTK inhibitor-associated toxicities (hemorrhage, rash, hypertension, diarrhea, atrial fibrillation) were uncommon.","container-title":"Clinical Cancer Research: An Official Journal of the American Association for Cancer Research","DOI":"10.1158/1078-0432.CCR-19-3703","ISSN":"1557-3265","issue":"16","journalAbbreviation":"Clin Cancer Res","language":"eng","note":"PMID: 32461234","page":"4216-4224","source":"PubMed","title":"Treatment of Patients with Relapsed or Refractory Mantle-Cell Lymphoma with Zanubrutinib, a Selective Inhibitor of Bruton's Tyrosine Kinase","volume":"26","author":[{"family":"Song","given":"Yuqin"},{"family":"Zhou","given":"Keshu"},{"family":"Zou","given":"Dehui"},{"family":"Zhou","given":"Jianfeng"},{"family":"Hu","given":"Jianda"},{"family":"Yang","given":"Haiyan"},{"family":"Zhang","given":"Huilai"},{"family":"Ji","given":"Jie"},{"family":"Xu","given":"Wei"},{"family":"Jin","given":"Jie"},{"family":"Lv","given":"Fangfang"},{"family":"Feng","given":"Ru"},{"family":"Gao","given":"Sujun"},{"family":"Guo","given":"Haiyi"},{"family":"Zhou","given":"Lei"},{"family":"Elstrom","given":"Rebecca"},{"family":"Huang","given":"Jane"},{"family":"Novotny","given":"William"},{"family":"Wei","given":"Rachel"},{"family":"Zhu","given":"Jun"}],"issued":{"date-parts":[["2020",8,15]]}}}],"schema":"https://github.com/citation-style-language/schema/raw/master/csl-citation.json"} </w:instrText>
            </w:r>
            <w:r>
              <w:rPr>
                <w:sz w:val="18"/>
                <w:szCs w:val="18"/>
                <w:lang w:val="en-US"/>
              </w:rPr>
              <w:fldChar w:fldCharType="separate"/>
            </w:r>
            <w:r w:rsidR="00913423">
              <w:rPr>
                <w:rFonts w:ascii="Calibri" w:cs="Calibri"/>
                <w:color w:val="000000"/>
                <w:sz w:val="18"/>
                <w:lang w:val="en-GB"/>
              </w:rPr>
              <w:t>(17)</w:t>
            </w:r>
            <w:r>
              <w:rPr>
                <w:sz w:val="18"/>
                <w:szCs w:val="18"/>
                <w:lang w:val="en-US"/>
              </w:rPr>
              <w:fldChar w:fldCharType="end"/>
            </w:r>
          </w:p>
        </w:tc>
      </w:tr>
      <w:tr w:rsidR="00346D75" w14:paraId="0D14CBEA"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69069878" w14:textId="591CBE41"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3D1423B0" w14:textId="3EBBA971"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Avapritinib</w:t>
            </w:r>
          </w:p>
        </w:tc>
        <w:tc>
          <w:tcPr>
            <w:tcW w:w="2693" w:type="dxa"/>
            <w:vAlign w:val="bottom"/>
          </w:tcPr>
          <w:p w14:paraId="48A9E696" w14:textId="6A200001"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PDGFRA and KIT inhibitor</w:t>
            </w:r>
          </w:p>
        </w:tc>
        <w:tc>
          <w:tcPr>
            <w:tcW w:w="4678" w:type="dxa"/>
            <w:vAlign w:val="bottom"/>
          </w:tcPr>
          <w:p w14:paraId="38FFE58E" w14:textId="2CB08702"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G</w:t>
            </w:r>
            <w:r w:rsidR="00786661">
              <w:rPr>
                <w:rFonts w:ascii="Calibri" w:hAnsi="Calibri" w:cs="Calibri"/>
                <w:color w:val="000000"/>
                <w:sz w:val="18"/>
                <w:szCs w:val="18"/>
              </w:rPr>
              <w:t>astrointestinal stromal tumours</w:t>
            </w:r>
            <w:r w:rsidRPr="00346D75">
              <w:rPr>
                <w:rFonts w:ascii="Calibri" w:hAnsi="Calibri" w:cs="Calibri"/>
                <w:color w:val="000000"/>
                <w:sz w:val="18"/>
                <w:szCs w:val="18"/>
              </w:rPr>
              <w:t xml:space="preserve"> with </w:t>
            </w:r>
            <w:r w:rsidRPr="00786661">
              <w:rPr>
                <w:rFonts w:ascii="Calibri" w:hAnsi="Calibri" w:cs="Calibri"/>
                <w:i/>
                <w:iCs/>
                <w:color w:val="000000"/>
                <w:sz w:val="18"/>
                <w:szCs w:val="18"/>
              </w:rPr>
              <w:t>PDGFRA</w:t>
            </w:r>
            <w:r w:rsidRPr="00346D75">
              <w:rPr>
                <w:rFonts w:ascii="Calibri" w:hAnsi="Calibri" w:cs="Calibri"/>
                <w:color w:val="000000"/>
                <w:sz w:val="18"/>
                <w:szCs w:val="18"/>
              </w:rPr>
              <w:t xml:space="preserve"> exon 18 mutations</w:t>
            </w:r>
          </w:p>
        </w:tc>
        <w:tc>
          <w:tcPr>
            <w:tcW w:w="2977" w:type="dxa"/>
            <w:vAlign w:val="bottom"/>
          </w:tcPr>
          <w:p w14:paraId="4A798ED5" w14:textId="62948CDB"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NAVIGATOR</w:t>
            </w:r>
          </w:p>
        </w:tc>
        <w:tc>
          <w:tcPr>
            <w:tcW w:w="1060" w:type="dxa"/>
          </w:tcPr>
          <w:p w14:paraId="4C1642FD" w14:textId="78E469B6"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25u5nclpk","properties":{"formattedCitation":"(18)","plainCitation":"(18)","noteIndex":0},"citationItems":[{"id":13616,"uris":["http://zotero.org/users/5405906/items/HVZ5EVC6"],"uri":["http://zotero.org/users/5405906/items/HVZ5EVC6"],"itemData":{"id":13616,"type":"article-journal","abstract":"BACKGROUND: Targeting of KIT and PDGFRA with imatinib revolutionised treatment in  gastrointestinal stromal tumour; however, PDGFRA Asp842Val (D842V)-mutated  gastrointestinal stromal tumour is highly resistant to tyrosine kinase inhibitors.  We aimed to assess the safety, tolerability, and antitumour activity of avapritinib,  a novel KIT and PDGFRA inhibitor that potently inhibits PDGFRA D842V, in patients  with advanced gastrointestinal stromal tumours, including patients with KIT and  PDGFRA D842V-mutant gastrointestinal stromal tumours (NAVIGATOR). METHODS: NAVIGATOR  is a two-part, open-label, dose-escalation and dose-expansion, phase 1 study done at  17 sites across nine countries (Belgium, France, Germany, Poland, Netherlands, South  Korea, Spain, the UK, and the USA). Patients aged 18 years or older, with an Eastern  Cooperative Oncology Group performance status of 2 or less, and with adequate  end-organ function were eligible to participate. The dose-escalation part of the  study included patients with unresectable gastrointestinal stromal tumours. The  dose-expansion part of the study included patients with an unresectable PDGFRA","container-title":"The Lancet. Oncology","DOI":"10.1016/S1470-2045(20)30269-2","ISSN":"1474-5488 1470-2045","issue":"7","journalAbbreviation":"Lancet Oncol","language":"eng","note":"publisher-place: England\nPMID: 32615108","page":"935-946","title":"Avapritinib in advanced PDGFRA D842V-mutant gastrointestinal stromal tumour  (NAVIGATOR): a multicentre, open-label, phase 1 trial.","volume":"21","author":[{"family":"Heinrich","given":"Michael C."},{"family":"Jones","given":"Robin L."},{"family":"Mehren","given":"Margaret","non-dropping-particle":"von"},{"family":"Schöffski","given":"Patrick"},{"family":"Serrano","given":"César"},{"family":"Kang","given":"Yoon-Koo"},{"family":"Cassier","given":"Philippe A."},{"family":"Mir","given":"Olivier"},{"family":"Eskens","given":"Ferry"},{"family":"Tap","given":"William D."},{"family":"Rutkowski","given":"Piotr"},{"family":"Chawla","given":"Sant P."},{"family":"Trent","given":"Jonathan"},{"family":"Tugnait","given":"Meera"},{"family":"Evans","given":"Erica K."},{"family":"Lauz","given":"Tamieka"},{"family":"Zhou","given":"Teresa"},{"family":"Roche","given":"Maria"},{"family":"Wolf","given":"Beni B."},{"family":"Bauer","given":"Sebastian"},{"family":"George","given":"Suzanne"}],"issued":{"date-parts":[["2020",7]]}}}],"schema":"https://github.com/citation-style-language/schema/raw/master/csl-citation.json"} </w:instrText>
            </w:r>
            <w:r>
              <w:rPr>
                <w:sz w:val="18"/>
                <w:szCs w:val="18"/>
                <w:lang w:val="en-US"/>
              </w:rPr>
              <w:fldChar w:fldCharType="separate"/>
            </w:r>
            <w:r w:rsidR="00913423">
              <w:rPr>
                <w:rFonts w:ascii="Calibri" w:cs="Calibri"/>
                <w:color w:val="000000"/>
                <w:sz w:val="18"/>
                <w:lang w:val="en-GB"/>
              </w:rPr>
              <w:t>(18)</w:t>
            </w:r>
            <w:r>
              <w:rPr>
                <w:sz w:val="18"/>
                <w:szCs w:val="18"/>
                <w:lang w:val="en-US"/>
              </w:rPr>
              <w:fldChar w:fldCharType="end"/>
            </w:r>
          </w:p>
        </w:tc>
      </w:tr>
      <w:tr w:rsidR="00346D75" w14:paraId="46B00D98"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71DF87FA" w14:textId="69280F4E"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277075F6" w14:textId="40E0217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Capmatinib</w:t>
            </w:r>
          </w:p>
        </w:tc>
        <w:tc>
          <w:tcPr>
            <w:tcW w:w="2693" w:type="dxa"/>
            <w:vAlign w:val="bottom"/>
          </w:tcPr>
          <w:p w14:paraId="206A26D3" w14:textId="68AD1674"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MET inhibitor</w:t>
            </w:r>
          </w:p>
        </w:tc>
        <w:tc>
          <w:tcPr>
            <w:tcW w:w="4678" w:type="dxa"/>
            <w:vAlign w:val="bottom"/>
          </w:tcPr>
          <w:p w14:paraId="236038EE" w14:textId="5E513FAB" w:rsidR="00F05583" w:rsidRPr="00346D75" w:rsidRDefault="00786661"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MET</w:t>
            </w:r>
            <w:r>
              <w:rPr>
                <w:rFonts w:ascii="Calibri" w:hAnsi="Calibri" w:cs="Calibri"/>
                <w:color w:val="000000"/>
                <w:sz w:val="18"/>
                <w:szCs w:val="18"/>
              </w:rPr>
              <w:t xml:space="preserve"> exon 14 altered NSCLC</w:t>
            </w:r>
          </w:p>
        </w:tc>
        <w:tc>
          <w:tcPr>
            <w:tcW w:w="2977" w:type="dxa"/>
            <w:vAlign w:val="bottom"/>
          </w:tcPr>
          <w:p w14:paraId="4AB1CFEF" w14:textId="77EC8F6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GEOMETRY mono-1</w:t>
            </w:r>
          </w:p>
        </w:tc>
        <w:tc>
          <w:tcPr>
            <w:tcW w:w="1060" w:type="dxa"/>
          </w:tcPr>
          <w:p w14:paraId="3D74D8DB" w14:textId="3F0F14F8"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cd9q4m6al","properties":{"formattedCitation":"(19)","plainCitation":"(19)","noteIndex":0},"citationItems":[{"id":21163,"uris":["http://zotero.org/users/5405906/items/SS5XFEKP"],"uri":["http://zotero.org/users/5405906/items/SS5XFEKP"],"itemData":{"id":21163,"type":"article-journal","abstract":"BACKGROUND: Among patients with non-small-cell lung cancer (NSCLC), MET exon 14 skipping mutations occur in 3 to 4% and MET amplifications occur in 1 to 6%. Capmatinib, a selective inhibitor of the MET receptor, has shown activity in cancer models with various types of MET activation.\nMETHODS: We conducted a multiple-cohort, phase 2 study evaluating capmatinib in patients with MET-dysregulated advanced NSCLC. Patients were assigned to cohorts on the basis of previous lines of therapy and MET status (MET exon 14 skipping mutation or MET amplification according to gene copy number in tumor tissue). Patients received capmatinib (400-mg tablet) twice daily. The primary end point was overall response (complete or partial response), and the key secondary end point was response duration; both end points were assessed by an independent review committee whose members were unaware of the cohort assignments.\nRESULTS: A total of 364 patients were assigned to the cohorts. Among patients with NSCLC with a MET exon 14 skipping mutation, overall response was observed in 41% (95% confidence interval [CI], 29 to 53) of 69 patients who had received one or two lines of therapy previously and in 68% (95% CI, 48 to 84) of 28 patients who had not received treatment previously; the median duration of response was 9.7 months (95% CI, 5.6 to 13.0) and 12.6 months (95% CI, 5.6 to could not be estimated), respectively. Limited efficacy was observed in previously treated patients with MET amplification who had a gene copy number of less than 10 (overall response in 7 to 12% of patients). Among patients with MET amplification and a gene copy number of 10 or higher, overall response was observed in 29% (95% CI, 19 to 41) of previously treated patients and in 40% (95% CI, 16 to 68) of those who had not received treatment previously. The most frequently reported adverse events were peripheral edema (in 51%) and nausea (in 45%); these events were mostly of grade 1 or 2.\nCONCLUSIONS: Capmatinib showed substantial antitumor activity in patients with advanced NSCLC with a MET exon 14 skipping mutation, particularly in those not treated previously. The efficacy in MET-amplified advanced NSCLC was higher in tumors with a high gene copy number than in those with a low gene copy number. Low-grade peripheral edema and nausea were the main toxic effects. (Funded by Novartis Pharmaceuticals; GEOMETRY mono-1 ClinicalTrials.gov number, NCT02414139.).","container-title":"The New England Journal of Medicine","DOI":"10.1056/NEJMoa2002787","ISSN":"1533-4406","issue":"10","journalAbbreviation":"N Engl J Med","language":"eng","note":"PMID: 32877583","page":"944-957","source":"PubMed","title":"Capmatinib in MET Exon 14-Mutated or MET-Amplified Non-Small-Cell Lung Cancer","volume":"383","author":[{"family":"Wolf","given":"Jürgen"},{"family":"Seto","given":"Takashi"},{"family":"Han","given":"Ji-Youn"},{"family":"Reguart","given":"Noemi"},{"family":"Garon","given":"Edward B."},{"family":"Groen","given":"Harry J. M."},{"family":"Tan","given":"Daniel S. W."},{"family":"Hida","given":"Toyoaki"},{"family":"Jonge","given":"Maja","non-dropping-particle":"de"},{"family":"Orlov","given":"Sergey V."},{"family":"Smit","given":"Egbert F."},{"family":"Souquet","given":"Pierre-Jean"},{"family":"Vansteenkiste","given":"Johan"},{"family":"Hochmair","given":"Maximilian"},{"family":"Felip","given":"Enriqueta"},{"family":"Nishio","given":"Makoto"},{"family":"Thomas","given":"Michael"},{"family":"Ohashi","given":"Kadoaki"},{"family":"Toyozawa","given":"Ryo"},{"family":"Overbeck","given":"Tobias R."},{"family":"Marinis","given":"Filippo","non-dropping-particle":"de"},{"family":"Kim","given":"Tae-Min"},{"family":"Laack","given":"Eckart"},{"family":"Robeva","given":"Anna"},{"family":"Le Mouhaer","given":"Sylvie"},{"family":"Waldron-Lynch","given":"Maeve"},{"family":"Sankaran","given":"Banu"},{"family":"Balbin","given":"O. Alejandro"},{"family":"Cui","given":"Xiaoming"},{"family":"Giovannini","given":"Monica"},{"family":"Akimov","given":"Mikhail"},{"family":"Heist","given":"Rebecca S."},{"literal":"GEOMETRY mono-1 Investigators"}],"issued":{"date-parts":[["2020",9,3]]}}}],"schema":"https://github.com/citation-style-language/schema/raw/master/csl-citation.json"} </w:instrText>
            </w:r>
            <w:r>
              <w:rPr>
                <w:sz w:val="18"/>
                <w:szCs w:val="18"/>
                <w:lang w:val="en-US"/>
              </w:rPr>
              <w:fldChar w:fldCharType="separate"/>
            </w:r>
            <w:r w:rsidR="00913423">
              <w:rPr>
                <w:rFonts w:ascii="Calibri" w:cs="Calibri"/>
                <w:color w:val="000000"/>
                <w:sz w:val="18"/>
                <w:lang w:val="en-GB"/>
              </w:rPr>
              <w:t>(19)</w:t>
            </w:r>
            <w:r>
              <w:rPr>
                <w:sz w:val="18"/>
                <w:szCs w:val="18"/>
                <w:lang w:val="en-US"/>
              </w:rPr>
              <w:fldChar w:fldCharType="end"/>
            </w:r>
          </w:p>
        </w:tc>
      </w:tr>
      <w:tr w:rsidR="00346D75" w14:paraId="680FFA8E"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6B06575C" w14:textId="1CB6F7B2"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6D5247C6" w14:textId="324929E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Lurbinectedin</w:t>
            </w:r>
          </w:p>
        </w:tc>
        <w:tc>
          <w:tcPr>
            <w:tcW w:w="2693" w:type="dxa"/>
            <w:vAlign w:val="bottom"/>
          </w:tcPr>
          <w:p w14:paraId="089871BE" w14:textId="1504F249"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 xml:space="preserve">Alkylating </w:t>
            </w:r>
            <w:r w:rsidR="00786661">
              <w:rPr>
                <w:rFonts w:ascii="Calibri" w:hAnsi="Calibri" w:cs="Calibri"/>
                <w:color w:val="000000"/>
                <w:sz w:val="18"/>
                <w:szCs w:val="18"/>
              </w:rPr>
              <w:t>chemotherapy</w:t>
            </w:r>
          </w:p>
        </w:tc>
        <w:tc>
          <w:tcPr>
            <w:tcW w:w="4678" w:type="dxa"/>
            <w:vAlign w:val="bottom"/>
          </w:tcPr>
          <w:p w14:paraId="5B502E69" w14:textId="1A4FEC9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Small-cell lung cancer</w:t>
            </w:r>
          </w:p>
        </w:tc>
        <w:tc>
          <w:tcPr>
            <w:tcW w:w="2977" w:type="dxa"/>
            <w:vAlign w:val="bottom"/>
          </w:tcPr>
          <w:p w14:paraId="143ED4BF" w14:textId="4946B7E3"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Study B-005</w:t>
            </w:r>
          </w:p>
        </w:tc>
        <w:tc>
          <w:tcPr>
            <w:tcW w:w="1060" w:type="dxa"/>
          </w:tcPr>
          <w:p w14:paraId="2E114850" w14:textId="0ADA8B2A"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27fnm0tlao","properties":{"formattedCitation":"(20)","plainCitation":"(20)","noteIndex":0},"citationItems":[{"id":13621,"uris":["http://zotero.org/users/5405906/items/C6FC5VHQ"],"uri":["http://zotero.org/users/5405906/items/C6FC5VHQ"],"itemData":{"id":13621,"type":"article-journal","abstract":"BACKGROUND: Few options exist for treatment of patients with small-cell lung cancer  (SCLC) after failure of first-line therapy. Lurbinectedin is a selective inhibitor  of oncogenic transcription. In this phase 2 study, we evaluated the acti and safety  of lurbinectedin in patients with SCLC after failure of platinum-based chemotherapy.  METHODS: In this single-arm, open-label, phase 2 basket trial, we recruited patients  from 26 hospitals in six European countries and the USA. Adults (aged ≥18 years)  with a pathologically proven diagnosis of SCLC, Eastern Cooperative Oncology Group  performance status of 2 or lower, measurable disease as per Response Criteria in  Solid Tumors (RECIST) version 1.1, absence of brain metastasis, adequate organ  function, and pre-treated with only one previous chemotherapy-containing line of  treatment (minimum 3 weeks before study initiation) were eligible. Treatment  consisted of 3·2 mg/m(2) lurbinectedin administered as a 1-h intravenous infusion  every 3 weeks until disease progression or unacceptable toxicity. The primary  outcome was the proportion of patients with an overall response (complete or partial  response) as assessed by the investigators according to RECIST 1.1. All treated  patients were analysed for activity and safety. This study is ongoing and is  registered with ClinicalTrials.gov, NCT02454972. FINDINGS: Between Oct 16, 2015, and  Jan 15, 2019, 105 patients were enrolled and treated with lurbinectedin. Median  follow-up was 17·1 months (IQR 6·5-25·3). Overall response by investigator  assessment was seen in 37 patients (35·2%; 95% CI 26·2-45·2). The most common grade","container-title":"The Lancet. Oncology","DOI":"10.1016/S1470-2045(20)30068-1","ISSN":"1474-5488 1470-2045","issue":"5","journalAbbreviation":"Lancet Oncol","language":"eng","note":"publisher-place: England\nPMID: 32224306","page":"645-654","title":"Lurbinectedin as second-line treatment for patients with small-cell lung cancer: a  single-arm, open-label, phase 2 basket trial.","volume":"21","author":[{"family":"Trigo","given":"José"},{"family":"Subbiah","given":"Vivek"},{"family":"Besse","given":"Benjamin"},{"family":"Moreno","given":"Victor"},{"family":"López","given":"Rafael"},{"family":"Sala","given":"María Angeles"},{"family":"Peters","given":"Solange"},{"family":"Ponce","given":"Santiago"},{"family":"Fernández","given":"Cristian"},{"family":"Alfaro","given":"Vicente"},{"family":"Gómez","given":"Javier"},{"family":"Kahatt","given":"Carmen"},{"family":"Zeaiter","given":"Ali"},{"family":"Zaman","given":"Khalil"},{"family":"Boni","given":"Valentina"},{"family":"Arrondeau","given":"Jennifer"},{"family":"Martínez","given":"Maite"},{"family":"Delord","given":"Jean-Pierre"},{"family":"Awada","given":"Ahmad"},{"family":"Kristeleit","given":"Rebecca"},{"family":"Olmedo","given":"Maria Eugenia"},{"family":"Wannesson","given":"Luciano"},{"family":"Valdivia","given":"Javier"},{"family":"Rubio","given":"María Jesús"},{"family":"Anton","given":"Antonio"},{"family":"Sarantopoulos","given":"John"},{"family":"Chawla","given":"Sant P."},{"family":"Mosquera-Martinez","given":"Joaquín"},{"family":"D'Arcangelo","given":"Manolo"},{"family":"Santoro","given":"Armando"},{"family":"Villalobos","given":"Victor M."},{"family":"Sands","given":"Jacob"},{"family":"Paz-Ares","given":"Luis"}],"issued":{"date-parts":[["2020",5]]}}}],"schema":"https://github.com/citation-style-language/schema/raw/master/csl-citation.json"} </w:instrText>
            </w:r>
            <w:r>
              <w:rPr>
                <w:sz w:val="18"/>
                <w:szCs w:val="18"/>
                <w:lang w:val="en-US"/>
              </w:rPr>
              <w:fldChar w:fldCharType="separate"/>
            </w:r>
            <w:r w:rsidR="00913423">
              <w:rPr>
                <w:rFonts w:ascii="Calibri" w:cs="Calibri"/>
                <w:color w:val="000000"/>
                <w:sz w:val="18"/>
                <w:lang w:val="en-GB"/>
              </w:rPr>
              <w:t>(20)</w:t>
            </w:r>
            <w:r>
              <w:rPr>
                <w:sz w:val="18"/>
                <w:szCs w:val="18"/>
                <w:lang w:val="en-US"/>
              </w:rPr>
              <w:fldChar w:fldCharType="end"/>
            </w:r>
          </w:p>
        </w:tc>
      </w:tr>
      <w:tr w:rsidR="00346D75" w14:paraId="73CE13D8"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480BFD17" w14:textId="07349B41"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0EF93D97" w14:textId="0834AEC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Margetuximab</w:t>
            </w:r>
          </w:p>
        </w:tc>
        <w:tc>
          <w:tcPr>
            <w:tcW w:w="2693" w:type="dxa"/>
            <w:vAlign w:val="bottom"/>
          </w:tcPr>
          <w:p w14:paraId="0ABC825B" w14:textId="7A6447A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 xml:space="preserve">HER2-directed </w:t>
            </w:r>
            <w:r w:rsidR="00786661">
              <w:rPr>
                <w:rFonts w:ascii="Calibri" w:hAnsi="Calibri" w:cs="Calibri"/>
                <w:color w:val="000000"/>
                <w:sz w:val="18"/>
                <w:szCs w:val="18"/>
              </w:rPr>
              <w:t>antibody</w:t>
            </w:r>
          </w:p>
        </w:tc>
        <w:tc>
          <w:tcPr>
            <w:tcW w:w="4678" w:type="dxa"/>
            <w:vAlign w:val="bottom"/>
          </w:tcPr>
          <w:p w14:paraId="7CE18EE2" w14:textId="7BAFCD30"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HER2</w:t>
            </w:r>
            <w:r w:rsidRPr="00346D75">
              <w:rPr>
                <w:rFonts w:ascii="Calibri" w:hAnsi="Calibri" w:cs="Calibri"/>
                <w:color w:val="000000"/>
                <w:sz w:val="18"/>
                <w:szCs w:val="18"/>
              </w:rPr>
              <w:t>-positive breast cancer</w:t>
            </w:r>
          </w:p>
        </w:tc>
        <w:tc>
          <w:tcPr>
            <w:tcW w:w="2977" w:type="dxa"/>
            <w:vAlign w:val="bottom"/>
          </w:tcPr>
          <w:p w14:paraId="130F219A" w14:textId="39096C5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SOPHIA</w:t>
            </w:r>
          </w:p>
        </w:tc>
        <w:tc>
          <w:tcPr>
            <w:tcW w:w="1060" w:type="dxa"/>
          </w:tcPr>
          <w:p w14:paraId="74336C49" w14:textId="3999ED0A"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fgpde91b9","properties":{"formattedCitation":"(21)","plainCitation":"(21)","noteIndex":0},"citationItems":[{"id":21198,"uris":["http://zotero.org/users/5405906/items/2FD9ANSA"],"uri":["http://zotero.org/users/5405906/items/2FD9ANSA"],"itemData":{"id":21198,"type":"article-journal","abstract":"Importance: ERRB2 (formerly HER2)-positive advanced breast cancer (ABC) remains typically incurable with optimal treatment undefined in later lines of therapy. The chimeric antibody margetuximab shares ERBB2 specificity with trastuzumab but incorporates an engineered Fc region to increase immune activation.\nObjective: To compare the clinical efficacy of margetuximab vs trastuzumab, each with chemotherapy, in patients with pretreated ERBB2-positive ABC.\nDesign, Setting, and Participants: The SOPHIA phase 3 randomized open-label trial of margetuximab plus chemotherapy vs trastuzumab plus chemotherapy enrolled 536 patients from August 26, 2015, to October 10, 2018, at 166 sites in 17 countries. Eligible patients had disease progression on 2 or more prior anti-ERBB2 therapies and 1 to 3 lines of therapy for metastatic disease. Data were analyzed from February 2019 to October 2019.\nInterventions: Investigators selected chemotherapy before 1:1 randomization to margetuximab, 15 mg/kg, or trastuzumab, 6 mg/kg (loading dose, 8 mg/kg), each in 3-week cycles. Stratification factors were metastatic sites (≤2, &gt;2), lines of therapy (≤2, &gt;2), and chemotherapy choice.\nMain Outcomes and Measures: Sequential primary end points were progression-free survival (PFS) by central blinded analysis and overall survival (OS). All α was allocated to PFS, followed by OS. Secondary end points were investigator-assessed PFS and objective response rate by central blinded analysis.\nResults: A total of 536 patients were randomized to receive margetuximab (n = 266) or trastuzumab (n = 270). The median age was 56 (27-86) years; 266 (100%) women were in the margetuximab group, while 267 (98.9%) women were in the trastuzumab group. Groups were balanced. All but 1 patient had received prior pertuzumab, and 489 (91.2%) had received prior ado-trastuzumab emtansine. Margetuximab improved primary PFS over trastuzumab with 24% relative risk reduction (hazard ratio [HR], 0.76; 95% CI, 0.59-0.98; P = .03; median, 5.8 [95% CI, 5.5-7.0] months vs 4.9 [95% CI, 4.2-5.6] months; October 10, 2018). After the second planned interim analysis of 270 deaths, median OS was 21.6 months with margetuximab vs 19.8 months with trastuzumab (HR, 0.89; 95% CI, 0.69-1.13; P = .33; September 10, 2019), and investigator-assessed PFS showed 29% relative risk reduction favoring margetuximab (HR, 0.71; 95% CI, 0.58-0.86; P &lt; .001; median, 5.7 vs 4.4 months; September 10, 2019). Margetuximab improved objective response rate over trastuzumab: 22% vs 16% (P = .06; October 10, 2018), and 25% vs 14% (P &lt; .001; September 10, 2019). Incidence of infusion-related reactions, mostly in cycle 1, was higher with margetuximab (35 [13.3%] vs 9 [3.4%]); otherwise, safety was comparable.\nConclusions and Relevance: In this phase 3 randomized clinical trial, margetuximab plus chemotherapy had acceptable safety and a statistically significant improvement in PFS compared with trastuzumab plus chemotherapy in ERBB2-positive ABC after progression on 2 or more prior anti-ERBB2 therapies. Final OS analysis is expected in 2021.\nTrial Registration: ClinicalTrials.gov Identifier: NCT02492711.","container-title":"JAMA oncology","DOI":"10.1001/jamaoncol.2020.7932","ISSN":"2374-2445","issue":"4","journalAbbreviation":"JAMA Oncol","language":"eng","note":"PMID: 33480963\nPMCID: PMC7823434","page":"573-584","source":"PubMed","title":"Efficacy of Margetuximab vs Trastuzumab in Patients With Pretreated ERBB2-Positive Advanced Breast Cancer: A Phase 3 Randomized Clinical Trial","title-short":"Efficacy of Margetuximab vs Trastuzumab in Patients With Pretreated ERBB2-Positive Advanced Breast Cancer","volume":"7","author":[{"family":"Rugo","given":"Hope S."},{"family":"Im","given":"Seock-Ah"},{"family":"Cardoso","given":"Fatima"},{"family":"Cortés","given":"Javier"},{"family":"Curigliano","given":"Giuseppe"},{"family":"Musolino","given":"Antonino"},{"family":"Pegram","given":"Mark D."},{"family":"Wright","given":"Gail S."},{"family":"Saura","given":"Cristina"},{"family":"Escrivá-de-Romaní","given":"Santiago"},{"family":"De Laurentiis","given":"Michelino"},{"family":"Levy","given":"Christelle"},{"family":"Brown-Glaberman","given":"Ursa"},{"family":"Ferrero","given":"Jean-Marc"},{"family":"Boer","given":"Maaike","non-dropping-particle":"de"},{"family":"Kim","given":"Sung-Bae"},{"family":"Petráková","given":"Katarína"},{"family":"Yardley","given":"Denise A."},{"family":"Freedman","given":"Orit"},{"family":"Jakobsen","given":"Erik H."},{"family":"Kaufman","given":"Bella"},{"family":"Yerushalmi","given":"Rinat"},{"family":"Fasching","given":"Peter A."},{"family":"Nordstrom","given":"Jeffrey L."},{"family":"Bonvini","given":"Ezio"},{"family":"Koenig","given":"Scott"},{"family":"Edlich","given":"Sutton"},{"family":"Hong","given":"Shengyan"},{"family":"Rock","given":"Edwin P."},{"family":"Gradishar","given":"William J."},{"literal":"SOPHIA Study Group"}],"issued":{"date-parts":[["2021",4,1]]}}}],"schema":"https://github.com/citation-style-language/schema/raw/master/csl-citation.json"} </w:instrText>
            </w:r>
            <w:r>
              <w:rPr>
                <w:sz w:val="18"/>
                <w:szCs w:val="18"/>
                <w:lang w:val="en-US"/>
              </w:rPr>
              <w:fldChar w:fldCharType="separate"/>
            </w:r>
            <w:r w:rsidR="00913423">
              <w:rPr>
                <w:rFonts w:ascii="Calibri" w:cs="Calibri"/>
                <w:color w:val="000000"/>
                <w:sz w:val="18"/>
                <w:lang w:val="en-GB"/>
              </w:rPr>
              <w:t>(21)</w:t>
            </w:r>
            <w:r>
              <w:rPr>
                <w:sz w:val="18"/>
                <w:szCs w:val="18"/>
                <w:lang w:val="en-US"/>
              </w:rPr>
              <w:fldChar w:fldCharType="end"/>
            </w:r>
          </w:p>
        </w:tc>
      </w:tr>
      <w:tr w:rsidR="00346D75" w14:paraId="34137117"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43DC31E4" w14:textId="225F9536"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7172CB5F" w14:textId="47EC0C50"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Pemigatinib</w:t>
            </w:r>
          </w:p>
        </w:tc>
        <w:tc>
          <w:tcPr>
            <w:tcW w:w="2693" w:type="dxa"/>
            <w:vAlign w:val="bottom"/>
          </w:tcPr>
          <w:p w14:paraId="5BF0E9A8" w14:textId="77D5231D"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FGFR1-3 inhibitor</w:t>
            </w:r>
          </w:p>
        </w:tc>
        <w:tc>
          <w:tcPr>
            <w:tcW w:w="4678" w:type="dxa"/>
            <w:vAlign w:val="bottom"/>
          </w:tcPr>
          <w:p w14:paraId="4440AC78" w14:textId="538C80B4"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Cholangiocarcinoma</w:t>
            </w:r>
          </w:p>
        </w:tc>
        <w:tc>
          <w:tcPr>
            <w:tcW w:w="2977" w:type="dxa"/>
            <w:vAlign w:val="bottom"/>
          </w:tcPr>
          <w:p w14:paraId="08B60B78" w14:textId="398DF629"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FIGHT-202</w:t>
            </w:r>
          </w:p>
        </w:tc>
        <w:tc>
          <w:tcPr>
            <w:tcW w:w="1060" w:type="dxa"/>
          </w:tcPr>
          <w:p w14:paraId="00255AA7" w14:textId="0A11C2C7"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17f7figdqj","properties":{"formattedCitation":"(22)","plainCitation":"(22)","noteIndex":0},"citationItems":[{"id":13622,"uris":["http://zotero.org/users/5405906/items/3HTYNM6T"],"uri":["http://zotero.org/users/5405906/items/3HTYNM6T"],"itemData":{"id":13622,"type":"article-journal","abstract":"BACKGROUND: Fibroblast growth factor receptor (FGFR) 2 gene alterations are involved  in the pathogenesis of cholangiocarcinoma. Pemigatinib is a selective, potent, oral  inhibitor of FGFR1, 2, and 3. This study evaluated the safety and antitumour  activity of pemigatinib in patients with previously treated, locally advanced or  metastatic cholangiocarcinoma with and without FGFR2 fusions or rearrangements.  METHODS: In this multicentre, open-label, single-arm, multicohort, phase 2 study  (FIGHT-202), patients aged 18 years or older with disease progression following at  least one previous treatment and an Eastern Cooperative Oncology Group (ECOG)  performance status of 0-2 recruited from 146 academic or community-based sites in  the USA, Europe, the Middle East, and Asia were assigned to one of three cohorts:  patients with FGFR2 fusions or rearrangements, patients with other FGF/FGFR  alterations, or patients with no FGF/FGFR alterations. All enrolled patients  received a starting dose of 13·5 mg oral pemigatinib once daily (21-day cycle; 2  weeks on, 1 week off) until disease progression, unacceptable toxicity, withdrawal  of consent, or physician decision. The primary endpoint was the proportion of  patients who achieved an objective response among those with FGFR2 fusions or  rearrangements, assessed centrally in all patients who received at least one dose of  pemigatinib. This study is registered with ClinicalTrials.gov, NCT02924376, and  enrolment is completed. FINDINGS: Between Jan 17, 2017, and March 22, 2019, 146  patients were enrolled: 107 with FGFR2 fusions or rearrangements, 20 with other  FGF/FGFR alterations, 18 with no FGF/FGFR alterations, and one with an undetermined  FGF/FGFR alteration. The median follow-up was 17·8 months (IQR 11·6-21·3). 38 (35·5%  [95% CI 26·5-45·4]) patients with FGFR2 fusions or rearrangements achieved an  objective response (three complete responses and 35 partial responses). Overall,  hyperphosphataemia was the most common all-grade adverse event irrespective of cause  (88 [60%] of 146 patients). 93 (64%) patients had a grade 3 or worse adverse event  (irrespective of cause); the most frequent were hypophosphataemia (18 [12%]),  arthralgia (nine [6%]), stomatitis (eight [5%]), hyponatraemia (eight [5%]),  abdominal pain (seven [5%]), and fatigue (seven [5%]). 65 (45%) patients had serious  adverse events; the most frequent were abdominal pain (seven [5%]), pyrexia (seven  [5%]), cholangitis (five [3%]), and pleural effusion (five [3%]). Overall, 71 (49%)  patients died during the study, most frequently because of disease progression (61  [42%]); no deaths were deemed to be treatment related. INTERPRETATION: These data  support the therapeutic potential of pemigatinib in previously treated patients with  cholangiocarcinoma who have FGFR2 fusions or rearrangements. FUNDING: Incyte  Corporation.","container-title":"The Lancet. Oncology","DOI":"10.1016/S1470-2045(20)30109-1","ISSN":"1474-5488 1470-2045","issue":"5","journalAbbreviation":"Lancet Oncol","language":"eng","note":"publisher-place: England\nPMID: 32203698","page":"671-684","title":"Pemigatinib for previously treated, locally advanced or metastatic  cholangiocarcinoma: a multicentre, open-label, phase 2 study.","volume":"21","author":[{"family":"Abou-Alfa","given":"Ghassan K."},{"family":"Sahai","given":"Vaibhav"},{"family":"Hollebecque","given":"Antoine"},{"family":"Vaccaro","given":"Gina"},{"family":"Melisi","given":"Davide"},{"family":"Al-Rajabi","given":"Raed"},{"family":"Paulson","given":"Andrew S."},{"family":"Borad","given":"Mitesh J."},{"family":"Gallinson","given":"David"},{"family":"Murphy","given":"Adrian G."},{"family":"Oh","given":"Do-Youn"},{"family":"Dotan","given":"Efrat"},{"family":"Catenacci","given":"Daniel V."},{"family":"Van Cutsem","given":"Eric"},{"family":"Ji","given":"Tao"},{"family":"Lihou","given":"Christine F."},{"family":"Zhen","given":"Huiling"},{"family":"Féliz","given":"Luis"},{"family":"Vogel","given":"Arndt"}],"issued":{"date-parts":[["2020",5]]}}}],"schema":"https://github.com/citation-style-language/schema/raw/master/csl-citation.json"} </w:instrText>
            </w:r>
            <w:r>
              <w:rPr>
                <w:sz w:val="18"/>
                <w:szCs w:val="18"/>
                <w:lang w:val="en-US"/>
              </w:rPr>
              <w:fldChar w:fldCharType="separate"/>
            </w:r>
            <w:r w:rsidR="00913423">
              <w:rPr>
                <w:rFonts w:ascii="Calibri" w:cs="Calibri"/>
                <w:color w:val="000000"/>
                <w:sz w:val="18"/>
                <w:lang w:val="en-GB"/>
              </w:rPr>
              <w:t>(22)</w:t>
            </w:r>
            <w:r>
              <w:rPr>
                <w:sz w:val="18"/>
                <w:szCs w:val="18"/>
                <w:lang w:val="en-US"/>
              </w:rPr>
              <w:fldChar w:fldCharType="end"/>
            </w:r>
          </w:p>
        </w:tc>
      </w:tr>
      <w:tr w:rsidR="00346D75" w14:paraId="68CAB8E6"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68E65094" w14:textId="50324F42"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66AE2218" w14:textId="351776F6"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Pralsetinib</w:t>
            </w:r>
          </w:p>
        </w:tc>
        <w:tc>
          <w:tcPr>
            <w:tcW w:w="2693" w:type="dxa"/>
            <w:vAlign w:val="bottom"/>
          </w:tcPr>
          <w:p w14:paraId="415ED4E0" w14:textId="46B10A6B"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RET inhibitor</w:t>
            </w:r>
          </w:p>
        </w:tc>
        <w:tc>
          <w:tcPr>
            <w:tcW w:w="4678" w:type="dxa"/>
            <w:vAlign w:val="bottom"/>
          </w:tcPr>
          <w:p w14:paraId="6E196D43" w14:textId="6703590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RET</w:t>
            </w:r>
            <w:r w:rsidRPr="00346D75">
              <w:rPr>
                <w:rFonts w:ascii="Calibri" w:hAnsi="Calibri" w:cs="Calibri"/>
                <w:color w:val="000000"/>
                <w:sz w:val="18"/>
                <w:szCs w:val="18"/>
              </w:rPr>
              <w:t xml:space="preserve"> fusion-positive NSCLC</w:t>
            </w:r>
          </w:p>
        </w:tc>
        <w:tc>
          <w:tcPr>
            <w:tcW w:w="2977" w:type="dxa"/>
            <w:vAlign w:val="bottom"/>
          </w:tcPr>
          <w:p w14:paraId="76145082" w14:textId="1629515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ARROW</w:t>
            </w:r>
          </w:p>
        </w:tc>
        <w:tc>
          <w:tcPr>
            <w:tcW w:w="1060" w:type="dxa"/>
          </w:tcPr>
          <w:p w14:paraId="6081A603" w14:textId="34245A3A"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ov3fclb1g","properties":{"formattedCitation":"(23)","plainCitation":"(23)","noteIndex":0},"citationItems":[{"id":20982,"uris":["http://zotero.org/users/5405906/items/7BZ6G3CM"],"uri":["http://zotero.org/users/5405906/items/7BZ6G3CM"],"itemData":{"id":20982,"type":"article-journal","abstract":"BACKGROUND: Oncogenic alterations in RET have been identified in multiple tumour types, including 1-2% of non-small-cell lung cancers (NSCLCs). We aimed to assess the safety, tolerability, and antitumour activity of pralsetinib, a highly potent, oral, selective RET inhibitor, in patients with RET fusion-positive NSCLC.\nMETHODS: ARROW is a multi-cohort, open-label, phase 1/2 study done at 71 sites (community and academic cancer centres) in 13 countries (Belgium, China, France, Germany, Hong Kong, Italy, Netherlands, Singapore, South Korea, Spain, Taiwan, the UK, and the USA). Patients aged 18 years or older with locally advanced or metastatic solid tumours, including RET fusion-positive NSCLC, and an Eastern Cooperative Oncology Group performance status of 0-2 (later limited to 0-1 in a protocol amendment) were enrolled. In phase 2, patients received 400 mg once-daily oral pralsetinib, and could continue treatment until disease progression, intolerance, withdrawal of consent, or investigator decision. Phase 2 primary endpoints were overall response rate (according to Response Evaluation Criteria in Solid Tumours version 1·1 and assessed by blinded independent central review) and safety. Tumour response was assessed in patients with RET fusion-positive NSCLC and centrally adjudicated baseline measurable disease who had received platinum-based chemotherapy or were treatment-naive because they were ineligible for standard therapy. This ongoing study is registered with ClinicalTrials.gov, NCT03037385, and enrolment of patients with treatment-naive RET fusion-positive NSCLC was ongoing at the time of this interim analysis.\nFINDINGS: Of 233 patients with RET fusion-positive NSCLC enrolled between March 17, 2017, and May 22, 2020 (data cutoff), 92 with previous platinum-based chemotherapy and 29 who were treatment-naive received pralsetinib before July 11, 2019 (efficacy enrolment cutoff); 87 previously treated patients and 27 treatment-naive patients had centrally adjudicated baseline measurable disease. Overall responses were recorded in 53 (61%; 95% CI 50-71) of 87 patients with previous platinum-based chemotherapy, including five (6%) patients with a complete response; and 19 (70%; 50-86) of 27 treatment-naive patients, including three (11%) with a complete response. In 233 patients with RET fusion-positive NSCLC, common grade 3 or worse treatment-related adverse events were neutropenia (43 patients [18%]), hypertension (26 [11%]), and anaemia (24 [10%]); there were no treatment-related deaths in this population.\nINTERPRETATION: Pralsetinib is a new, well-tolerated, promising, once-daily oral treatment option for patients with RET fusion-positive NSCLC.\nFUNDING: Blueprint Medicines.","container-title":"The Lancet. Oncology","DOI":"10.1016/S1470-2045(21)00247-3","ISSN":"1474-5488","journalAbbreviation":"Lancet Oncol","language":"eng","note":"PMID: 34118197","source":"PubMed","title":"Pralsetinib for RET fusion-positive non-small-cell lung cancer (ARROW): a multi-cohort, open-label, phase 1/2 study","title-short":"Pralsetinib for RET fusion-positive non-small-cell lung cancer (ARROW)","author":[{"family":"Gainor","given":"Justin F."},{"family":"Curigliano","given":"Giuseppe"},{"family":"Kim","given":"Dong-Wan"},{"family":"Lee","given":"Dae Ho"},{"family":"Besse","given":"Benjamin"},{"family":"Baik","given":"Christina S."},{"family":"Doebele","given":"Robert C."},{"family":"Cassier","given":"Philippe A."},{"family":"Lopes","given":"Gilberto"},{"family":"Tan","given":"Daniel S. W."},{"family":"Garralda","given":"Elena"},{"family":"Paz-Ares","given":"Luis G."},{"family":"Cho","given":"Byoung Chul"},{"family":"Gadgeel","given":"Shirish M."},{"family":"Thomas","given":"Michael"},{"family":"Liu","given":"Stephen V."},{"family":"Taylor","given":"Matthew H."},{"family":"Mansfield","given":"Aaron S."},{"family":"Zhu","given":"Viola W."},{"family":"Clifford","given":"Corinne"},{"family":"Zhang","given":"Hui"},{"family":"Palmer","given":"Michael"},{"family":"Green","given":"Jennifer"},{"family":"Turner","given":"Christopher D."},{"family":"Subbiah","given":"Vivek"}],"issued":{"date-parts":[["2021",6,9]]}}}],"schema":"https://github.com/citation-style-language/schema/raw/master/csl-citation.json"} </w:instrText>
            </w:r>
            <w:r>
              <w:rPr>
                <w:sz w:val="18"/>
                <w:szCs w:val="18"/>
                <w:lang w:val="en-US"/>
              </w:rPr>
              <w:fldChar w:fldCharType="separate"/>
            </w:r>
            <w:r w:rsidR="00913423">
              <w:rPr>
                <w:rFonts w:ascii="Calibri" w:cs="Calibri"/>
                <w:color w:val="000000"/>
                <w:sz w:val="18"/>
                <w:lang w:val="en-GB"/>
              </w:rPr>
              <w:t>(23)</w:t>
            </w:r>
            <w:r>
              <w:rPr>
                <w:sz w:val="18"/>
                <w:szCs w:val="18"/>
                <w:lang w:val="en-US"/>
              </w:rPr>
              <w:fldChar w:fldCharType="end"/>
            </w:r>
          </w:p>
        </w:tc>
      </w:tr>
      <w:tr w:rsidR="00346D75" w14:paraId="7B8FC744"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44243A67" w14:textId="067A6850"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3CE15C02" w14:textId="21007C96"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Relugolix</w:t>
            </w:r>
          </w:p>
        </w:tc>
        <w:tc>
          <w:tcPr>
            <w:tcW w:w="2693" w:type="dxa"/>
            <w:vAlign w:val="bottom"/>
          </w:tcPr>
          <w:p w14:paraId="2C93835B" w14:textId="2AB850D3"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GnRH receptor antagonist</w:t>
            </w:r>
          </w:p>
        </w:tc>
        <w:tc>
          <w:tcPr>
            <w:tcW w:w="4678" w:type="dxa"/>
            <w:vAlign w:val="bottom"/>
          </w:tcPr>
          <w:p w14:paraId="3223109A" w14:textId="7C016951"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Prostate cancer</w:t>
            </w:r>
          </w:p>
        </w:tc>
        <w:tc>
          <w:tcPr>
            <w:tcW w:w="2977" w:type="dxa"/>
            <w:vAlign w:val="bottom"/>
          </w:tcPr>
          <w:p w14:paraId="2CCA3129" w14:textId="4A227DA0"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HERO</w:t>
            </w:r>
          </w:p>
        </w:tc>
        <w:tc>
          <w:tcPr>
            <w:tcW w:w="1060" w:type="dxa"/>
          </w:tcPr>
          <w:p w14:paraId="0640B5EC" w14:textId="4CE43B49"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18hsi4stba","properties":{"formattedCitation":"(24)","plainCitation":"(24)","noteIndex":0},"citationItems":[{"id":13531,"uris":["http://zotero.org/users/5405906/items/PNLTM57K"],"uri":["http://zotero.org/users/5405906/items/PNLTM57K"],"itemData":{"id":13531,"type":"article-journal","abstract":"BACKGROUND: Injectable luteinizing hormone-releasing hormone agonists (e.g.,  leuprolide) are the standard agents for achieving androgen deprivation for prostate  cancer despite the initial testosterone surge and delay in therapeutic effect. The  efficacy and safety of relugolix, an oral gonadotropin-releasing hormone antagonist,  as compared with those of leuprolide are not known. METHODS: In this phase 3 trial,  we randomly assigned patients with advanced prostate cancer, in a 2:1 ratio, to  receive relugolix (120 mg orally once daily) or leuprolide (injections every 3  months) for 48 weeks. The primary end point was sustained testosterone suppression  to castrate levels (&lt;50 ng per deciliter) through 48 weeks. Secondary end points  included noninferiority with respect to the primary end point, castrate levels of  testosterone on day 4, and profound castrate levels (&lt;20 ng per deciliter) on day  15. Testosterone recovery was evaluated in a subgroup of patients. RESULTS: A total  of 622 patients received relugolix and 308 received leuprolide. Of men who received  relugolix, 96.7% (95% confidence interval [CI], 94.9 to 97.9) maintained castration  through 48 weeks, as compared with 88.8% (95% CI, 84.6 to 91.8) of men receiving  leuprolide. The difference of 7.9 percentage points (95% CI, 4.1 to 11.8) showed  noninferiority and superiority of relugolix (P&lt;0.001 for superiority). All other key  secondary end points showed superiority of relugolix over leuprolide (P&lt;0.001). The  percentage of patients with castrate levels of testosterone on day 4 was 56.0% with  relugolix and 0% with leuprolide. In the subgroup of 184 patients followed for  testosterone recovery, the mean testosterone levels 90 days after treatment  discontinuation were 288.4 ng per deciliter in the relugolix group and 58.6 ng per  deciliter in the leuprolide group. Among all the patients, the incidence of major  adverse cardiovascular events was 2.9% in the relugolix group and 6.2% in the  leuprolide group (hazard ratio, 0.46; 95% CI, 0.24 to 0.88). CONCLUSIONS: In this  trial involving men with advanced prostate cancer, relugolix achieved rapid,  sustained suppression of testosterone levels that was superior to that with  leuprolide, with a 54% lower risk of major adverse cardiovascular events. (Funded by  Myovant Sciences; HERO ClinicalTrials.gov number, NCT03085095.).","container-title":"The New England journal of medicine","DOI":"10.1056/NEJMoa2004325","ISSN":"1533-4406 0028-4793","issue":"23","journalAbbreviation":"N Engl J Med","language":"eng","note":"publisher-place: United States\nPMID: 32469183","page":"2187-2196","title":"Oral Relugolix for Androgen-Deprivation Therapy in Advanced Prostate Cancer.","volume":"382","author":[{"family":"Shore","given":"Neal D."},{"family":"Saad","given":"Fred"},{"family":"Cookson","given":"Michael S."},{"family":"George","given":"Daniel J."},{"family":"Saltzstein","given":"Daniel R."},{"family":"Tutrone","given":"Ronald"},{"family":"Akaza","given":"Hideyuki"},{"family":"Bossi","given":"Alberto"},{"family":"Veenhuyzen","given":"David F.","non-dropping-particle":"van"},{"family":"Selby","given":"Bryan"},{"family":"Fan","given":"Xiaolin"},{"family":"Kang","given":"Vicky"},{"family":"Walling","given":"Jackie"},{"family":"Tombal","given":"Bertrand"}],"issued":{"date-parts":[["2020",6,4]]}}}],"schema":"https://github.com/citation-style-language/schema/raw/master/csl-citation.json"} </w:instrText>
            </w:r>
            <w:r>
              <w:rPr>
                <w:sz w:val="18"/>
                <w:szCs w:val="18"/>
                <w:lang w:val="en-US"/>
              </w:rPr>
              <w:fldChar w:fldCharType="separate"/>
            </w:r>
            <w:r w:rsidR="00913423">
              <w:rPr>
                <w:rFonts w:ascii="Calibri" w:cs="Calibri"/>
                <w:color w:val="000000"/>
                <w:sz w:val="18"/>
                <w:lang w:val="en-GB"/>
              </w:rPr>
              <w:t>(24)</w:t>
            </w:r>
            <w:r>
              <w:rPr>
                <w:sz w:val="18"/>
                <w:szCs w:val="18"/>
                <w:lang w:val="en-US"/>
              </w:rPr>
              <w:fldChar w:fldCharType="end"/>
            </w:r>
          </w:p>
        </w:tc>
      </w:tr>
      <w:tr w:rsidR="00346D75" w14:paraId="23E2D8F8"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55DC862B" w14:textId="5D32513E"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0814133D" w14:textId="6E63AB6F"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Ripretinib</w:t>
            </w:r>
          </w:p>
        </w:tc>
        <w:tc>
          <w:tcPr>
            <w:tcW w:w="2693" w:type="dxa"/>
            <w:vAlign w:val="bottom"/>
          </w:tcPr>
          <w:p w14:paraId="0532C90E" w14:textId="10E98084"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KIT and PDGFRA inhibitor</w:t>
            </w:r>
          </w:p>
        </w:tc>
        <w:tc>
          <w:tcPr>
            <w:tcW w:w="4678" w:type="dxa"/>
            <w:vAlign w:val="bottom"/>
          </w:tcPr>
          <w:p w14:paraId="0857D2EA" w14:textId="0D26822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G</w:t>
            </w:r>
            <w:r w:rsidR="00786661">
              <w:rPr>
                <w:rFonts w:ascii="Calibri" w:hAnsi="Calibri" w:cs="Calibri"/>
                <w:color w:val="000000"/>
                <w:sz w:val="18"/>
                <w:szCs w:val="18"/>
              </w:rPr>
              <w:t>astrointestinal stromal tumour</w:t>
            </w:r>
          </w:p>
        </w:tc>
        <w:tc>
          <w:tcPr>
            <w:tcW w:w="2977" w:type="dxa"/>
            <w:vAlign w:val="bottom"/>
          </w:tcPr>
          <w:p w14:paraId="413DEDA7" w14:textId="283A491B"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INVICTUS</w:t>
            </w:r>
          </w:p>
        </w:tc>
        <w:tc>
          <w:tcPr>
            <w:tcW w:w="1060" w:type="dxa"/>
          </w:tcPr>
          <w:p w14:paraId="2C4310A8" w14:textId="71F5F7B4"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20ig8eh4oj","properties":{"formattedCitation":"(25)","plainCitation":"(25)","noteIndex":0},"citationItems":[{"id":13618,"uris":["http://zotero.org/users/5405906/items/ECGGVSMY"],"uri":["http://zotero.org/users/5405906/items/ECGGVSMY"],"itemData":{"id":13618,"type":"article-journal","abstract":"BACKGROUND: Resistance to approved inhibitors of KIT proto-oncogene, receptor  tyrosine kinase (KIT), and platelet-derived growth factor receptor α (PDGFRA) is a  clinical challenge for patients with advanced gastrointestinal stromal tumours. We  compared the efficacy and safety of ripretinib, a switch-control tyrosine kinase  inhibitor active against a broad spectrum of KIT and PDGFRA mutations, with placebo  in patients with previously treated, advanced gastrointestinal stromal tumours.  METHODS: In this double-blind, randomised, placebo-controlled, phase 3 study, we  enrolled adult patients in 29 specialised hospitals in 12 countries. We included  patients aged 18 years or older who had advanced gastrointestinal stromal tumours  with progression on at least imatinib, sunitinib, and regorafenib or documented  intolerance to any of these treatments despite dose modifications, and who had an  Eastern Cooperative Oncology Group (ECOG) performance status of 0-2. Eligible  patients were randomly assigned (2:1) to receive either oral ripretinib 150 mg once  daily (ripretenib group) or placebo once daily (placebo group). Randomisation was  done via an interactive response system using randomly permuted block sizes of six  and stratified according to number of previous therapies and ECOG performance  status. Patients, investigators, research staff, and the sponsor study team were  masked to a patient's treatment allocation until the blinded independent central  review (BICR) showed progressive disease for the patient. The primary endpoint was  progression-free survival, assessed by BICR. The primary analysis was done in the  intention-to-treat population and safety was assessed in patients who received at  least one dose of study drug. Patients randomly assigned to placebo were permitted  to cross over to ripretinib 150 mg at the time of disease progression. The INVICTUS  study is registered with ClinicalTrials.gov, number NCT03353753, and with WHO  International Clinical Trials Registry Platform, number EUCTR2017-002446-76-ES;  follow-up is ongoing. FINDINGS: Between Feb 27, 2018, and Nov 16, 2018, 129 of 154  assessed patients were randomly assigned to receive either ripretinib (n=85) or  placebo (n=44). At data cutoff (May 31, 2019), at a median follow-up of 6·3 months  (IQR 3·2-8·2) in the ripretinib group and 1·6 months (1·1-2·7) in the placebo group,  51 patients in the ripretinib group and 37 in the placebo group had had  progression-free survival events. In the double-blind period, median  progression-free survival was 6·3 months (95% CI 4·6-6·9) with ripretinib compared  with 1·0 months (0·9-1·7) with placebo (hazard ratio 0·15, 95% CI 0·09-0·25;  p&lt;0·0001). The most common (&gt;2%) grade 3 or 4 treatment-related treatment-emergent  adverse events in the ripretinib group (n=85) included lipase increase (four [5%]),  hypertension (three [4%]), fatigue (two [2%]), and hypophosphataemia (two (2%]); in  the placebo group (n=43), the most common (&gt;2%) grade 3 or 4 treatment-related  treatment-emergent adverse events were anaemia (three [7%]), fatigue (one [2%]),  diarrhoea (one [2%]), decreased appetite (one [2%]), dehydration (one [2%]),  hyperkalaemia (one [2%]), acute kidney injury (one [2%]), and pulmonary oedema (one  [2%]). Treatment-related serious adverse events were reported in eight (9%) of 85  patients who received ripretinib and three (7%) of 43 patients who received placebo.  Treatment-related deaths occurred in one patient in the placebo group (septic shock  and pulmonary oedema) and one patient in the ripretinib group (cause of death  unknown; the patient died during sleep). INTERPRETATION: Ripretinib significantly  improved median progression-free survival compared with placebo and had an  acceptable safety profile in patients with advanced gastrointestinal stromal tumours  who were resistant to approved treatments. FUNDING: Deciphera Pharmaceuticals.","container-title":"The Lancet. Oncology","DOI":"10.1016/S1470-2045(20)30168-6","ISSN":"1474-5488 1470-2045","issue":"7","journalAbbreviation":"Lancet Oncol","language":"eng","note":"publisher-place: England\nPMID: 32511981","page":"923-934","title":"Ripretinib in patients with advanced gastrointestinal stromal tumours (INVICTUS): a  double-blind, randomised, placebo-controlled, phase 3 trial.","volume":"21","author":[{"family":"Blay","given":"Jean-Yves"},{"family":"Serrano","given":"César"},{"family":"Heinrich","given":"Michael C."},{"family":"Zalcberg","given":"John"},{"family":"Bauer","given":"Sebastian"},{"family":"Gelderblom","given":"Hans"},{"family":"Schöffski","given":"Patrick"},{"family":"Jones","given":"Robin L."},{"family":"Attia","given":"Steven"},{"family":"D'Amato","given":"Gina"},{"family":"Chi","given":"Ping"},{"family":"Reichardt","given":"Peter"},{"family":"Meade","given":"Julie"},{"family":"Shi","given":"Kelvin"},{"family":"Ruiz-Soto","given":"Rodrigo"},{"family":"George","given":"Suzanne"},{"family":"Mehren","given":"Margaret","non-dropping-particle":"von"}],"issued":{"date-parts":[["2020",7]]}}}],"schema":"https://github.com/citation-style-language/schema/raw/master/csl-citation.json"} </w:instrText>
            </w:r>
            <w:r>
              <w:rPr>
                <w:sz w:val="18"/>
                <w:szCs w:val="18"/>
                <w:lang w:val="en-US"/>
              </w:rPr>
              <w:fldChar w:fldCharType="separate"/>
            </w:r>
            <w:r w:rsidR="00913423">
              <w:rPr>
                <w:rFonts w:ascii="Calibri" w:cs="Calibri"/>
                <w:color w:val="000000"/>
                <w:sz w:val="18"/>
                <w:lang w:val="en-GB"/>
              </w:rPr>
              <w:t>(25)</w:t>
            </w:r>
            <w:r>
              <w:rPr>
                <w:sz w:val="18"/>
                <w:szCs w:val="18"/>
                <w:lang w:val="en-US"/>
              </w:rPr>
              <w:fldChar w:fldCharType="end"/>
            </w:r>
          </w:p>
        </w:tc>
      </w:tr>
      <w:tr w:rsidR="00346D75" w14:paraId="47AF3859"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50AA7710" w14:textId="6F1980B8"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36A679E7" w14:textId="406C0A51"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Sacituzumab govitecan</w:t>
            </w:r>
          </w:p>
        </w:tc>
        <w:tc>
          <w:tcPr>
            <w:tcW w:w="2693" w:type="dxa"/>
            <w:vAlign w:val="bottom"/>
          </w:tcPr>
          <w:p w14:paraId="2B9F6BA2" w14:textId="0BD4A43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TROP2-directed ADC, with topoisomerase inhibitor</w:t>
            </w:r>
          </w:p>
        </w:tc>
        <w:tc>
          <w:tcPr>
            <w:tcW w:w="4678" w:type="dxa"/>
            <w:vAlign w:val="bottom"/>
          </w:tcPr>
          <w:p w14:paraId="1DF10217" w14:textId="77AC7CD6"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Triple-negative breast cancer</w:t>
            </w:r>
          </w:p>
        </w:tc>
        <w:tc>
          <w:tcPr>
            <w:tcW w:w="2977" w:type="dxa"/>
            <w:vAlign w:val="bottom"/>
          </w:tcPr>
          <w:p w14:paraId="5AD7AC1D" w14:textId="5F134C73"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IMMU-132-01</w:t>
            </w:r>
          </w:p>
        </w:tc>
        <w:tc>
          <w:tcPr>
            <w:tcW w:w="1060" w:type="dxa"/>
          </w:tcPr>
          <w:p w14:paraId="41E9F6D6" w14:textId="67DE5C7C"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mhlkefr20","properties":{"formattedCitation":"(26)","plainCitation":"(26)","noteIndex":0},"citationItems":[{"id":13555,"uris":["http://zotero.org/users/5405906/items/JZ7YVRF9"],"uri":["http://zotero.org/users/5405906/items/JZ7YVRF9"],"itemData":{"id":13555,"type":"article-journal","abstract":"BACKGROUND: Standard chemotherapy is associated with low response rates and short  progression-free survival among patients with pretreated metastatic triple-negative  breast cancer. Sacituzumab govitecan-hziy is an antibody-drug conjugate that  combines a humanized monoclonal antibody, which targets the human trophoblast  cell-surface antigen 2 (Trop-2), with SN-38, which is conjugated to the antibody by  a cleavable linker. Sacituzumab govitecan-hziy enables delivery of high  concentrations of SN-38 to tumors. METHODS: We conducted a phase 1/2 single-group,  multicenter trial involving patients with advanced epithelial cancers who received  sacituzumab govitecan-hziy intravenously on days 1 and 8 of each 21-day cycle until  disease progression or unacceptable toxic effects. A total of 108 patients received  sacituzumab govitecan-hziy at a dose of 10 mg per kilogram of body weight after  receiving at least two previous anticancer therapies for metastatic triple-negative  breast cancer. The end points included safety; the objective response rate  (according to Response Evaluation Criteria in Solid Tumors, version 1.1), which was  assessed locally; the duration of response; the clinical benefit rate (defined as a  complete or partial response or stable disease for at least 6 months);  progression-free survival; and overall survival. Post hoc analyses determined the  response rate and duration, which were assessed by blinded independent central  review. RESULTS: The 108 patients with triple-negative breast cancer had received a  median of 3 previous therapies (range, 2 to 10). Four deaths occurred during  treatment; 3 patients (2.8%) discontinued treatment because of adverse events. Grade  3 or 4 adverse events (in ≥10% of the patients) included anemia and neutropenia; 10  patients (9.3%) had febrile neutropenia. The response rate (3 complete and 33  partial responses) was 33.3% (95% confidence interval [CI], 24.6 to 43.1), and the  median duration of response was 7.7 months (95% CI, 4.9 to 10.8); as assessed by  independent central review, these values were 34.3% and 9.1 months, respectively.  The clinical benefit rate was 45.4%. Median progression-free survival was 5.5 months  (95% CI, 4.1 to 6.3), and overall survival was 13.0 months (95% CI, 11.2 to 13.7).  CONCLUSIONS: Sacituzumab govitecan-hziy was associated with durable objective  responses in patients with heavily pretreated metastatic triple-negative breast  cancer. Myelotoxic effects were the main adverse reactions. (Funded by Immunomedics;","container-title":"The New England journal of medicine","DOI":"10.1056/NEJMoa1814213","ISSN":"1533-4406 0028-4793","issue":"8","journalAbbreviation":"N Engl J Med","language":"eng","note":"publisher-place: United States\nPMID: 30786188","page":"741-751","title":"Sacituzumab Govitecan-hziy in Refractory Metastatic Triple-Negative Breast Cancer.","volume":"380","author":[{"family":"Bardia","given":"Aditya"},{"family":"Mayer","given":"Ingrid A."},{"family":"Vahdat","given":"Linda T."},{"family":"Tolaney","given":"Sara M."},{"family":"Isakoff","given":"Steven J."},{"family":"Diamond","given":"Jennifer R."},{"family":"O'Shaughnessy","given":"Joyce"},{"family":"Moroose","given":"Rebecca L."},{"family":"Santin","given":"Alessandro D."},{"family":"Abramson","given":"Vandana G."},{"family":"Shah","given":"Nikita C."},{"family":"Rugo","given":"Hope S."},{"family":"Goldenberg","given":"David M."},{"family":"Sweidan","given":"Ala M."},{"family":"Iannone","given":"Robert"},{"family":"Washkowitz","given":"Sarah"},{"family":"Sharkey","given":"Robert M."},{"family":"Wegener","given":"William A."},{"family":"Kalinsky","given":"Kevin"}],"issued":{"date-parts":[["2019",2,21]]}}}],"schema":"https://github.com/citation-style-language/schema/raw/master/csl-citation.json"} </w:instrText>
            </w:r>
            <w:r>
              <w:rPr>
                <w:sz w:val="18"/>
                <w:szCs w:val="18"/>
                <w:lang w:val="en-US"/>
              </w:rPr>
              <w:fldChar w:fldCharType="separate"/>
            </w:r>
            <w:r w:rsidR="00913423">
              <w:rPr>
                <w:rFonts w:ascii="Calibri" w:cs="Calibri"/>
                <w:color w:val="000000"/>
                <w:sz w:val="18"/>
                <w:lang w:val="en-GB"/>
              </w:rPr>
              <w:t>(26)</w:t>
            </w:r>
            <w:r>
              <w:rPr>
                <w:sz w:val="18"/>
                <w:szCs w:val="18"/>
                <w:lang w:val="en-US"/>
              </w:rPr>
              <w:fldChar w:fldCharType="end"/>
            </w:r>
          </w:p>
        </w:tc>
      </w:tr>
      <w:tr w:rsidR="00346D75" w14:paraId="797EA445"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2811888C" w14:textId="2F3E1A0D"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43B03102" w14:textId="7C7A2562"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Selpercatinib</w:t>
            </w:r>
          </w:p>
        </w:tc>
        <w:tc>
          <w:tcPr>
            <w:tcW w:w="2693" w:type="dxa"/>
            <w:vAlign w:val="bottom"/>
          </w:tcPr>
          <w:p w14:paraId="595504DF" w14:textId="68F41307"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RET inhibitor</w:t>
            </w:r>
          </w:p>
        </w:tc>
        <w:tc>
          <w:tcPr>
            <w:tcW w:w="4678" w:type="dxa"/>
            <w:vAlign w:val="bottom"/>
          </w:tcPr>
          <w:p w14:paraId="2DA8D57A" w14:textId="130500D4"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RET</w:t>
            </w:r>
            <w:r w:rsidRPr="00346D75">
              <w:rPr>
                <w:rFonts w:ascii="Calibri" w:hAnsi="Calibri" w:cs="Calibri"/>
                <w:color w:val="000000"/>
                <w:sz w:val="18"/>
                <w:szCs w:val="18"/>
              </w:rPr>
              <w:t xml:space="preserve"> fusion-positive NSCLC and thyroid cancer</w:t>
            </w:r>
          </w:p>
        </w:tc>
        <w:tc>
          <w:tcPr>
            <w:tcW w:w="2977" w:type="dxa"/>
            <w:vAlign w:val="bottom"/>
          </w:tcPr>
          <w:p w14:paraId="61D5CAFD" w14:textId="0268C819"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LIBRETTO-001</w:t>
            </w:r>
          </w:p>
        </w:tc>
        <w:tc>
          <w:tcPr>
            <w:tcW w:w="1060" w:type="dxa"/>
          </w:tcPr>
          <w:p w14:paraId="41126377" w14:textId="42E82D9B"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fum48soum","properties":{"formattedCitation":"(27,28)","plainCitation":"(27,28)","noteIndex":0},"citationItems":[{"id":16783,"uris":["http://zotero.org/users/5405906/items/TDZM8B64"],"uri":["http://zotero.org/users/5405906/items/TDZM8B64"],"itemData":{"id":16783,"type":"article-journal","abstract":"BACKGROUND: RET fusions are oncogenic drivers in 1 to 2% of non-small-cell lung cancers (NSCLCs). In patients with RET fusion-positive NSCLC, the efficacy and safety of selective RET inhibition are unknown.\nMETHODS: We enrolled patients with advanced RET fusion-positive NSCLC who had previously received platinum-based chemotherapy and those who were previously untreated separately in a phase 1-2 trial of selpercatinib. The primary end point was an objective response (a complete or partial response) as determined by an independent review committee. Secondary end points included the duration of response, progression-free survival, and safety.\nRESULTS: In the first 105 consecutively enrolled patients with RET fusion-positive NSCLC who had previously received at least platinum-based chemotherapy, the percentage with an objective response was 64% (95% confidence interval [CI], 54 to 73). The median duration of response was 17.5 months (95% CI, 12.0 to could not be evaluated), and 63% of the responses were ongoing at a median follow-up of 12.1 months. Among 39 previously untreated patients, the percentage with an objective response was 85% (95% CI, 70 to 94), and 90% of the responses were ongoing at 6 months. Among 11 patients with measurable central nervous system metastasis at enrollment, the percentage with an objective intracranial response was 91% (95% CI, 59 to 100). The most common adverse events of grade 3 or higher were hypertension (in 14% of the patients), an increased alanine aminotransferase level (in 12%), an increased aspartate aminotransferase level (in 10%), hyponatremia (in 6%), and lymphopenia (in 6%). A total of 12 of 531 patients (2%) discontinued selpercatinib because of a drug-related adverse event.\nCONCLUSIONS: Selpercatinib had durable efficacy, including intracranial activity, with mainly low-grade toxic effects in patients with RET fusion-positive NSCLC who had previously received platinum-based chemotherapy and those who were previously untreated. (Funded by Loxo Oncology and others; LIBRETTO-001 ClinicalTrials.gov number, NCT03157128.).","container-title":"The New England Journal of Medicine","DOI":"10.1056/NEJMoa2005653","ISSN":"1533-4406","issue":"9","journalAbbreviation":"N. Engl. J. Med.","language":"eng","note":"PMID: 32846060\nPMCID: PMC7506467","page":"813-824","source":"PubMed","title":"Efficacy of Selpercatinib in RET Fusion-Positive Non-Small-Cell Lung Cancer","volume":"383","author":[{"family":"Drilon","given":"Alexander"},{"family":"Oxnard","given":"Geoffrey R."},{"family":"Tan","given":"Daniel S. W."},{"family":"Loong","given":"Herbert H. F."},{"family":"Johnson","given":"Melissa"},{"family":"Gainor","given":"Justin"},{"family":"McCoach","given":"Caroline E."},{"family":"Gautschi","given":"Oliver"},{"family":"Besse","given":"Benjamin"},{"family":"Cho","given":"Byoung C."},{"family":"Peled","given":"Nir"},{"family":"Weiss","given":"Jared"},{"family":"Kim","given":"Yu-Jung"},{"family":"Ohe","given":"Yuichiro"},{"family":"Nishio","given":"Makoto"},{"family":"Park","given":"Keunchil"},{"family":"Patel","given":"Jyoti"},{"family":"Seto","given":"Takashi"},{"family":"Sakamoto","given":"Tomohiro"},{"family":"Rosen","given":"Ezra"},{"family":"Shah","given":"Manisha H."},{"family":"Barlesi","given":"Fabrice"},{"family":"Cassier","given":"Philippe A."},{"family":"Bazhenova","given":"Lyudmila"},{"family":"De Braud","given":"Filippo"},{"family":"Garralda","given":"Elena"},{"family":"Velcheti","given":"Vamsidhar"},{"family":"Satouchi","given":"Miyako"},{"family":"Ohashi","given":"Kadoaki"},{"family":"Pennell","given":"Nathan A."},{"family":"Reckamp","given":"Karen L."},{"family":"Dy","given":"Grace K."},{"family":"Wolf","given":"Jürgen"},{"family":"Solomon","given":"Benjamin"},{"family":"Falchook","given":"Gerald"},{"family":"Ebata","given":"Kevin"},{"family":"Nguyen","given":"Michele"},{"family":"Nair","given":"Binoj"},{"family":"Zhu","given":"Edward Y."},{"family":"Yang","given":"Luxi"},{"family":"Huang","given":"Xin"},{"family":"Olek","given":"Elizabeth"},{"family":"Rothenberg","given":"S. Michael"},{"family":"Goto","given":"Koichi"},{"family":"Subbiah","given":"Vivek"}],"issued":{"date-parts":[["2020"]],"season":"27"}}},{"id":21146,"uris":["http://zotero.org/users/5405906/items/CKI3V89D"],"uri":["http://zotero.org/users/5405906/items/CKI3V89D"],"itemData":{"id":21146,"type":"article-journal","abstract":"BACKGROUND: RET mutations occur in 70% of medullary thyroid cancers, and RET fusions occur rarely in other thyroid cancers. In patients with RET-altered thyroid cancers, the efficacy and safety of selective RET inhibition are unknown.\nMETHODS: We enrolled patients with RET-mutant medullary thyroid cancer with or without previous vandetanib or cabozantinib treatment, as well as those with previously treated RET fusion-positive thyroid cancer, in a phase 1-2 trial of selpercatinib. The primary end point was an objective response (a complete or partial response), as determined by an independent review committee. Secondary end points included the duration of response, progression-free survival, and safety.\nRESULTS: In the first 55 consecutively enrolled patients with RET-mutant medullary thyroid cancer who had previously received vandetanib, cabozantinib, or both, the percentage who had a response was 69% (95% confidence interval [CI], 55 to 81), and 1-year progression-free survival was 82% (95% CI, 69 to 90). In 88 patients with RET-mutant medullary thyroid cancer who had not previously received vandetanib or cabozantinib, the percentage who had a response was 73% (95% CI, 62 to 82), and 1-year progression-free survival was 92% (95% CI, 82 to 97). In 19 patients with previously treated RET fusion-positive thyroid cancer, the percentage who had a response was 79% (95% CI, 54 to 94), and 1-year progression-free survival was 64% (95% CI, 37 to 82). The most common adverse events of grade 3 or higher were hypertension (in 21% of the patients), increased alanine aminotransferase level (in 11%), increased aspartate aminotransferase level (in 9%), hyponatremia (in 8%), and diarrhea (in 6%). Of all 531 patients treated, 12 (2%) discontinued selpercatinib owing to drug-related adverse events.\nCONCLUSIONS: In this phase 1-2 trial, selpercatinib showed durable efficacy with mainly low-grade toxic effects in patients with medullary thyroid cancer with and without previous vandetanib or cabozantinib treatment. (Funded by Loxo Oncology and others; LIBRETTO-001 ClinicalTrials.gov number, NCT03157128.).","container-title":"The New England Journal of Medicine","DOI":"10.1056/NEJMoa2005651","ISSN":"1533-4406","issue":"9","journalAbbreviation":"N Engl J Med","language":"eng","note":"PMID: 32846061","page":"825-835","source":"PubMed","title":"Efficacy of Selpercatinib in RET-Altered Thyroid Cancers","volume":"383","author":[{"family":"Wirth","given":"Lori J."},{"family":"Sherman","given":"Eric"},{"family":"Robinson","given":"Bruce"},{"family":"Solomon","given":"Benjamin"},{"family":"Kang","given":"Hyunseok"},{"family":"Lorch","given":"Jochen"},{"family":"Worden","given":"Francis"},{"family":"Brose","given":"Marcia"},{"family":"Patel","given":"Jyoti"},{"family":"Leboulleux","given":"Sophie"},{"family":"Godbert","given":"Yann"},{"family":"Barlesi","given":"Fabrice"},{"family":"Morris","given":"John C."},{"family":"Owonikoko","given":"Taofeek K."},{"family":"Tan","given":"Daniel S. W."},{"family":"Gautschi","given":"Oliver"},{"family":"Weiss","given":"Jared"},{"family":"Fouchardière","given":"Christelle","non-dropping-particle":"de la"},{"family":"Burkard","given":"Mark E."},{"family":"Laskin","given":"Janessa"},{"family":"Taylor","given":"Matthew H."},{"family":"Kroiss","given":"Matthias"},{"family":"Medioni","given":"Jacques"},{"family":"Goldman","given":"Jonathan W."},{"family":"Bauer","given":"Todd M."},{"family":"Levy","given":"Benjamin"},{"family":"Zhu","given":"Viola W."},{"family":"Lakhani","given":"Nehal"},{"family":"Moreno","given":"Victor"},{"family":"Ebata","given":"Kevin"},{"family":"Nguyen","given":"Michele"},{"family":"Heirich","given":"Dana"},{"family":"Zhu","given":"Edward Y."},{"family":"Huang","given":"Xin"},{"family":"Yang","given":"Luxi"},{"family":"Kherani","given":"Jennifer"},{"family":"Rothenberg","given":"S. Michael"},{"family":"Drilon","given":"Alexander"},{"family":"Subbiah","given":"Vivek"},{"family":"Shah","given":"Manisha H."},{"family":"Cabanillas","given":"Maria E."}],"issued":{"date-parts":[["2020",8,27]]}}}],"schema":"https://github.com/citation-style-language/schema/raw/master/csl-citation.json"} </w:instrText>
            </w:r>
            <w:r>
              <w:rPr>
                <w:sz w:val="18"/>
                <w:szCs w:val="18"/>
                <w:lang w:val="en-US"/>
              </w:rPr>
              <w:fldChar w:fldCharType="separate"/>
            </w:r>
            <w:r w:rsidR="00913423">
              <w:rPr>
                <w:rFonts w:ascii="Calibri" w:cs="Calibri"/>
                <w:color w:val="000000"/>
                <w:sz w:val="18"/>
                <w:lang w:val="en-GB"/>
              </w:rPr>
              <w:t>(27,28)</w:t>
            </w:r>
            <w:r>
              <w:rPr>
                <w:sz w:val="18"/>
                <w:szCs w:val="18"/>
                <w:lang w:val="en-US"/>
              </w:rPr>
              <w:fldChar w:fldCharType="end"/>
            </w:r>
            <w:r w:rsidRPr="00346D75">
              <w:rPr>
                <w:sz w:val="18"/>
                <w:szCs w:val="18"/>
                <w:lang w:val="en-US"/>
              </w:rPr>
              <w:t xml:space="preserve"> </w:t>
            </w:r>
          </w:p>
        </w:tc>
      </w:tr>
      <w:tr w:rsidR="00346D75" w14:paraId="12C98B0A" w14:textId="77777777" w:rsidTr="00346D75">
        <w:tc>
          <w:tcPr>
            <w:cnfStyle w:val="001000000000" w:firstRow="0" w:lastRow="0" w:firstColumn="1" w:lastColumn="0" w:oddVBand="0" w:evenVBand="0" w:oddHBand="0" w:evenHBand="0" w:firstRowFirstColumn="0" w:firstRowLastColumn="0" w:lastRowFirstColumn="0" w:lastRowLastColumn="0"/>
            <w:tcW w:w="666" w:type="dxa"/>
            <w:vAlign w:val="bottom"/>
          </w:tcPr>
          <w:p w14:paraId="0A70D551" w14:textId="41FD7019"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25B44DC8" w14:textId="32C259EE"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Tafasitamab</w:t>
            </w:r>
          </w:p>
        </w:tc>
        <w:tc>
          <w:tcPr>
            <w:tcW w:w="2693" w:type="dxa"/>
            <w:vAlign w:val="bottom"/>
          </w:tcPr>
          <w:p w14:paraId="1118C4D4" w14:textId="6500DA0C"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CD19-directed mAb</w:t>
            </w:r>
          </w:p>
        </w:tc>
        <w:tc>
          <w:tcPr>
            <w:tcW w:w="4678" w:type="dxa"/>
            <w:vAlign w:val="bottom"/>
          </w:tcPr>
          <w:p w14:paraId="7E43C451" w14:textId="7706D4D8" w:rsidR="00F05583" w:rsidRPr="00346D75" w:rsidRDefault="00786661"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rFonts w:ascii="Calibri" w:hAnsi="Calibri" w:cs="Calibri"/>
                <w:color w:val="000000"/>
                <w:sz w:val="18"/>
                <w:szCs w:val="18"/>
              </w:rPr>
              <w:t>Diffuse large B cell lymphoma</w:t>
            </w:r>
          </w:p>
        </w:tc>
        <w:tc>
          <w:tcPr>
            <w:tcW w:w="2977" w:type="dxa"/>
            <w:vAlign w:val="bottom"/>
          </w:tcPr>
          <w:p w14:paraId="670214F3" w14:textId="08D12547"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L-MIND</w:t>
            </w:r>
          </w:p>
        </w:tc>
        <w:tc>
          <w:tcPr>
            <w:tcW w:w="1060" w:type="dxa"/>
          </w:tcPr>
          <w:p w14:paraId="08CF4653" w14:textId="5AF1468C"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e0mveeqg1","properties":{"formattedCitation":"(29)","plainCitation":"(29)","noteIndex":0},"citationItems":[{"id":15609,"uris":["http://zotero.org/users/5405906/items/2A2Q4U7C"],"uri":["http://zotero.org/users/5405906/items/2A2Q4U7C"],"itemData":{"id":15609,"type":"article-journal","abstract":"BACKGROUND: Patients with relapsed or refractory diffuse large B-cell lymphoma who  are ineligible for autologous stem-cell transplantation have poor outcomes and few  treatment options. Tafasitamab (MOR208) is an Fc-enhanced, humanised, anti-CD19  monoclonal antibody that has shown preclinical and single-agent activity in patients  with relapsed or refractory B-cell malignancies. Preclinical data suggested that  tafasitamab might act synergistically with lenalidomide. We aimed to assess the  antitumour activity and safety of tafasitamab plus lenalidomide in patients with  relapsed or refractory diffuse large B-cell lymphoma who were ineligible for  autologous stem-cell transplantation. METHODS: In this multicentre, open-label,  single-arm, phase 2 study (L-MIND), patients older than 18 years with histologically  confirmed diffuse large B-cell lymphoma, who relapsed or had refractory disease  after previous treatment with one to three systemic regimens (with at least one  anti-CD20 therapy), were not candidates for high-dose chemotherapy and subsequent  autologous stem-cell transplantation, had an Eastern Cooperative Oncology Group  performance status of 0-2, and had measurable disease at baseline were recruited  from 35 academic and community hospitals in ten countries. Patients received  coadministered intravenous tafasitamab (12 mg/kg) and oral lenalidomide (25 mg/day)  for up to 12 cycles (28 days each), followed by tafasitamab monotherapy (in patients  with stable disease or better) until disease progression. The primary endpoint was  the proportion of patients with an objective response (centrally assessed), defined  as a complete or partial response according to the 2007 International Working Group  response criteria for malignant lymphoma. Antitumour activity analyses are based on  all patients who received at least one dose of both tafasitamab and lenalidomide;  safety analyses are based on all patients who received at least one dose of either  study medication. Recruitment is complete, and the trial is in follow-up. This trial  is registered with ClinicalTrials.gov, NCT02399085. FINDINGS: Between Jan 18, 2016,  and Nov 15, 2017, 156 patients were screened: 81 were enrolled and received at least  one dose of either study medication, and 80 received at least one dose of both  tafasitamab and lenalidomide. Median follow-up was 13·2 months (IQR 7·3-20·4) as of  data cutoff on Nov 30, 2018. 48 (60%; 95% CI 48-71) of 80 patients who received  tafasitamab plus lenalidomide had an objective response: 34 (43%; 32-54) had a  complete response and 14 (18%; 10-28) had a partial response. The most common  treatment-emergent adverse events of grade 3 or worse were neutropenia (39 [48%] of  81 patients), thrombocytopenia (14 [17%]), and febrile neutropenia (ten [12%]).  Serious adverse events occurred in 41 (51%) of 81 patients. The most frequently  reported serious adverse events (in two or more patients) were pneumonia (five  [6%]), febrile neutropenia (five [6%]), pulmonary embolism (three [4%]), bronchitis  (two [2%]), atrial fibrillation (two [2%]), and congestive cardiac failure (two  [2%]). INTERPRETATION: Tafasitamab in combination with lenalidomide was well  tolerated and resulted in a high proportion of patients with relapsed or refractory  diffuse large B-cell lymphoma ineligible for autologous stem-cell transplantation  having a complete response, and might represent a new therapeutic option in this  setting. FUNDING: MorphoSys.","container-title":"The Lancet. Oncology","DOI":"10.1016/S1470-2045(20)30225-4","ISSN":"1474-5488 1470-2045","issue":"7","journalAbbreviation":"Lancet Oncol","language":"eng","note":"publisher-place: England\nPMID: 32511983","page":"978-988","title":"Tafasitamab plus lenalidomide in relapsed or refractory diffuse large B-cell  lymphoma (L-MIND): a multicentre, prospective, single-arm, phase 2 study.","volume":"21","author":[{"family":"Salles","given":"Gilles"},{"family":"Duell","given":"Johannes"},{"family":"González Barca","given":"Eva"},{"family":"Tournilhac","given":"Olivier"},{"family":"Jurczak","given":"Wojciech"},{"family":"Liberati","given":"Anna Marina"},{"family":"Nagy","given":"Zsolt"},{"family":"Obr","given":"Aleš"},{"family":"Gaidano","given":"Gianluca"},{"family":"André","given":"Marc"},{"family":"Kalakonda","given":"Nagesh"},{"family":"Dreyling","given":"Martin"},{"family":"Weirather","given":"Johannes"},{"family":"Dirnberger-Hertweck","given":"Maren"},{"family":"Ambarkhane","given":"Sumeet"},{"family":"Fingerle-Rowson","given":"Günter"},{"family":"Maddocks","given":"Kami"}],"issued":{"date-parts":[["2020",7]]}}}],"schema":"https://github.com/citation-style-language/schema/raw/master/csl-citation.json"} </w:instrText>
            </w:r>
            <w:r>
              <w:rPr>
                <w:sz w:val="18"/>
                <w:szCs w:val="18"/>
                <w:lang w:val="en-US"/>
              </w:rPr>
              <w:fldChar w:fldCharType="separate"/>
            </w:r>
            <w:r w:rsidR="00913423">
              <w:rPr>
                <w:rFonts w:ascii="Calibri" w:cs="Calibri"/>
                <w:color w:val="000000"/>
                <w:sz w:val="18"/>
                <w:lang w:val="en-GB"/>
              </w:rPr>
              <w:t>(29)</w:t>
            </w:r>
            <w:r>
              <w:rPr>
                <w:sz w:val="18"/>
                <w:szCs w:val="18"/>
                <w:lang w:val="en-US"/>
              </w:rPr>
              <w:fldChar w:fldCharType="end"/>
            </w:r>
          </w:p>
        </w:tc>
      </w:tr>
      <w:tr w:rsidR="00346D75" w14:paraId="6D580360" w14:textId="77777777" w:rsidTr="00346D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6" w:type="dxa"/>
            <w:vAlign w:val="bottom"/>
          </w:tcPr>
          <w:p w14:paraId="58E7AA8A" w14:textId="3420263D"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4A865AE8" w14:textId="5067C435"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Tazemetostat</w:t>
            </w:r>
          </w:p>
        </w:tc>
        <w:tc>
          <w:tcPr>
            <w:tcW w:w="2693" w:type="dxa"/>
            <w:vAlign w:val="bottom"/>
          </w:tcPr>
          <w:p w14:paraId="1F5A49E7" w14:textId="37DEFB1F"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EZH2 inhibitor</w:t>
            </w:r>
          </w:p>
        </w:tc>
        <w:tc>
          <w:tcPr>
            <w:tcW w:w="4678" w:type="dxa"/>
            <w:vAlign w:val="bottom"/>
          </w:tcPr>
          <w:p w14:paraId="65D1F1AA" w14:textId="0054B440"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Epithelioid sarcoma</w:t>
            </w:r>
          </w:p>
        </w:tc>
        <w:tc>
          <w:tcPr>
            <w:tcW w:w="2977" w:type="dxa"/>
            <w:vAlign w:val="bottom"/>
          </w:tcPr>
          <w:p w14:paraId="22CDA90E" w14:textId="5A8FBF21" w:rsidR="00F05583" w:rsidRPr="00346D75" w:rsidRDefault="00F05583"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sidRPr="00346D75">
              <w:rPr>
                <w:rFonts w:ascii="Calibri" w:hAnsi="Calibri" w:cs="Calibri"/>
                <w:color w:val="000000"/>
                <w:sz w:val="18"/>
                <w:szCs w:val="18"/>
              </w:rPr>
              <w:t>Study EZH-202</w:t>
            </w:r>
          </w:p>
        </w:tc>
        <w:tc>
          <w:tcPr>
            <w:tcW w:w="1060" w:type="dxa"/>
          </w:tcPr>
          <w:p w14:paraId="4231034A" w14:textId="542AACB8" w:rsidR="00F05583" w:rsidRPr="00346D75" w:rsidRDefault="00346D75" w:rsidP="00F05583">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2m4lr0b7mf","properties":{"formattedCitation":"(30)","plainCitation":"(30)","noteIndex":0},"citationItems":[{"id":21231,"uris":["http://zotero.org/users/5405906/items/2TUE6CA6"],"uri":["http://zotero.org/users/5405906/items/2TUE6CA6"],"itemData":{"id":21231,"type":"article-journal","abstract":"BACKGROUND: Epithelioid sarcoma is a rare and aggressive soft-tissue sarcoma subtype. Over 90% of tumours have lost INI1 expression, leading to oncogenic dependence on the transcriptional repressor EZH2. In this study, we report the clinical activity and safety of tazemetostat, an oral selective EZH2 inhibitor, in patients with epithelioid sarcoma.\nMETHODS: In this open-label, phase 2 basket study, patients were enrolled from 32 hospitals and clinics in Australia, Belgium, Canada, France, Germany, Italy, Taiwan, the USA, and the UK into seven cohorts of patients with different INI1-negative solid tumours or synovial sarcoma. Patients eligible for the epithelioid sarcoma cohort (cohort 5) were aged 16 years or older with histologically confirmed, locally advanced or metastatic epithelioid sarcoma; documented loss of INI1 expression by immunohistochemical analysis or biallelic SMARCB1 (the gene that encodes INI1) alterations, or both; and an Eastern Cooperative Oncology Group performance status score of 0-2. Patients received 800 mg tazemetostat orally twice per day in continuous 28-day cycles until disease progression, unacceptable toxicity, or withdrawal of consent. The primary endpoint was investigator-assessed objective response rate measured according to the Response Evaluation Criteria in Solid Tumors, version 1.1. Secondary endpoints were duration of response, disease control rate at 32 weeks, progression-free survival, overall survival, and pharmacokinetic and pharmacodynamic analyses (primary results reported elsewhere). Time to response was also assessed as an exploratory endpoint. Activity and safety were assessed in the modified intention-to-treat population (ie, patients who received one or more doses of tazemetostat). This trial is registered with ClinicalTrials.gov, NCT02601950, and is ongoing.\nFINDINGS: Between Dec 22, 2015, and July 7, 2017, 62 patients with epithelioid sarcoma were enrolled in the study and deemed eligible for inclusion in this cohort. All 62 patients were included in the modified intention-to-treat analysis. Nine (15% [95% CI 7-26]) of 62 patients had an objective response at data cutoff (Sept 17, 2018). At a median follow-up of 13·8 months (IQR 7·8-19·0), median duration of response was not reached (95% CI 9·2-not estimable). 16 (26% [95% CI 16-39]) patients had disease control at 32 weeks. Median time to response was 3·9 months (IQR 1·9-7·4). Median progression-free survival was 5·5 months (95% CI 3·4-5·9), and median overall survival was 19·0 months (11·0-not estimable). Grade 3 or worse treatment-related adverse events included anaemia (four [6%]) and weight loss (two [3%]). Treatment-related serious adverse events occurred in two patients (one seizure and one haemoptysis). There were no treatment-related deaths.\nINTERPRETATION: Tazemetostat was well tolerated and showed clinical activity in this cohort of patients with advanced epithelioid sarcoma characterised by loss of INI1/SMARCB1. Tazemetostat has the potential to improve outcomes in patients with advanced epithelioid sarcoma. A phase 1b/3 trial of tazemetostat plus doxorubicin in the front-line setting is currently underway (NCT04204941).\nFUNDING: Epizyme.","container-title":"The Lancet. Oncology","DOI":"10.1016/S1470-2045(20)30451-4","ISSN":"1474-5488","issue":"11","journalAbbreviation":"Lancet Oncol","language":"eng","note":"PMID: 33035459","page":"1423-1432","source":"PubMed","title":"Tazemetostat in advanced epithelioid sarcoma with loss of INI1/SMARCB1: an international, open-label, phase 2 basket study","title-short":"Tazemetostat in advanced epithelioid sarcoma with loss of INI1/SMARCB1","volume":"21","author":[{"family":"Gounder","given":"Mrinal"},{"family":"Schöffski","given":"Patrick"},{"family":"Jones","given":"Robin L."},{"family":"Agulnik","given":"Mark"},{"family":"Cote","given":"Gregory M."},{"family":"Villalobos","given":"Victor M."},{"family":"Attia","given":"Steven"},{"family":"Chugh","given":"Rashmi"},{"family":"Chen","given":"Tom Wei-Wu"},{"family":"Jahan","given":"Thierry"},{"family":"Loggers","given":"Elizabeth T."},{"family":"Gupta","given":"Abha"},{"family":"Italiano","given":"Antoine"},{"family":"Demetri","given":"George D."},{"family":"Ratan","given":"Ravin"},{"family":"Davis","given":"Lara E."},{"family":"Mir","given":"Olivier"},{"family":"Dileo","given":"Palma"},{"family":"Van Tine","given":"Brian A."},{"family":"Pressey","given":"Joseph G."},{"family":"Lingaraj","given":"Trupti"},{"family":"Rajarethinam","given":"Anand"},{"family":"Sierra","given":"Laura"},{"family":"Agarwal","given":"Shefali"},{"family":"Stacchiotti","given":"Silvia"}],"issued":{"date-parts":[["2020",11]]}}}],"schema":"https://github.com/citation-style-language/schema/raw/master/csl-citation.json"} </w:instrText>
            </w:r>
            <w:r>
              <w:rPr>
                <w:sz w:val="18"/>
                <w:szCs w:val="18"/>
                <w:lang w:val="en-US"/>
              </w:rPr>
              <w:fldChar w:fldCharType="separate"/>
            </w:r>
            <w:r w:rsidR="00913423">
              <w:rPr>
                <w:rFonts w:ascii="Calibri" w:cs="Calibri"/>
                <w:color w:val="000000"/>
                <w:sz w:val="18"/>
                <w:lang w:val="en-GB"/>
              </w:rPr>
              <w:t>(30)</w:t>
            </w:r>
            <w:r>
              <w:rPr>
                <w:sz w:val="18"/>
                <w:szCs w:val="18"/>
                <w:lang w:val="en-US"/>
              </w:rPr>
              <w:fldChar w:fldCharType="end"/>
            </w:r>
          </w:p>
        </w:tc>
      </w:tr>
      <w:tr w:rsidR="00346D75" w14:paraId="6C1B905A" w14:textId="77777777" w:rsidTr="00346D75">
        <w:trPr>
          <w:trHeight w:val="185"/>
        </w:trPr>
        <w:tc>
          <w:tcPr>
            <w:cnfStyle w:val="001000000000" w:firstRow="0" w:lastRow="0" w:firstColumn="1" w:lastColumn="0" w:oddVBand="0" w:evenVBand="0" w:oddHBand="0" w:evenHBand="0" w:firstRowFirstColumn="0" w:firstRowLastColumn="0" w:lastRowFirstColumn="0" w:lastRowLastColumn="0"/>
            <w:tcW w:w="666" w:type="dxa"/>
            <w:vAlign w:val="bottom"/>
          </w:tcPr>
          <w:p w14:paraId="64865D61" w14:textId="4C93A283" w:rsidR="00F05583" w:rsidRPr="00346D75" w:rsidRDefault="00F05583" w:rsidP="00F05583">
            <w:pPr>
              <w:rPr>
                <w:b w:val="0"/>
                <w:bCs w:val="0"/>
                <w:sz w:val="18"/>
                <w:szCs w:val="18"/>
                <w:lang w:val="en-US"/>
              </w:rPr>
            </w:pPr>
            <w:r w:rsidRPr="00346D75">
              <w:rPr>
                <w:rFonts w:ascii="Calibri" w:hAnsi="Calibri" w:cs="Calibri"/>
                <w:b w:val="0"/>
                <w:bCs w:val="0"/>
                <w:color w:val="000000"/>
                <w:sz w:val="18"/>
                <w:szCs w:val="18"/>
              </w:rPr>
              <w:t>2020</w:t>
            </w:r>
          </w:p>
        </w:tc>
        <w:tc>
          <w:tcPr>
            <w:tcW w:w="1886" w:type="dxa"/>
            <w:vAlign w:val="bottom"/>
          </w:tcPr>
          <w:p w14:paraId="11B93479" w14:textId="56CE5C53"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Tucatinib</w:t>
            </w:r>
          </w:p>
        </w:tc>
        <w:tc>
          <w:tcPr>
            <w:tcW w:w="2693" w:type="dxa"/>
            <w:vAlign w:val="bottom"/>
          </w:tcPr>
          <w:p w14:paraId="091EBE75" w14:textId="28F9BFD0"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HER2 inhibitor</w:t>
            </w:r>
          </w:p>
        </w:tc>
        <w:tc>
          <w:tcPr>
            <w:tcW w:w="4678" w:type="dxa"/>
            <w:vAlign w:val="bottom"/>
          </w:tcPr>
          <w:p w14:paraId="7B7D4054" w14:textId="596FCB5A"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786661">
              <w:rPr>
                <w:rFonts w:ascii="Calibri" w:hAnsi="Calibri" w:cs="Calibri"/>
                <w:i/>
                <w:iCs/>
                <w:color w:val="000000"/>
                <w:sz w:val="18"/>
                <w:szCs w:val="18"/>
              </w:rPr>
              <w:t>HER2</w:t>
            </w:r>
            <w:r w:rsidRPr="00346D75">
              <w:rPr>
                <w:rFonts w:ascii="Calibri" w:hAnsi="Calibri" w:cs="Calibri"/>
                <w:color w:val="000000"/>
                <w:sz w:val="18"/>
                <w:szCs w:val="18"/>
              </w:rPr>
              <w:t>-positive breast cancer</w:t>
            </w:r>
          </w:p>
        </w:tc>
        <w:tc>
          <w:tcPr>
            <w:tcW w:w="2977" w:type="dxa"/>
            <w:vAlign w:val="bottom"/>
          </w:tcPr>
          <w:p w14:paraId="6298EC84" w14:textId="57A43782" w:rsidR="00F05583" w:rsidRPr="00346D75" w:rsidRDefault="00F05583"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sidRPr="00346D75">
              <w:rPr>
                <w:rFonts w:ascii="Calibri" w:hAnsi="Calibri" w:cs="Calibri"/>
                <w:color w:val="000000"/>
                <w:sz w:val="18"/>
                <w:szCs w:val="18"/>
              </w:rPr>
              <w:t>HER2CLIMB</w:t>
            </w:r>
          </w:p>
        </w:tc>
        <w:tc>
          <w:tcPr>
            <w:tcW w:w="1060" w:type="dxa"/>
          </w:tcPr>
          <w:p w14:paraId="0F19CEB4" w14:textId="36BE0253" w:rsidR="00F05583" w:rsidRPr="00346D75" w:rsidRDefault="00346D75" w:rsidP="00F05583">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fldChar w:fldCharType="begin"/>
            </w:r>
            <w:r w:rsidR="00913423">
              <w:rPr>
                <w:sz w:val="18"/>
                <w:szCs w:val="18"/>
                <w:lang w:val="en-US"/>
              </w:rPr>
              <w:instrText xml:space="preserve"> ADDIN ZOTERO_ITEM CSL_CITATION {"citationID":"a1kt5vpekil","properties":{"formattedCitation":"(31)","plainCitation":"(31)","noteIndex":0},"citationItems":[{"id":13537,"uris":["http://zotero.org/users/5405906/items/VZYGQ32K"],"uri":["http://zotero.org/users/5405906/items/VZYGQ32K"],"itemData":{"id":13537,"type":"article-journal","abstract":"BACKGROUND: Patients with human epidermal growth factor receptor 2 (HER2)-positive  metastatic breast cancer who have disease progression after therapy with multiple","container-title":"The New England journal of medicine","DOI":"10.1056/NEJMoa1914609","ISSN":"1533-4406 0028-4793","issue":"7","journalAbbreviation":"N Engl J Med","language":"eng","note":"publisher-place: United States\nPMID: 31825569","page":"597-609","title":"Tucatinib, Trastuzumab, and Capecitabine for HER2-Positive Metastatic Breast Cancer.","volume":"382","author":[{"family":"Murthy","given":"Rashmi K."},{"family":"Loi","given":"Sherene"},{"family":"Okines","given":"Alicia"},{"family":"Paplomata","given":"Elisavet"},{"family":"Hamilton","given":"Erika"},{"family":"Hurvitz","given":"Sara A."},{"family":"Lin","given":"Nancy U."},{"family":"Borges","given":"Virginia"},{"family":"Abramson","given":"Vandana"},{"family":"Anders","given":"Carey"},{"family":"Bedard","given":"Philippe L."},{"family":"Oliveira","given":"Mafalda"},{"family":"Jakobsen","given":"Erik"},{"family":"Bachelot","given":"Thomas"},{"family":"Shachar","given":"Shlomit S."},{"family":"Müller","given":"Volkmar"},{"family":"Braga","given":"Sofia"},{"family":"Duhoux","given":"Francois P."},{"family":"Greil","given":"Richard"},{"family":"Cameron","given":"David"},{"family":"Carey","given":"Lisa A."},{"family":"Curigliano","given":"Giuseppe"},{"family":"Gelmon","given":"Karen"},{"family":"Hortobagyi","given":"Gabriel"},{"family":"Krop","given":"Ian"},{"family":"Loibl","given":"Sibylle"},{"family":"Pegram","given":"Mark"},{"family":"Slamon","given":"Dennis"},{"family":"Palanca-Wessels","given":"M. Corinna"},{"family":"Walker","given":"Luke"},{"family":"Feng","given":"Wentao"},{"family":"Winer","given":"Eric P."}],"issued":{"date-parts":[["2020",2,13]]}}}],"schema":"https://github.com/citation-style-language/schema/raw/master/csl-citation.json"} </w:instrText>
            </w:r>
            <w:r>
              <w:rPr>
                <w:sz w:val="18"/>
                <w:szCs w:val="18"/>
                <w:lang w:val="en-US"/>
              </w:rPr>
              <w:fldChar w:fldCharType="separate"/>
            </w:r>
            <w:r w:rsidR="00913423">
              <w:rPr>
                <w:rFonts w:ascii="Calibri" w:cs="Calibri"/>
                <w:color w:val="000000"/>
                <w:sz w:val="18"/>
                <w:lang w:val="en-GB"/>
              </w:rPr>
              <w:t>(31)</w:t>
            </w:r>
            <w:r>
              <w:rPr>
                <w:sz w:val="18"/>
                <w:szCs w:val="18"/>
                <w:lang w:val="en-US"/>
              </w:rPr>
              <w:fldChar w:fldCharType="end"/>
            </w:r>
          </w:p>
        </w:tc>
      </w:tr>
    </w:tbl>
    <w:p w14:paraId="2CC7A80D" w14:textId="77777777" w:rsidR="00320438" w:rsidRDefault="00320438" w:rsidP="009736AD">
      <w:pPr>
        <w:rPr>
          <w:lang w:val="en-US"/>
        </w:rPr>
        <w:sectPr w:rsidR="00320438" w:rsidSect="00253176">
          <w:footerReference w:type="even" r:id="rId7"/>
          <w:footerReference w:type="default" r:id="rId8"/>
          <w:pgSz w:w="16840" w:h="11900" w:orient="landscape"/>
          <w:pgMar w:top="1440" w:right="1440" w:bottom="1440" w:left="1440" w:header="709" w:footer="709" w:gutter="0"/>
          <w:cols w:space="708"/>
          <w:docGrid w:linePitch="360"/>
        </w:sectPr>
      </w:pPr>
    </w:p>
    <w:p w14:paraId="4AEC15B8" w14:textId="496B55D7" w:rsidR="00CF2AAD" w:rsidRDefault="00DE1833" w:rsidP="009736AD">
      <w:pPr>
        <w:rPr>
          <w:lang w:val="en-US"/>
        </w:rPr>
      </w:pPr>
      <w:r>
        <w:rPr>
          <w:lang w:val="en-US"/>
        </w:rPr>
        <w:lastRenderedPageBreak/>
        <w:t xml:space="preserve">Supplementary </w:t>
      </w:r>
      <w:r w:rsidR="00346D75">
        <w:rPr>
          <w:lang w:val="en-US"/>
        </w:rPr>
        <w:t xml:space="preserve">Table 2. </w:t>
      </w:r>
      <w:r w:rsidR="00803DB2">
        <w:rPr>
          <w:lang w:val="en-US"/>
        </w:rPr>
        <w:t>Registrational t</w:t>
      </w:r>
      <w:r w:rsidR="005D2EEB">
        <w:rPr>
          <w:lang w:val="en-US"/>
        </w:rPr>
        <w:t>rial characteristics</w:t>
      </w:r>
      <w:r w:rsidR="00803DB2">
        <w:rPr>
          <w:lang w:val="en-US"/>
        </w:rPr>
        <w:t xml:space="preserve"> for newly FDA approved cancer therapies from 2018-2020</w:t>
      </w:r>
    </w:p>
    <w:p w14:paraId="2E151475" w14:textId="77777777" w:rsidR="00803DB2" w:rsidRDefault="00803DB2" w:rsidP="009736AD">
      <w:pPr>
        <w:rPr>
          <w:lang w:val="en-US"/>
        </w:rPr>
      </w:pPr>
    </w:p>
    <w:tbl>
      <w:tblPr>
        <w:tblStyle w:val="ListTable6Colourful"/>
        <w:tblW w:w="0" w:type="auto"/>
        <w:tblLook w:val="04A0" w:firstRow="1" w:lastRow="0" w:firstColumn="1" w:lastColumn="0" w:noHBand="0" w:noVBand="1"/>
      </w:tblPr>
      <w:tblGrid>
        <w:gridCol w:w="5670"/>
        <w:gridCol w:w="1276"/>
      </w:tblGrid>
      <w:tr w:rsidR="00803DB2" w:rsidRPr="00346D75" w14:paraId="72FC0AD2" w14:textId="77777777" w:rsidTr="001C6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F566B2C" w14:textId="1348C9A2" w:rsidR="00803DB2" w:rsidRPr="001C6281" w:rsidRDefault="00803DB2" w:rsidP="00010135">
            <w:pPr>
              <w:rPr>
                <w:lang w:val="en-US"/>
              </w:rPr>
            </w:pPr>
            <w:r w:rsidRPr="001C6281">
              <w:rPr>
                <w:lang w:val="en-US"/>
              </w:rPr>
              <w:t>Characteristic</w:t>
            </w:r>
          </w:p>
        </w:tc>
        <w:tc>
          <w:tcPr>
            <w:tcW w:w="1276" w:type="dxa"/>
          </w:tcPr>
          <w:p w14:paraId="515A4608" w14:textId="44545824" w:rsidR="00803DB2" w:rsidRPr="001C6281" w:rsidRDefault="00803DB2" w:rsidP="00803DB2">
            <w:pPr>
              <w:jc w:val="center"/>
              <w:cnfStyle w:val="100000000000" w:firstRow="1" w:lastRow="0" w:firstColumn="0" w:lastColumn="0" w:oddVBand="0" w:evenVBand="0" w:oddHBand="0" w:evenHBand="0" w:firstRowFirstColumn="0" w:firstRowLastColumn="0" w:lastRowFirstColumn="0" w:lastRowLastColumn="0"/>
              <w:rPr>
                <w:lang w:val="en-US"/>
              </w:rPr>
            </w:pPr>
            <w:r w:rsidRPr="001C6281">
              <w:rPr>
                <w:lang w:val="en-US"/>
              </w:rPr>
              <w:t>N (%)</w:t>
            </w:r>
          </w:p>
        </w:tc>
      </w:tr>
      <w:tr w:rsidR="00803DB2" w:rsidRPr="00346D75" w14:paraId="480E583C" w14:textId="77777777" w:rsidTr="001C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vAlign w:val="bottom"/>
          </w:tcPr>
          <w:p w14:paraId="60067B6F" w14:textId="77777777" w:rsidR="00803DB2" w:rsidRPr="001C6281" w:rsidRDefault="00803DB2" w:rsidP="00010135">
            <w:pPr>
              <w:rPr>
                <w:b w:val="0"/>
                <w:bCs w:val="0"/>
                <w:lang w:val="en-US"/>
              </w:rPr>
            </w:pPr>
            <w:r w:rsidRPr="001C6281">
              <w:rPr>
                <w:b w:val="0"/>
                <w:bCs w:val="0"/>
                <w:lang w:val="en-US"/>
              </w:rPr>
              <w:t>Drug property</w:t>
            </w:r>
          </w:p>
          <w:p w14:paraId="4F2435F4" w14:textId="702B5BC5" w:rsidR="00803DB2" w:rsidRPr="001C6281" w:rsidRDefault="00803DB2" w:rsidP="00803DB2">
            <w:pPr>
              <w:ind w:left="720"/>
              <w:rPr>
                <w:b w:val="0"/>
                <w:bCs w:val="0"/>
                <w:lang w:val="en-US"/>
              </w:rPr>
            </w:pPr>
            <w:r w:rsidRPr="001C6281">
              <w:rPr>
                <w:b w:val="0"/>
                <w:bCs w:val="0"/>
                <w:lang w:val="en-US"/>
              </w:rPr>
              <w:t>Antibody-drug conjugate</w:t>
            </w:r>
          </w:p>
          <w:p w14:paraId="4A6C8808" w14:textId="76BD6541" w:rsidR="00803DB2" w:rsidRPr="001C6281" w:rsidRDefault="00803DB2" w:rsidP="00803DB2">
            <w:pPr>
              <w:ind w:left="720"/>
              <w:rPr>
                <w:b w:val="0"/>
                <w:bCs w:val="0"/>
                <w:lang w:val="en-US"/>
              </w:rPr>
            </w:pPr>
            <w:r w:rsidRPr="001C6281">
              <w:rPr>
                <w:b w:val="0"/>
                <w:bCs w:val="0"/>
                <w:lang w:val="en-US"/>
              </w:rPr>
              <w:t>Chemotherapy</w:t>
            </w:r>
          </w:p>
          <w:p w14:paraId="5AE26107" w14:textId="567ABB34" w:rsidR="00803DB2" w:rsidRPr="001C6281" w:rsidRDefault="00803DB2" w:rsidP="00803DB2">
            <w:pPr>
              <w:ind w:left="720"/>
              <w:rPr>
                <w:b w:val="0"/>
                <w:bCs w:val="0"/>
                <w:lang w:val="en-US"/>
              </w:rPr>
            </w:pPr>
            <w:r w:rsidRPr="001C6281">
              <w:rPr>
                <w:b w:val="0"/>
                <w:bCs w:val="0"/>
                <w:lang w:val="en-US"/>
              </w:rPr>
              <w:t>Hormonal therapy</w:t>
            </w:r>
          </w:p>
          <w:p w14:paraId="1933AFC8" w14:textId="77777777" w:rsidR="00803DB2" w:rsidRPr="001C6281" w:rsidRDefault="00803DB2" w:rsidP="00803DB2">
            <w:pPr>
              <w:ind w:left="720"/>
              <w:rPr>
                <w:b w:val="0"/>
                <w:bCs w:val="0"/>
                <w:lang w:val="en-US"/>
              </w:rPr>
            </w:pPr>
            <w:r w:rsidRPr="001C6281">
              <w:rPr>
                <w:b w:val="0"/>
                <w:bCs w:val="0"/>
                <w:lang w:val="en-US"/>
              </w:rPr>
              <w:t>Monoclonal antibody (immunotherapy)</w:t>
            </w:r>
          </w:p>
          <w:p w14:paraId="0525FE5D" w14:textId="3D6C9ED2" w:rsidR="00803DB2" w:rsidRPr="001C6281" w:rsidRDefault="00803DB2" w:rsidP="00803DB2">
            <w:pPr>
              <w:ind w:left="720"/>
              <w:rPr>
                <w:b w:val="0"/>
                <w:bCs w:val="0"/>
                <w:lang w:val="en-US"/>
              </w:rPr>
            </w:pPr>
            <w:r w:rsidRPr="001C6281">
              <w:rPr>
                <w:b w:val="0"/>
                <w:bCs w:val="0"/>
                <w:lang w:val="en-US"/>
              </w:rPr>
              <w:t>Monoclonal antibody (targeted)</w:t>
            </w:r>
          </w:p>
          <w:p w14:paraId="0B15AB78" w14:textId="33B95B6E" w:rsidR="00803DB2" w:rsidRPr="001C6281" w:rsidRDefault="00803DB2" w:rsidP="00803DB2">
            <w:pPr>
              <w:ind w:left="720"/>
              <w:rPr>
                <w:b w:val="0"/>
                <w:bCs w:val="0"/>
                <w:lang w:val="en-US"/>
              </w:rPr>
            </w:pPr>
            <w:r w:rsidRPr="001C6281">
              <w:rPr>
                <w:b w:val="0"/>
                <w:bCs w:val="0"/>
                <w:lang w:val="en-US"/>
              </w:rPr>
              <w:t>Radiopharmaceutical</w:t>
            </w:r>
          </w:p>
          <w:p w14:paraId="4A3819D1" w14:textId="15123664" w:rsidR="00803DB2" w:rsidRPr="001C6281" w:rsidRDefault="00803DB2" w:rsidP="00803DB2">
            <w:pPr>
              <w:ind w:left="720"/>
              <w:rPr>
                <w:b w:val="0"/>
                <w:bCs w:val="0"/>
                <w:lang w:val="en-US"/>
              </w:rPr>
            </w:pPr>
            <w:r w:rsidRPr="001C6281">
              <w:rPr>
                <w:b w:val="0"/>
                <w:bCs w:val="0"/>
                <w:lang w:val="en-US"/>
              </w:rPr>
              <w:t>Small molecule inhibitor</w:t>
            </w:r>
          </w:p>
        </w:tc>
        <w:tc>
          <w:tcPr>
            <w:tcW w:w="1276" w:type="dxa"/>
          </w:tcPr>
          <w:p w14:paraId="0CEF9C9F"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p>
          <w:p w14:paraId="17AAEA7D"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3 (10)</w:t>
            </w:r>
          </w:p>
          <w:p w14:paraId="47E170BF"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1 (3)</w:t>
            </w:r>
          </w:p>
          <w:p w14:paraId="3CB9328D"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3 (10)</w:t>
            </w:r>
          </w:p>
          <w:p w14:paraId="5F7367A3"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1 (3)</w:t>
            </w:r>
          </w:p>
          <w:p w14:paraId="554E4155" w14:textId="41DAF58D"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2 (7)</w:t>
            </w:r>
          </w:p>
          <w:p w14:paraId="2954F966"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1 (3)</w:t>
            </w:r>
          </w:p>
          <w:p w14:paraId="654346C2" w14:textId="155D4D68"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19 (63)</w:t>
            </w:r>
          </w:p>
        </w:tc>
      </w:tr>
      <w:tr w:rsidR="00803DB2" w:rsidRPr="00346D75" w14:paraId="56AC29D8" w14:textId="77777777" w:rsidTr="001C6281">
        <w:tc>
          <w:tcPr>
            <w:cnfStyle w:val="001000000000" w:firstRow="0" w:lastRow="0" w:firstColumn="1" w:lastColumn="0" w:oddVBand="0" w:evenVBand="0" w:oddHBand="0" w:evenHBand="0" w:firstRowFirstColumn="0" w:firstRowLastColumn="0" w:lastRowFirstColumn="0" w:lastRowLastColumn="0"/>
            <w:tcW w:w="5670" w:type="dxa"/>
            <w:vAlign w:val="bottom"/>
          </w:tcPr>
          <w:p w14:paraId="5C26DCD8" w14:textId="77777777" w:rsidR="00803DB2" w:rsidRPr="001C6281" w:rsidRDefault="00803DB2" w:rsidP="00010135">
            <w:pPr>
              <w:rPr>
                <w:lang w:val="en-US"/>
              </w:rPr>
            </w:pPr>
            <w:r w:rsidRPr="001C6281">
              <w:rPr>
                <w:b w:val="0"/>
                <w:bCs w:val="0"/>
                <w:lang w:val="en-US"/>
              </w:rPr>
              <w:t>Registrational trial phase</w:t>
            </w:r>
          </w:p>
          <w:p w14:paraId="135806B7" w14:textId="77777777" w:rsidR="00803DB2" w:rsidRPr="001C6281" w:rsidRDefault="00803DB2" w:rsidP="00803DB2">
            <w:pPr>
              <w:ind w:left="720"/>
              <w:rPr>
                <w:lang w:val="en-US"/>
              </w:rPr>
            </w:pPr>
            <w:r w:rsidRPr="001C6281">
              <w:rPr>
                <w:b w:val="0"/>
                <w:bCs w:val="0"/>
                <w:lang w:val="en-US"/>
              </w:rPr>
              <w:t>1</w:t>
            </w:r>
          </w:p>
          <w:p w14:paraId="6FF6177F" w14:textId="77777777" w:rsidR="00803DB2" w:rsidRPr="001C6281" w:rsidRDefault="00803DB2" w:rsidP="00803DB2">
            <w:pPr>
              <w:ind w:left="720"/>
              <w:rPr>
                <w:lang w:val="en-US"/>
              </w:rPr>
            </w:pPr>
            <w:r w:rsidRPr="001C6281">
              <w:rPr>
                <w:b w:val="0"/>
                <w:bCs w:val="0"/>
                <w:lang w:val="en-US"/>
              </w:rPr>
              <w:t>1/2</w:t>
            </w:r>
          </w:p>
          <w:p w14:paraId="506D0D37" w14:textId="77777777" w:rsidR="00803DB2" w:rsidRPr="001C6281" w:rsidRDefault="00803DB2" w:rsidP="00803DB2">
            <w:pPr>
              <w:ind w:left="720"/>
              <w:rPr>
                <w:lang w:val="en-US"/>
              </w:rPr>
            </w:pPr>
            <w:r w:rsidRPr="001C6281">
              <w:rPr>
                <w:b w:val="0"/>
                <w:bCs w:val="0"/>
                <w:lang w:val="en-US"/>
              </w:rPr>
              <w:t>2</w:t>
            </w:r>
          </w:p>
          <w:p w14:paraId="695BC30C" w14:textId="63981CB6" w:rsidR="00803DB2" w:rsidRPr="001C6281" w:rsidRDefault="00803DB2" w:rsidP="00803DB2">
            <w:pPr>
              <w:ind w:left="720"/>
              <w:rPr>
                <w:lang w:val="en-US"/>
              </w:rPr>
            </w:pPr>
            <w:r w:rsidRPr="001C6281">
              <w:rPr>
                <w:b w:val="0"/>
                <w:bCs w:val="0"/>
                <w:lang w:val="en-US"/>
              </w:rPr>
              <w:t>3</w:t>
            </w:r>
          </w:p>
        </w:tc>
        <w:tc>
          <w:tcPr>
            <w:tcW w:w="1276" w:type="dxa"/>
          </w:tcPr>
          <w:p w14:paraId="45B1C898" w14:textId="77777777" w:rsidR="00803DB2" w:rsidRPr="001C6281" w:rsidRDefault="00803DB2" w:rsidP="00803DB2">
            <w:pPr>
              <w:jc w:val="center"/>
              <w:cnfStyle w:val="000000000000" w:firstRow="0" w:lastRow="0" w:firstColumn="0" w:lastColumn="0" w:oddVBand="0" w:evenVBand="0" w:oddHBand="0" w:evenHBand="0" w:firstRowFirstColumn="0" w:firstRowLastColumn="0" w:lastRowFirstColumn="0" w:lastRowLastColumn="0"/>
              <w:rPr>
                <w:lang w:val="en-US"/>
              </w:rPr>
            </w:pPr>
          </w:p>
          <w:p w14:paraId="14E0EC61" w14:textId="77777777" w:rsidR="00803DB2" w:rsidRPr="001C6281" w:rsidRDefault="00803DB2" w:rsidP="00803DB2">
            <w:pPr>
              <w:jc w:val="center"/>
              <w:cnfStyle w:val="000000000000" w:firstRow="0" w:lastRow="0" w:firstColumn="0" w:lastColumn="0" w:oddVBand="0" w:evenVBand="0" w:oddHBand="0" w:evenHBand="0" w:firstRowFirstColumn="0" w:firstRowLastColumn="0" w:lastRowFirstColumn="0" w:lastRowLastColumn="0"/>
              <w:rPr>
                <w:lang w:val="en-US"/>
              </w:rPr>
            </w:pPr>
            <w:r w:rsidRPr="001C6281">
              <w:rPr>
                <w:lang w:val="en-US"/>
              </w:rPr>
              <w:t>1 (3)</w:t>
            </w:r>
          </w:p>
          <w:p w14:paraId="69A1C97A" w14:textId="70D54B4B" w:rsidR="00803DB2" w:rsidRPr="001C6281" w:rsidRDefault="0027212A" w:rsidP="00803DB2">
            <w:pPr>
              <w:jc w:val="center"/>
              <w:cnfStyle w:val="000000000000" w:firstRow="0" w:lastRow="0" w:firstColumn="0" w:lastColumn="0" w:oddVBand="0" w:evenVBand="0" w:oddHBand="0" w:evenHBand="0" w:firstRowFirstColumn="0" w:firstRowLastColumn="0" w:lastRowFirstColumn="0" w:lastRowLastColumn="0"/>
              <w:rPr>
                <w:lang w:val="en-US"/>
              </w:rPr>
            </w:pPr>
            <w:r w:rsidRPr="001C6281">
              <w:rPr>
                <w:lang w:val="en-US"/>
              </w:rPr>
              <w:t>6</w:t>
            </w:r>
            <w:r w:rsidR="00803DB2" w:rsidRPr="001C6281">
              <w:rPr>
                <w:lang w:val="en-US"/>
              </w:rPr>
              <w:t xml:space="preserve"> (</w:t>
            </w:r>
            <w:r w:rsidRPr="001C6281">
              <w:rPr>
                <w:lang w:val="en-US"/>
              </w:rPr>
              <w:t>20</w:t>
            </w:r>
            <w:r w:rsidR="00803DB2" w:rsidRPr="001C6281">
              <w:rPr>
                <w:lang w:val="en-US"/>
              </w:rPr>
              <w:t>)</w:t>
            </w:r>
          </w:p>
          <w:p w14:paraId="3239157E" w14:textId="77777777" w:rsidR="00803DB2" w:rsidRPr="001C6281" w:rsidRDefault="00803DB2" w:rsidP="00803DB2">
            <w:pPr>
              <w:jc w:val="center"/>
              <w:cnfStyle w:val="000000000000" w:firstRow="0" w:lastRow="0" w:firstColumn="0" w:lastColumn="0" w:oddVBand="0" w:evenVBand="0" w:oddHBand="0" w:evenHBand="0" w:firstRowFirstColumn="0" w:firstRowLastColumn="0" w:lastRowFirstColumn="0" w:lastRowLastColumn="0"/>
              <w:rPr>
                <w:lang w:val="en-US"/>
              </w:rPr>
            </w:pPr>
            <w:r w:rsidRPr="001C6281">
              <w:rPr>
                <w:lang w:val="en-US"/>
              </w:rPr>
              <w:t>10 (33)</w:t>
            </w:r>
          </w:p>
          <w:p w14:paraId="0056879E" w14:textId="016CADE8" w:rsidR="00803DB2" w:rsidRPr="001C6281" w:rsidRDefault="00803DB2" w:rsidP="00803DB2">
            <w:pPr>
              <w:jc w:val="center"/>
              <w:cnfStyle w:val="000000000000" w:firstRow="0" w:lastRow="0" w:firstColumn="0" w:lastColumn="0" w:oddVBand="0" w:evenVBand="0" w:oddHBand="0" w:evenHBand="0" w:firstRowFirstColumn="0" w:firstRowLastColumn="0" w:lastRowFirstColumn="0" w:lastRowLastColumn="0"/>
              <w:rPr>
                <w:lang w:val="en-US"/>
              </w:rPr>
            </w:pPr>
            <w:r w:rsidRPr="001C6281">
              <w:rPr>
                <w:lang w:val="en-US"/>
              </w:rPr>
              <w:t>1</w:t>
            </w:r>
            <w:r w:rsidR="0027212A" w:rsidRPr="001C6281">
              <w:rPr>
                <w:lang w:val="en-US"/>
              </w:rPr>
              <w:t>3</w:t>
            </w:r>
            <w:r w:rsidRPr="001C6281">
              <w:rPr>
                <w:lang w:val="en-US"/>
              </w:rPr>
              <w:t xml:space="preserve"> (4</w:t>
            </w:r>
            <w:r w:rsidR="0027212A" w:rsidRPr="001C6281">
              <w:rPr>
                <w:lang w:val="en-US"/>
              </w:rPr>
              <w:t>3</w:t>
            </w:r>
            <w:r w:rsidRPr="001C6281">
              <w:rPr>
                <w:lang w:val="en-US"/>
              </w:rPr>
              <w:t>)</w:t>
            </w:r>
          </w:p>
        </w:tc>
      </w:tr>
      <w:tr w:rsidR="00803DB2" w:rsidRPr="00346D75" w14:paraId="24E33786" w14:textId="77777777" w:rsidTr="001C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vAlign w:val="bottom"/>
          </w:tcPr>
          <w:p w14:paraId="5ABB973A" w14:textId="77777777" w:rsidR="00803DB2" w:rsidRPr="001C6281" w:rsidRDefault="00803DB2" w:rsidP="00010135">
            <w:pPr>
              <w:rPr>
                <w:lang w:val="en-US"/>
              </w:rPr>
            </w:pPr>
            <w:r w:rsidRPr="001C6281">
              <w:rPr>
                <w:b w:val="0"/>
                <w:bCs w:val="0"/>
                <w:lang w:val="en-US"/>
              </w:rPr>
              <w:t>Disease setting</w:t>
            </w:r>
          </w:p>
          <w:p w14:paraId="69182ADB" w14:textId="77C647A6" w:rsidR="00803DB2" w:rsidRPr="001C6281" w:rsidRDefault="00803DB2" w:rsidP="00803DB2">
            <w:pPr>
              <w:ind w:left="720"/>
              <w:rPr>
                <w:lang w:val="en-US"/>
              </w:rPr>
            </w:pPr>
            <w:r w:rsidRPr="001C6281">
              <w:rPr>
                <w:b w:val="0"/>
                <w:bCs w:val="0"/>
                <w:lang w:val="en-US"/>
              </w:rPr>
              <w:t>Early</w:t>
            </w:r>
            <w:r w:rsidR="008E2D5F" w:rsidRPr="001C6281">
              <w:rPr>
                <w:b w:val="0"/>
                <w:bCs w:val="0"/>
                <w:lang w:val="en-US"/>
              </w:rPr>
              <w:t>-</w:t>
            </w:r>
            <w:r w:rsidRPr="001C6281">
              <w:rPr>
                <w:b w:val="0"/>
                <w:bCs w:val="0"/>
                <w:lang w:val="en-US"/>
              </w:rPr>
              <w:t>stage</w:t>
            </w:r>
            <w:r w:rsidR="008E2D5F" w:rsidRPr="001C6281">
              <w:rPr>
                <w:b w:val="0"/>
                <w:bCs w:val="0"/>
                <w:lang w:val="en-US"/>
              </w:rPr>
              <w:t>,</w:t>
            </w:r>
            <w:r w:rsidRPr="001C6281">
              <w:rPr>
                <w:b w:val="0"/>
                <w:bCs w:val="0"/>
                <w:lang w:val="en-US"/>
              </w:rPr>
              <w:t xml:space="preserve"> locally advanced</w:t>
            </w:r>
            <w:r w:rsidR="008E2D5F" w:rsidRPr="001C6281">
              <w:rPr>
                <w:b w:val="0"/>
                <w:bCs w:val="0"/>
                <w:lang w:val="en-US"/>
              </w:rPr>
              <w:t xml:space="preserve"> or non-metastatic</w:t>
            </w:r>
          </w:p>
          <w:p w14:paraId="25CE2DB8" w14:textId="4822A1DA" w:rsidR="00803DB2" w:rsidRPr="001C6281" w:rsidRDefault="00803DB2" w:rsidP="00803DB2">
            <w:pPr>
              <w:ind w:left="720"/>
              <w:rPr>
                <w:b w:val="0"/>
                <w:bCs w:val="0"/>
                <w:lang w:val="en-US"/>
              </w:rPr>
            </w:pPr>
            <w:r w:rsidRPr="001C6281">
              <w:rPr>
                <w:b w:val="0"/>
                <w:bCs w:val="0"/>
                <w:lang w:val="en-US"/>
              </w:rPr>
              <w:t>Metastatic</w:t>
            </w:r>
            <w:r w:rsidR="008E2D5F" w:rsidRPr="001C6281">
              <w:rPr>
                <w:b w:val="0"/>
                <w:bCs w:val="0"/>
                <w:lang w:val="en-US"/>
              </w:rPr>
              <w:t>, advanced, or late stage</w:t>
            </w:r>
          </w:p>
        </w:tc>
        <w:tc>
          <w:tcPr>
            <w:tcW w:w="1276" w:type="dxa"/>
          </w:tcPr>
          <w:p w14:paraId="3DFEB782"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p>
          <w:p w14:paraId="36CA06E3" w14:textId="77777777"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3 (10)</w:t>
            </w:r>
          </w:p>
          <w:p w14:paraId="71BCB50C" w14:textId="23E2068E" w:rsidR="00803DB2" w:rsidRPr="001C6281" w:rsidRDefault="00803DB2" w:rsidP="00803DB2">
            <w:pPr>
              <w:jc w:val="center"/>
              <w:cnfStyle w:val="000000100000" w:firstRow="0" w:lastRow="0" w:firstColumn="0" w:lastColumn="0" w:oddVBand="0" w:evenVBand="0" w:oddHBand="1" w:evenHBand="0" w:firstRowFirstColumn="0" w:firstRowLastColumn="0" w:lastRowFirstColumn="0" w:lastRowLastColumn="0"/>
              <w:rPr>
                <w:lang w:val="en-US"/>
              </w:rPr>
            </w:pPr>
            <w:r w:rsidRPr="001C6281">
              <w:rPr>
                <w:lang w:val="en-US"/>
              </w:rPr>
              <w:t>27 (90)</w:t>
            </w:r>
          </w:p>
        </w:tc>
      </w:tr>
    </w:tbl>
    <w:p w14:paraId="712D0024" w14:textId="25495E35" w:rsidR="00803DB2" w:rsidRDefault="00803DB2" w:rsidP="009736AD">
      <w:pPr>
        <w:rPr>
          <w:lang w:val="en-US"/>
        </w:rPr>
      </w:pPr>
    </w:p>
    <w:p w14:paraId="69DFB6BC" w14:textId="0DB7DD6F" w:rsidR="003A1216" w:rsidRDefault="003A1216" w:rsidP="009736AD">
      <w:pPr>
        <w:rPr>
          <w:lang w:val="en-US"/>
        </w:rPr>
      </w:pPr>
    </w:p>
    <w:p w14:paraId="61B69F79" w14:textId="3610CEFB" w:rsidR="00913423" w:rsidRDefault="00913423" w:rsidP="009736AD">
      <w:pPr>
        <w:rPr>
          <w:lang w:val="en-US"/>
        </w:rPr>
      </w:pPr>
    </w:p>
    <w:p w14:paraId="1E225CC7" w14:textId="77777777" w:rsidR="00913423" w:rsidRDefault="00913423" w:rsidP="009736AD">
      <w:pPr>
        <w:rPr>
          <w:b/>
          <w:bCs/>
          <w:lang w:val="en-US"/>
        </w:rPr>
        <w:sectPr w:rsidR="00913423" w:rsidSect="00A50D02">
          <w:pgSz w:w="11900" w:h="16840"/>
          <w:pgMar w:top="1440" w:right="1440" w:bottom="1440" w:left="1440" w:header="709" w:footer="709" w:gutter="0"/>
          <w:cols w:space="708"/>
          <w:docGrid w:linePitch="360"/>
        </w:sectPr>
      </w:pPr>
    </w:p>
    <w:p w14:paraId="556C2140" w14:textId="667452A8" w:rsidR="00913423" w:rsidRPr="00913423" w:rsidRDefault="00913423" w:rsidP="009736AD">
      <w:pPr>
        <w:rPr>
          <w:b/>
          <w:bCs/>
          <w:lang w:val="en-US"/>
        </w:rPr>
      </w:pPr>
      <w:r w:rsidRPr="00913423">
        <w:rPr>
          <w:b/>
          <w:bCs/>
          <w:lang w:val="en-US"/>
        </w:rPr>
        <w:lastRenderedPageBreak/>
        <w:t>References</w:t>
      </w:r>
    </w:p>
    <w:p w14:paraId="21A014D1" w14:textId="77777777" w:rsidR="00913423" w:rsidRPr="00FA2C24" w:rsidRDefault="00913423" w:rsidP="00913423">
      <w:pPr>
        <w:pStyle w:val="Bibliography"/>
        <w:rPr>
          <w:rFonts w:ascii="Calibri" w:cs="Calibri"/>
          <w:sz w:val="20"/>
          <w:szCs w:val="20"/>
          <w:lang w:val="en-GB"/>
        </w:rPr>
      </w:pPr>
      <w:r w:rsidRPr="00FA2C24">
        <w:rPr>
          <w:sz w:val="20"/>
          <w:szCs w:val="20"/>
          <w:lang w:val="en-US"/>
        </w:rPr>
        <w:fldChar w:fldCharType="begin"/>
      </w:r>
      <w:r w:rsidRPr="00FA2C24">
        <w:rPr>
          <w:sz w:val="20"/>
          <w:szCs w:val="20"/>
          <w:lang w:val="en-US"/>
        </w:rPr>
        <w:instrText xml:space="preserve"> ADDIN ZOTERO_BIBL {"uncited":[],"omitted":[],"custom":[]} CSL_BIBLIOGRAPHY </w:instrText>
      </w:r>
      <w:r w:rsidRPr="00FA2C24">
        <w:rPr>
          <w:sz w:val="20"/>
          <w:szCs w:val="20"/>
          <w:lang w:val="en-US"/>
        </w:rPr>
        <w:fldChar w:fldCharType="separate"/>
      </w:r>
      <w:r w:rsidRPr="00FA2C24">
        <w:rPr>
          <w:rFonts w:ascii="Calibri" w:cs="Calibri"/>
          <w:sz w:val="20"/>
          <w:szCs w:val="20"/>
          <w:lang w:val="en-GB"/>
        </w:rPr>
        <w:t xml:space="preserve">1. </w:t>
      </w:r>
      <w:r w:rsidRPr="00FA2C24">
        <w:rPr>
          <w:rFonts w:ascii="Calibri" w:cs="Calibri"/>
          <w:sz w:val="20"/>
          <w:szCs w:val="20"/>
          <w:lang w:val="en-GB"/>
        </w:rPr>
        <w:tab/>
        <w:t xml:space="preserve">Smith MR, Saad F, Chowdhury S, Oudard S, Hadaschik BA, Graff JN, Olmos D, Mainwaring PN, Lee JY, Uemura H, et al. Apalutamide Treatment and Metastasis-free Survival in Prostate Cancer. </w:t>
      </w:r>
      <w:r w:rsidRPr="00FA2C24">
        <w:rPr>
          <w:rFonts w:ascii="Calibri" w:cs="Calibri"/>
          <w:i/>
          <w:iCs/>
          <w:sz w:val="20"/>
          <w:szCs w:val="20"/>
          <w:lang w:val="en-GB"/>
        </w:rPr>
        <w:t>N Engl J Med</w:t>
      </w:r>
      <w:r w:rsidRPr="00FA2C24">
        <w:rPr>
          <w:rFonts w:ascii="Calibri" w:cs="Calibri"/>
          <w:sz w:val="20"/>
          <w:szCs w:val="20"/>
          <w:lang w:val="en-GB"/>
        </w:rPr>
        <w:t xml:space="preserve"> (2018) </w:t>
      </w:r>
      <w:r w:rsidRPr="00FA2C24">
        <w:rPr>
          <w:rFonts w:ascii="Calibri" w:cs="Calibri"/>
          <w:b/>
          <w:bCs/>
          <w:sz w:val="20"/>
          <w:szCs w:val="20"/>
          <w:lang w:val="en-GB"/>
        </w:rPr>
        <w:t>378</w:t>
      </w:r>
      <w:r w:rsidRPr="00FA2C24">
        <w:rPr>
          <w:rFonts w:ascii="Calibri" w:cs="Calibri"/>
          <w:sz w:val="20"/>
          <w:szCs w:val="20"/>
          <w:lang w:val="en-GB"/>
        </w:rPr>
        <w:t>:1408–1418. doi: 10.1056/NEJMoa1715546</w:t>
      </w:r>
    </w:p>
    <w:p w14:paraId="154B65E1"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 </w:t>
      </w:r>
      <w:r w:rsidRPr="00FA2C24">
        <w:rPr>
          <w:rFonts w:ascii="Calibri" w:cs="Calibri"/>
          <w:sz w:val="20"/>
          <w:szCs w:val="20"/>
          <w:lang w:val="en-GB"/>
        </w:rPr>
        <w:tab/>
        <w:t xml:space="preserve">Dummer R, Ascierto PA, Gogas HJ, Arance A, Mandala M, Liszkay G, Garbe C, Schadendorf D, Krajsova I, Gutzmer R, et al. Encorafenib plus binimetinib versus vemurafenib or encorafenib in patients with  BRAF-mutant melanoma (COLUMBUS): a multicentre, open-label, randomised phase 3  trial. </w:t>
      </w:r>
      <w:r w:rsidRPr="00FA2C24">
        <w:rPr>
          <w:rFonts w:ascii="Calibri" w:cs="Calibri"/>
          <w:i/>
          <w:iCs/>
          <w:sz w:val="20"/>
          <w:szCs w:val="20"/>
          <w:lang w:val="en-GB"/>
        </w:rPr>
        <w:t>Lancet Oncol</w:t>
      </w:r>
      <w:r w:rsidRPr="00FA2C24">
        <w:rPr>
          <w:rFonts w:ascii="Calibri" w:cs="Calibri"/>
          <w:sz w:val="20"/>
          <w:szCs w:val="20"/>
          <w:lang w:val="en-GB"/>
        </w:rPr>
        <w:t xml:space="preserve"> (2018) </w:t>
      </w:r>
      <w:r w:rsidRPr="00FA2C24">
        <w:rPr>
          <w:rFonts w:ascii="Calibri" w:cs="Calibri"/>
          <w:b/>
          <w:bCs/>
          <w:sz w:val="20"/>
          <w:szCs w:val="20"/>
          <w:lang w:val="en-GB"/>
        </w:rPr>
        <w:t>19</w:t>
      </w:r>
      <w:r w:rsidRPr="00FA2C24">
        <w:rPr>
          <w:rFonts w:ascii="Calibri" w:cs="Calibri"/>
          <w:sz w:val="20"/>
          <w:szCs w:val="20"/>
          <w:lang w:val="en-GB"/>
        </w:rPr>
        <w:t>:603–615. doi: 10.1016/S1470-2045(18)30142-6</w:t>
      </w:r>
    </w:p>
    <w:p w14:paraId="089014F3"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3. </w:t>
      </w:r>
      <w:r w:rsidRPr="00FA2C24">
        <w:rPr>
          <w:rFonts w:ascii="Calibri" w:cs="Calibri"/>
          <w:sz w:val="20"/>
          <w:szCs w:val="20"/>
          <w:lang w:val="en-GB"/>
        </w:rPr>
        <w:tab/>
        <w:t xml:space="preserve">Migden MR, Rischin D, Schmults CD, Guminski A, Hauschild A, Lewis KD, Chung CH, Hernandez-Aya L, Lim AM, Chang ALS, et al. PD-1 Blockade with Cemiplimab in Advanced Cutaneous Squamous-Cell Carcinoma. </w:t>
      </w:r>
      <w:r w:rsidRPr="00FA2C24">
        <w:rPr>
          <w:rFonts w:ascii="Calibri" w:cs="Calibri"/>
          <w:i/>
          <w:iCs/>
          <w:sz w:val="20"/>
          <w:szCs w:val="20"/>
          <w:lang w:val="en-GB"/>
        </w:rPr>
        <w:t>N Engl J Med</w:t>
      </w:r>
      <w:r w:rsidRPr="00FA2C24">
        <w:rPr>
          <w:rFonts w:ascii="Calibri" w:cs="Calibri"/>
          <w:sz w:val="20"/>
          <w:szCs w:val="20"/>
          <w:lang w:val="en-GB"/>
        </w:rPr>
        <w:t xml:space="preserve"> (2018) </w:t>
      </w:r>
      <w:r w:rsidRPr="00FA2C24">
        <w:rPr>
          <w:rFonts w:ascii="Calibri" w:cs="Calibri"/>
          <w:b/>
          <w:bCs/>
          <w:sz w:val="20"/>
          <w:szCs w:val="20"/>
          <w:lang w:val="en-GB"/>
        </w:rPr>
        <w:t>379</w:t>
      </w:r>
      <w:r w:rsidRPr="00FA2C24">
        <w:rPr>
          <w:rFonts w:ascii="Calibri" w:cs="Calibri"/>
          <w:sz w:val="20"/>
          <w:szCs w:val="20"/>
          <w:lang w:val="en-GB"/>
        </w:rPr>
        <w:t>:341–351. doi: 10.1056/NEJMoa1805131</w:t>
      </w:r>
    </w:p>
    <w:p w14:paraId="1A806833"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4. </w:t>
      </w:r>
      <w:r w:rsidRPr="00FA2C24">
        <w:rPr>
          <w:rFonts w:ascii="Calibri" w:cs="Calibri"/>
          <w:sz w:val="20"/>
          <w:szCs w:val="20"/>
          <w:lang w:val="en-GB"/>
        </w:rPr>
        <w:tab/>
        <w:t xml:space="preserve">Wu Y-L, Cheng Y, Zhou X, Lee KH, Nakagawa K, Niho S, Tsuji F, Linke R, Rosell R, Corral J, et al. Dacomitinib versus gefitinib as first-line treatment for patients with EGFR-mutation-positive non-small-cell lung cancer (ARCHER 1050): a randomised,  open-label, phase 3 trial. </w:t>
      </w:r>
      <w:r w:rsidRPr="00FA2C24">
        <w:rPr>
          <w:rFonts w:ascii="Calibri" w:cs="Calibri"/>
          <w:i/>
          <w:iCs/>
          <w:sz w:val="20"/>
          <w:szCs w:val="20"/>
          <w:lang w:val="en-GB"/>
        </w:rPr>
        <w:t>Lancet Oncol</w:t>
      </w:r>
      <w:r w:rsidRPr="00FA2C24">
        <w:rPr>
          <w:rFonts w:ascii="Calibri" w:cs="Calibri"/>
          <w:sz w:val="20"/>
          <w:szCs w:val="20"/>
          <w:lang w:val="en-GB"/>
        </w:rPr>
        <w:t xml:space="preserve"> (2017) </w:t>
      </w:r>
      <w:r w:rsidRPr="00FA2C24">
        <w:rPr>
          <w:rFonts w:ascii="Calibri" w:cs="Calibri"/>
          <w:b/>
          <w:bCs/>
          <w:sz w:val="20"/>
          <w:szCs w:val="20"/>
          <w:lang w:val="en-GB"/>
        </w:rPr>
        <w:t>18</w:t>
      </w:r>
      <w:r w:rsidRPr="00FA2C24">
        <w:rPr>
          <w:rFonts w:ascii="Calibri" w:cs="Calibri"/>
          <w:sz w:val="20"/>
          <w:szCs w:val="20"/>
          <w:lang w:val="en-GB"/>
        </w:rPr>
        <w:t>:1454–1466. doi: 10.1016/S1470-2045(17)30608-3</w:t>
      </w:r>
    </w:p>
    <w:p w14:paraId="4B2A2FAA"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5. </w:t>
      </w:r>
      <w:r w:rsidRPr="00FA2C24">
        <w:rPr>
          <w:rFonts w:ascii="Calibri" w:cs="Calibri"/>
          <w:sz w:val="20"/>
          <w:szCs w:val="20"/>
          <w:lang w:val="en-GB"/>
        </w:rPr>
        <w:tab/>
        <w:t xml:space="preserve">Hong DS, DuBois SG, Kummar S, Farago AF, Albert CM, Rohrberg KS, van Tilburg CM, Nagasubramanian R, Berlin JD, Federman N, et al. Larotrectinib in patients with TRK fusion-positive solid tumours: a pooled analysis  of three phase 1/2 clinical trials.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:531–540. doi: 10.1016/S1470-2045(19)30856-3</w:t>
      </w:r>
    </w:p>
    <w:p w14:paraId="2C735D02"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6. </w:t>
      </w:r>
      <w:r w:rsidRPr="00FA2C24">
        <w:rPr>
          <w:rFonts w:ascii="Calibri" w:cs="Calibri"/>
          <w:sz w:val="20"/>
          <w:szCs w:val="20"/>
          <w:lang w:val="en-GB"/>
        </w:rPr>
        <w:tab/>
        <w:t xml:space="preserve">Solomon BJ, Besse B, Bauer TM, Felip E, Soo RA, Camidge DR, Chiari R, Bearz A, Lin C-C, Gadgeel SM, et al. Lorlatinib in patients with ALK-positive non-small-cell lung cancer: results from a  global phase 2 study. </w:t>
      </w:r>
      <w:r w:rsidRPr="00FA2C24">
        <w:rPr>
          <w:rFonts w:ascii="Calibri" w:cs="Calibri"/>
          <w:i/>
          <w:iCs/>
          <w:sz w:val="20"/>
          <w:szCs w:val="20"/>
          <w:lang w:val="en-GB"/>
        </w:rPr>
        <w:t>Lancet Oncol</w:t>
      </w:r>
      <w:r w:rsidRPr="00FA2C24">
        <w:rPr>
          <w:rFonts w:ascii="Calibri" w:cs="Calibri"/>
          <w:sz w:val="20"/>
          <w:szCs w:val="20"/>
          <w:lang w:val="en-GB"/>
        </w:rPr>
        <w:t xml:space="preserve"> (2018) </w:t>
      </w:r>
      <w:r w:rsidRPr="00FA2C24">
        <w:rPr>
          <w:rFonts w:ascii="Calibri" w:cs="Calibri"/>
          <w:b/>
          <w:bCs/>
          <w:sz w:val="20"/>
          <w:szCs w:val="20"/>
          <w:lang w:val="en-GB"/>
        </w:rPr>
        <w:t>19</w:t>
      </w:r>
      <w:r w:rsidRPr="00FA2C24">
        <w:rPr>
          <w:rFonts w:ascii="Calibri" w:cs="Calibri"/>
          <w:sz w:val="20"/>
          <w:szCs w:val="20"/>
          <w:lang w:val="en-GB"/>
        </w:rPr>
        <w:t>:1654–1667. doi: 10.1016/S1470-2045(18)30649-1</w:t>
      </w:r>
    </w:p>
    <w:p w14:paraId="60C3DDCE"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7. </w:t>
      </w:r>
      <w:r w:rsidRPr="00FA2C24">
        <w:rPr>
          <w:rFonts w:ascii="Calibri" w:cs="Calibri"/>
          <w:sz w:val="20"/>
          <w:szCs w:val="20"/>
          <w:lang w:val="en-GB"/>
        </w:rPr>
        <w:tab/>
        <w:t xml:space="preserve">Strosberg J, El-Haddad G, Wolin E, Hendifar A, Yao J, Chasen B, Mittra E, Kunz PL, Kulke MH, Jacene H, et al. Phase 3 Trial of 177Lu-Dotatate for Midgut Neuroendocrine Tumors. </w:t>
      </w:r>
      <w:r w:rsidRPr="00FA2C24">
        <w:rPr>
          <w:rFonts w:ascii="Calibri" w:cs="Calibri"/>
          <w:i/>
          <w:iCs/>
          <w:sz w:val="20"/>
          <w:szCs w:val="20"/>
          <w:lang w:val="en-GB"/>
        </w:rPr>
        <w:t>N Engl J Med</w:t>
      </w:r>
      <w:r w:rsidRPr="00FA2C24">
        <w:rPr>
          <w:rFonts w:ascii="Calibri" w:cs="Calibri"/>
          <w:sz w:val="20"/>
          <w:szCs w:val="20"/>
          <w:lang w:val="en-GB"/>
        </w:rPr>
        <w:t xml:space="preserve"> (2017) </w:t>
      </w:r>
      <w:r w:rsidRPr="00FA2C24">
        <w:rPr>
          <w:rFonts w:ascii="Calibri" w:cs="Calibri"/>
          <w:b/>
          <w:bCs/>
          <w:sz w:val="20"/>
          <w:szCs w:val="20"/>
          <w:lang w:val="en-GB"/>
        </w:rPr>
        <w:t>376</w:t>
      </w:r>
      <w:r w:rsidRPr="00FA2C24">
        <w:rPr>
          <w:rFonts w:ascii="Calibri" w:cs="Calibri"/>
          <w:sz w:val="20"/>
          <w:szCs w:val="20"/>
          <w:lang w:val="en-GB"/>
        </w:rPr>
        <w:t>:125–135. doi: 10.1056/NEJMoa1607427</w:t>
      </w:r>
    </w:p>
    <w:p w14:paraId="55211DFF"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8. </w:t>
      </w:r>
      <w:r w:rsidRPr="00FA2C24">
        <w:rPr>
          <w:rFonts w:ascii="Calibri" w:cs="Calibri"/>
          <w:sz w:val="20"/>
          <w:szCs w:val="20"/>
          <w:lang w:val="en-GB"/>
        </w:rPr>
        <w:tab/>
        <w:t xml:space="preserve">Litton JK, Rugo HS, Ettl J, Hurvitz SA, Gonçalves A, Lee K-H, Fehrenbacher L, Yerushalmi R, Mina LA, Martin M, et al. Talazoparib in Patients with Advanced Breast Cancer and a Germline BRCA Mutation. </w:t>
      </w:r>
      <w:r w:rsidRPr="00FA2C24">
        <w:rPr>
          <w:rFonts w:ascii="Calibri" w:cs="Calibri"/>
          <w:i/>
          <w:iCs/>
          <w:sz w:val="20"/>
          <w:szCs w:val="20"/>
          <w:lang w:val="en-GB"/>
        </w:rPr>
        <w:t>N Engl J Med</w:t>
      </w:r>
      <w:r w:rsidRPr="00FA2C24">
        <w:rPr>
          <w:rFonts w:ascii="Calibri" w:cs="Calibri"/>
          <w:sz w:val="20"/>
          <w:szCs w:val="20"/>
          <w:lang w:val="en-GB"/>
        </w:rPr>
        <w:t xml:space="preserve"> (2018) </w:t>
      </w:r>
      <w:r w:rsidRPr="00FA2C24">
        <w:rPr>
          <w:rFonts w:ascii="Calibri" w:cs="Calibri"/>
          <w:b/>
          <w:bCs/>
          <w:sz w:val="20"/>
          <w:szCs w:val="20"/>
          <w:lang w:val="en-GB"/>
        </w:rPr>
        <w:t>379</w:t>
      </w:r>
      <w:r w:rsidRPr="00FA2C24">
        <w:rPr>
          <w:rFonts w:ascii="Calibri" w:cs="Calibri"/>
          <w:sz w:val="20"/>
          <w:szCs w:val="20"/>
          <w:lang w:val="en-GB"/>
        </w:rPr>
        <w:t>:753–763. doi: 10.1056/NEJMoa1802905</w:t>
      </w:r>
    </w:p>
    <w:p w14:paraId="7288AAA2"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9. </w:t>
      </w:r>
      <w:r w:rsidRPr="00FA2C24">
        <w:rPr>
          <w:rFonts w:ascii="Calibri" w:cs="Calibri"/>
          <w:sz w:val="20"/>
          <w:szCs w:val="20"/>
          <w:lang w:val="en-GB"/>
        </w:rPr>
        <w:tab/>
        <w:t xml:space="preserve">Modi S, Saura C, Yamashita T, Park YH, Kim S-B, Tamura K, Andre F, Iwata H, Ito Y, Tsurutani J, et al. Trastuzumab Deruxtecan in Previously Treated HER2-Positive Breast Cancer.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382</w:t>
      </w:r>
      <w:r w:rsidRPr="00FA2C24">
        <w:rPr>
          <w:rFonts w:ascii="Calibri" w:cs="Calibri"/>
          <w:sz w:val="20"/>
          <w:szCs w:val="20"/>
          <w:lang w:val="en-GB"/>
        </w:rPr>
        <w:t>:610–621. doi: 10.1056/NEJMoa1914510</w:t>
      </w:r>
    </w:p>
    <w:p w14:paraId="0006F161"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10. </w:t>
      </w:r>
      <w:r w:rsidRPr="00FA2C24">
        <w:rPr>
          <w:rFonts w:ascii="Calibri" w:cs="Calibri"/>
          <w:sz w:val="20"/>
          <w:szCs w:val="20"/>
          <w:lang w:val="en-GB"/>
        </w:rPr>
        <w:tab/>
        <w:t xml:space="preserve">André F, Ciruelos E, Rubovszky G, Campone M, Loibl S, Rugo HS, Iwata H, Conte P, Mayer IA, Kaufman B, et al. Alpelisib for PIK3CA-Mutated, Hormone Receptor-Positive Advanced Breast Cancer. </w:t>
      </w:r>
      <w:r w:rsidRPr="00FA2C24">
        <w:rPr>
          <w:rFonts w:ascii="Calibri" w:cs="Calibri"/>
          <w:i/>
          <w:iCs/>
          <w:sz w:val="20"/>
          <w:szCs w:val="20"/>
          <w:lang w:val="en-GB"/>
        </w:rPr>
        <w:t>N Engl J Med</w:t>
      </w:r>
      <w:r w:rsidRPr="00FA2C24">
        <w:rPr>
          <w:rFonts w:ascii="Calibri" w:cs="Calibri"/>
          <w:sz w:val="20"/>
          <w:szCs w:val="20"/>
          <w:lang w:val="en-GB"/>
        </w:rPr>
        <w:t xml:space="preserve"> (2019) </w:t>
      </w:r>
      <w:r w:rsidRPr="00FA2C24">
        <w:rPr>
          <w:rFonts w:ascii="Calibri" w:cs="Calibri"/>
          <w:b/>
          <w:bCs/>
          <w:sz w:val="20"/>
          <w:szCs w:val="20"/>
          <w:lang w:val="en-GB"/>
        </w:rPr>
        <w:t>380</w:t>
      </w:r>
      <w:r w:rsidRPr="00FA2C24">
        <w:rPr>
          <w:rFonts w:ascii="Calibri" w:cs="Calibri"/>
          <w:sz w:val="20"/>
          <w:szCs w:val="20"/>
          <w:lang w:val="en-GB"/>
        </w:rPr>
        <w:t>:1929–1940. doi: 10.1056/NEJMoa1813904</w:t>
      </w:r>
    </w:p>
    <w:p w14:paraId="2566D8B4"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11. </w:t>
      </w:r>
      <w:r w:rsidRPr="00FA2C24">
        <w:rPr>
          <w:rFonts w:ascii="Calibri" w:cs="Calibri"/>
          <w:sz w:val="20"/>
          <w:szCs w:val="20"/>
          <w:lang w:val="en-GB"/>
        </w:rPr>
        <w:tab/>
        <w:t xml:space="preserve">Fizazi K, Shore N, Tammela TL, Ulys A, Vjaters E, Polyakov S, Jievaltas M, Luz M, Alekseev B, Kuss I, et al. Darolutamide in Nonmetastatic, Castration-Resistant Prostate Cancer. </w:t>
      </w:r>
      <w:r w:rsidRPr="00FA2C24">
        <w:rPr>
          <w:rFonts w:ascii="Calibri" w:cs="Calibri"/>
          <w:i/>
          <w:iCs/>
          <w:sz w:val="20"/>
          <w:szCs w:val="20"/>
          <w:lang w:val="en-GB"/>
        </w:rPr>
        <w:t>N Engl J Med</w:t>
      </w:r>
      <w:r w:rsidRPr="00FA2C24">
        <w:rPr>
          <w:rFonts w:ascii="Calibri" w:cs="Calibri"/>
          <w:sz w:val="20"/>
          <w:szCs w:val="20"/>
          <w:lang w:val="en-GB"/>
        </w:rPr>
        <w:t xml:space="preserve"> (2019) </w:t>
      </w:r>
      <w:r w:rsidRPr="00FA2C24">
        <w:rPr>
          <w:rFonts w:ascii="Calibri" w:cs="Calibri"/>
          <w:b/>
          <w:bCs/>
          <w:sz w:val="20"/>
          <w:szCs w:val="20"/>
          <w:lang w:val="en-GB"/>
        </w:rPr>
        <w:t>380</w:t>
      </w:r>
      <w:r w:rsidRPr="00FA2C24">
        <w:rPr>
          <w:rFonts w:ascii="Calibri" w:cs="Calibri"/>
          <w:sz w:val="20"/>
          <w:szCs w:val="20"/>
          <w:lang w:val="en-GB"/>
        </w:rPr>
        <w:t>:1235–1246. doi: 10.1056/NEJMoa1815671</w:t>
      </w:r>
    </w:p>
    <w:p w14:paraId="75942949"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12. </w:t>
      </w:r>
      <w:r w:rsidRPr="00FA2C24">
        <w:rPr>
          <w:rFonts w:ascii="Calibri" w:cs="Calibri"/>
          <w:sz w:val="20"/>
          <w:szCs w:val="20"/>
          <w:lang w:val="en-GB"/>
        </w:rPr>
        <w:tab/>
        <w:t xml:space="preserve">Rosenberg JE, O’Donnell PH, Balar AV, McGregor BA, Heath EI, Yu EY, Galsky MD, Hahn NM, Gartner EM, Pinelli JM, et al. Pivotal Trial of Enfortumab Vedotin in Urothelial Carcinoma After Platinum and  Anti-Programmed Death 1/Programmed Death Ligand 1 Therapy. </w:t>
      </w:r>
      <w:r w:rsidRPr="00FA2C24">
        <w:rPr>
          <w:rFonts w:ascii="Calibri" w:cs="Calibri"/>
          <w:i/>
          <w:iCs/>
          <w:sz w:val="20"/>
          <w:szCs w:val="20"/>
          <w:lang w:val="en-GB"/>
        </w:rPr>
        <w:t>J Clin Oncol</w:t>
      </w:r>
      <w:r w:rsidRPr="00FA2C24">
        <w:rPr>
          <w:rFonts w:ascii="Calibri" w:cs="Calibri"/>
          <w:sz w:val="20"/>
          <w:szCs w:val="20"/>
          <w:lang w:val="en-GB"/>
        </w:rPr>
        <w:t xml:space="preserve"> (2019) </w:t>
      </w:r>
      <w:r w:rsidRPr="00FA2C24">
        <w:rPr>
          <w:rFonts w:ascii="Calibri" w:cs="Calibri"/>
          <w:b/>
          <w:bCs/>
          <w:sz w:val="20"/>
          <w:szCs w:val="20"/>
          <w:lang w:val="en-GB"/>
        </w:rPr>
        <w:t>37</w:t>
      </w:r>
      <w:r w:rsidRPr="00FA2C24">
        <w:rPr>
          <w:rFonts w:ascii="Calibri" w:cs="Calibri"/>
          <w:sz w:val="20"/>
          <w:szCs w:val="20"/>
          <w:lang w:val="en-GB"/>
        </w:rPr>
        <w:t>:2592–2600. doi: 10.1200/JCO.19.01140</w:t>
      </w:r>
    </w:p>
    <w:p w14:paraId="5000D054"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13. </w:t>
      </w:r>
      <w:r w:rsidRPr="00FA2C24">
        <w:rPr>
          <w:rFonts w:ascii="Calibri" w:cs="Calibri"/>
          <w:sz w:val="20"/>
          <w:szCs w:val="20"/>
          <w:lang w:val="en-GB"/>
        </w:rPr>
        <w:tab/>
        <w:t xml:space="preserve">Drilon A, Siena S, Dziadziuszko R, Barlesi F, Krebs MG, Shaw AT, de Braud F, Rolfo C, Ahn M-J, Wolf J, et al. Entrectinib in ROS1 fusion-positive non-small-cell lung cancer: integrated analysis of three phase 1-2 trials.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:261–270. doi: 10.1016/S1470-2045(19)30690-4</w:t>
      </w:r>
    </w:p>
    <w:p w14:paraId="4A44F544"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lastRenderedPageBreak/>
        <w:t xml:space="preserve">14. </w:t>
      </w:r>
      <w:r w:rsidRPr="00FA2C24">
        <w:rPr>
          <w:rFonts w:ascii="Calibri" w:cs="Calibri"/>
          <w:sz w:val="20"/>
          <w:szCs w:val="20"/>
          <w:lang w:val="en-GB"/>
        </w:rPr>
        <w:tab/>
        <w:t xml:space="preserve">Doebele RC, Drilon A, Paz-Ares L, Siena S, Shaw AT, Farago AF, Blakely CM, Seto T, Cho BC, Tosi D, et al. Entrectinib in patients with advanced or metastatic NTRK fusion-positive solid tumours: integrated analysis of three phase 1-2 trials.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:271–282. doi: 10.1016/S1470-2045(19)30691-6</w:t>
      </w:r>
    </w:p>
    <w:p w14:paraId="528207DF"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15. </w:t>
      </w:r>
      <w:r w:rsidRPr="00FA2C24">
        <w:rPr>
          <w:rFonts w:ascii="Calibri" w:cs="Calibri"/>
          <w:sz w:val="20"/>
          <w:szCs w:val="20"/>
          <w:lang w:val="en-GB"/>
        </w:rPr>
        <w:tab/>
        <w:t xml:space="preserve">Loriot Y, Necchi A, Park SH, Garcia-Donas J, Huddart R, Burgess E, Fleming M, Rezazadeh A, Mellado B, Varlamov S, et al. Erdafitinib in Locally Advanced or Metastatic Urothelial Carcinoma. </w:t>
      </w:r>
      <w:r w:rsidRPr="00FA2C24">
        <w:rPr>
          <w:rFonts w:ascii="Calibri" w:cs="Calibri"/>
          <w:i/>
          <w:iCs/>
          <w:sz w:val="20"/>
          <w:szCs w:val="20"/>
          <w:lang w:val="en-GB"/>
        </w:rPr>
        <w:t>N Engl J Med</w:t>
      </w:r>
      <w:r w:rsidRPr="00FA2C24">
        <w:rPr>
          <w:rFonts w:ascii="Calibri" w:cs="Calibri"/>
          <w:sz w:val="20"/>
          <w:szCs w:val="20"/>
          <w:lang w:val="en-GB"/>
        </w:rPr>
        <w:t xml:space="preserve"> (2019) </w:t>
      </w:r>
      <w:r w:rsidRPr="00FA2C24">
        <w:rPr>
          <w:rFonts w:ascii="Calibri" w:cs="Calibri"/>
          <w:b/>
          <w:bCs/>
          <w:sz w:val="20"/>
          <w:szCs w:val="20"/>
          <w:lang w:val="en-GB"/>
        </w:rPr>
        <w:t>381</w:t>
      </w:r>
      <w:r w:rsidRPr="00FA2C24">
        <w:rPr>
          <w:rFonts w:ascii="Calibri" w:cs="Calibri"/>
          <w:sz w:val="20"/>
          <w:szCs w:val="20"/>
          <w:lang w:val="en-GB"/>
        </w:rPr>
        <w:t>:338–348. doi: 10.1056/NEJMoa1817323</w:t>
      </w:r>
    </w:p>
    <w:p w14:paraId="6174CB81"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16. </w:t>
      </w:r>
      <w:r w:rsidRPr="00FA2C24">
        <w:rPr>
          <w:rFonts w:ascii="Calibri" w:cs="Calibri"/>
          <w:sz w:val="20"/>
          <w:szCs w:val="20"/>
          <w:lang w:val="en-GB"/>
        </w:rPr>
        <w:tab/>
        <w:t xml:space="preserve">Tap WD, Gelderblom H, Palmerini E, Desai J, Bauer S, Blay J-Y, Alcindor T, Ganjoo K, Martín-Broto J, Ryan CW, et al. Pexidartinib versus placebo for advanced tenosynovial giant cell tumour (ENLIVEN): a  randomised phase 3 trial. </w:t>
      </w:r>
      <w:r w:rsidRPr="00FA2C24">
        <w:rPr>
          <w:rFonts w:ascii="Calibri" w:cs="Calibri"/>
          <w:i/>
          <w:iCs/>
          <w:sz w:val="20"/>
          <w:szCs w:val="20"/>
          <w:lang w:val="en-GB"/>
        </w:rPr>
        <w:t>Lancet</w:t>
      </w:r>
      <w:r w:rsidRPr="00FA2C24">
        <w:rPr>
          <w:rFonts w:ascii="Calibri" w:cs="Calibri"/>
          <w:sz w:val="20"/>
          <w:szCs w:val="20"/>
          <w:lang w:val="en-GB"/>
        </w:rPr>
        <w:t xml:space="preserve"> (2019) </w:t>
      </w:r>
      <w:r w:rsidRPr="00FA2C24">
        <w:rPr>
          <w:rFonts w:ascii="Calibri" w:cs="Calibri"/>
          <w:b/>
          <w:bCs/>
          <w:sz w:val="20"/>
          <w:szCs w:val="20"/>
          <w:lang w:val="en-GB"/>
        </w:rPr>
        <w:t>394</w:t>
      </w:r>
      <w:r w:rsidRPr="00FA2C24">
        <w:rPr>
          <w:rFonts w:ascii="Calibri" w:cs="Calibri"/>
          <w:sz w:val="20"/>
          <w:szCs w:val="20"/>
          <w:lang w:val="en-GB"/>
        </w:rPr>
        <w:t>:478–487. doi: 10.1016/S0140-6736(19)30764-0</w:t>
      </w:r>
    </w:p>
    <w:p w14:paraId="58AFF75E"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17. </w:t>
      </w:r>
      <w:r w:rsidRPr="00FA2C24">
        <w:rPr>
          <w:rFonts w:ascii="Calibri" w:cs="Calibri"/>
          <w:sz w:val="20"/>
          <w:szCs w:val="20"/>
          <w:lang w:val="en-GB"/>
        </w:rPr>
        <w:tab/>
        <w:t xml:space="preserve">Song Y, Zhou K, Zou D, Zhou J, Hu J, Yang H, Zhang H, Ji J, Xu W, Jin J, et al. Treatment of Patients with Relapsed or Refractory Mantle-Cell Lymphoma with Zanubrutinib, a Selective Inhibitor of Bruton’s Tyrosine Kinase. </w:t>
      </w:r>
      <w:r w:rsidRPr="00FA2C24">
        <w:rPr>
          <w:rFonts w:ascii="Calibri" w:cs="Calibri"/>
          <w:i/>
          <w:iCs/>
          <w:sz w:val="20"/>
          <w:szCs w:val="20"/>
          <w:lang w:val="en-GB"/>
        </w:rPr>
        <w:t>Clin Cancer Res</w:t>
      </w:r>
      <w:r w:rsidRPr="00FA2C24">
        <w:rPr>
          <w:rFonts w:ascii="Calibri" w:cs="Calibri"/>
          <w:sz w:val="20"/>
          <w:szCs w:val="20"/>
          <w:lang w:val="en-GB"/>
        </w:rPr>
        <w:t xml:space="preserve"> (2020) </w:t>
      </w:r>
      <w:r w:rsidRPr="00FA2C24">
        <w:rPr>
          <w:rFonts w:ascii="Calibri" w:cs="Calibri"/>
          <w:b/>
          <w:bCs/>
          <w:sz w:val="20"/>
          <w:szCs w:val="20"/>
          <w:lang w:val="en-GB"/>
        </w:rPr>
        <w:t>26</w:t>
      </w:r>
      <w:r w:rsidRPr="00FA2C24">
        <w:rPr>
          <w:rFonts w:ascii="Calibri" w:cs="Calibri"/>
          <w:sz w:val="20"/>
          <w:szCs w:val="20"/>
          <w:lang w:val="en-GB"/>
        </w:rPr>
        <w:t>:4216–4224. doi: 10.1158/1078-0432.CCR-19-3703</w:t>
      </w:r>
    </w:p>
    <w:p w14:paraId="71B1B360"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18. </w:t>
      </w:r>
      <w:r w:rsidRPr="00FA2C24">
        <w:rPr>
          <w:rFonts w:ascii="Calibri" w:cs="Calibri"/>
          <w:sz w:val="20"/>
          <w:szCs w:val="20"/>
          <w:lang w:val="en-GB"/>
        </w:rPr>
        <w:tab/>
        <w:t xml:space="preserve">Heinrich MC, Jones RL, von Mehren M, Schöffski P, Serrano C, Kang Y-K, Cassier PA, Mir O, Eskens F, Tap WD, et al. Avapritinib in advanced PDGFRA D842V-mutant gastrointestinal stromal tumour  (NAVIGATOR): a multicentre, open-label, phase 1 trial.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:935–946. doi: 10.1016/S1470-2045(20)30269-2</w:t>
      </w:r>
    </w:p>
    <w:p w14:paraId="493B6F19"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19. </w:t>
      </w:r>
      <w:r w:rsidRPr="00FA2C24">
        <w:rPr>
          <w:rFonts w:ascii="Calibri" w:cs="Calibri"/>
          <w:sz w:val="20"/>
          <w:szCs w:val="20"/>
          <w:lang w:val="en-GB"/>
        </w:rPr>
        <w:tab/>
        <w:t xml:space="preserve">Wolf J, Seto T, Han J-Y, Reguart N, Garon EB, Groen HJM, Tan DSW, Hida T, de Jonge M, Orlov SV, et al. Capmatinib in MET Exon 14-Mutated or MET-Amplified Non-Small-Cell Lung Cancer.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383</w:t>
      </w:r>
      <w:r w:rsidRPr="00FA2C24">
        <w:rPr>
          <w:rFonts w:ascii="Calibri" w:cs="Calibri"/>
          <w:sz w:val="20"/>
          <w:szCs w:val="20"/>
          <w:lang w:val="en-GB"/>
        </w:rPr>
        <w:t>:944–957. doi: 10.1056/NEJMoa2002787</w:t>
      </w:r>
    </w:p>
    <w:p w14:paraId="0821EA6D"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20. </w:t>
      </w:r>
      <w:r w:rsidRPr="00FA2C24">
        <w:rPr>
          <w:rFonts w:ascii="Calibri" w:cs="Calibri"/>
          <w:sz w:val="20"/>
          <w:szCs w:val="20"/>
          <w:lang w:val="en-GB"/>
        </w:rPr>
        <w:tab/>
        <w:t xml:space="preserve">Trigo J, Subbiah V, Besse B, Moreno V, López R, Sala MA, Peters S, Ponce S, Fernández C, Alfaro V, et al. Lurbinectedin as second-line treatment for patients with small-cell lung cancer: a  single-arm, open-label, phase 2 basket trial.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:645–654. doi: 10.1016/S1470-2045(20)30068-1</w:t>
      </w:r>
    </w:p>
    <w:p w14:paraId="182B10FF"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21. </w:t>
      </w:r>
      <w:r w:rsidRPr="00FA2C24">
        <w:rPr>
          <w:rFonts w:ascii="Calibri" w:cs="Calibri"/>
          <w:sz w:val="20"/>
          <w:szCs w:val="20"/>
          <w:lang w:val="en-GB"/>
        </w:rPr>
        <w:tab/>
        <w:t xml:space="preserve">Rugo HS, Im S-A, Cardoso F, Cortés J, Curigliano G, Musolino A, Pegram MD, Wright GS, Saura C, Escrivá-de-Romaní S, et al. Efficacy of Margetuximab vs Trastuzumab in Patients With Pretreated ERBB2-Positive Advanced Breast Cancer: A Phase 3 Randomized Clinical Trial. </w:t>
      </w:r>
      <w:r w:rsidRPr="00FA2C24">
        <w:rPr>
          <w:rFonts w:ascii="Calibri" w:cs="Calibri"/>
          <w:i/>
          <w:iCs/>
          <w:sz w:val="20"/>
          <w:szCs w:val="20"/>
          <w:lang w:val="en-GB"/>
        </w:rPr>
        <w:t>JAMA Oncol</w:t>
      </w:r>
      <w:r w:rsidRPr="00FA2C24">
        <w:rPr>
          <w:rFonts w:ascii="Calibri" w:cs="Calibri"/>
          <w:sz w:val="20"/>
          <w:szCs w:val="20"/>
          <w:lang w:val="en-GB"/>
        </w:rPr>
        <w:t xml:space="preserve"> (2021) </w:t>
      </w:r>
      <w:r w:rsidRPr="00FA2C24">
        <w:rPr>
          <w:rFonts w:ascii="Calibri" w:cs="Calibri"/>
          <w:b/>
          <w:bCs/>
          <w:sz w:val="20"/>
          <w:szCs w:val="20"/>
          <w:lang w:val="en-GB"/>
        </w:rPr>
        <w:t>7</w:t>
      </w:r>
      <w:r w:rsidRPr="00FA2C24">
        <w:rPr>
          <w:rFonts w:ascii="Calibri" w:cs="Calibri"/>
          <w:sz w:val="20"/>
          <w:szCs w:val="20"/>
          <w:lang w:val="en-GB"/>
        </w:rPr>
        <w:t>:573–584. doi: 10.1001/jamaoncol.2020.7932</w:t>
      </w:r>
    </w:p>
    <w:p w14:paraId="4737BF5B"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22. </w:t>
      </w:r>
      <w:r w:rsidRPr="00FA2C24">
        <w:rPr>
          <w:rFonts w:ascii="Calibri" w:cs="Calibri"/>
          <w:sz w:val="20"/>
          <w:szCs w:val="20"/>
          <w:lang w:val="en-GB"/>
        </w:rPr>
        <w:tab/>
        <w:t xml:space="preserve">Abou-Alfa GK, Sahai V, Hollebecque A, Vaccaro G, Melisi D, Al-Rajabi R, Paulson AS, Borad MJ, Gallinson D, Murphy AG, et al. Pemigatinib for previously treated, locally advanced or metastatic  cholangiocarcinoma: a multicentre, open-label, phase 2 study.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:671–684. doi: 10.1016/S1470-2045(20)30109-1</w:t>
      </w:r>
    </w:p>
    <w:p w14:paraId="40B4F328" w14:textId="78DD4DBE"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23. </w:t>
      </w:r>
      <w:r w:rsidRPr="00FA2C24">
        <w:rPr>
          <w:rFonts w:ascii="Calibri" w:cs="Calibri"/>
          <w:sz w:val="20"/>
          <w:szCs w:val="20"/>
          <w:lang w:val="en-GB"/>
        </w:rPr>
        <w:tab/>
        <w:t xml:space="preserve">Gainor JF, Curigliano G, Kim D-W, Lee DH, Besse B, Baik CS, Doebele RC, Cassier PA, Lopes G, Tan DSW, et al. Pralsetinib for RET fusion-positive non-small-cell lung cancer (ARROW): a multi-cohort, open-label, phase 1/2 study. </w:t>
      </w:r>
      <w:r w:rsidRPr="00FA2C24">
        <w:rPr>
          <w:rFonts w:ascii="Calibri" w:cs="Calibri"/>
          <w:i/>
          <w:iCs/>
          <w:sz w:val="20"/>
          <w:szCs w:val="20"/>
          <w:lang w:val="en-GB"/>
        </w:rPr>
        <w:t>Lancet Oncol</w:t>
      </w:r>
      <w:r w:rsidRPr="00FA2C24">
        <w:rPr>
          <w:rFonts w:ascii="Calibri" w:cs="Calibri"/>
          <w:sz w:val="20"/>
          <w:szCs w:val="20"/>
          <w:lang w:val="en-GB"/>
        </w:rPr>
        <w:t xml:space="preserve"> (2021) </w:t>
      </w:r>
      <w:r w:rsidR="00C67983" w:rsidRPr="00FA2C24">
        <w:rPr>
          <w:rFonts w:ascii="Calibri" w:cs="Calibri"/>
          <w:b/>
          <w:bCs/>
          <w:sz w:val="20"/>
          <w:szCs w:val="20"/>
          <w:lang w:val="en-GB"/>
        </w:rPr>
        <w:t>22</w:t>
      </w:r>
      <w:r w:rsidR="00C67983" w:rsidRPr="00FA2C24">
        <w:rPr>
          <w:rFonts w:ascii="Calibri" w:cs="Calibri"/>
          <w:sz w:val="20"/>
          <w:szCs w:val="20"/>
          <w:lang w:val="en-GB"/>
        </w:rPr>
        <w:t xml:space="preserve">:959-69. </w:t>
      </w:r>
      <w:r w:rsidRPr="00FA2C24">
        <w:rPr>
          <w:rFonts w:ascii="Calibri" w:cs="Calibri"/>
          <w:sz w:val="20"/>
          <w:szCs w:val="20"/>
          <w:lang w:val="en-GB"/>
        </w:rPr>
        <w:t>doi: 10.1016/S1470-2045(21)00247-3</w:t>
      </w:r>
    </w:p>
    <w:p w14:paraId="78E10AFD"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24. </w:t>
      </w:r>
      <w:r w:rsidRPr="00FA2C24">
        <w:rPr>
          <w:rFonts w:ascii="Calibri" w:cs="Calibri"/>
          <w:sz w:val="20"/>
          <w:szCs w:val="20"/>
          <w:lang w:val="en-GB"/>
        </w:rPr>
        <w:tab/>
        <w:t xml:space="preserve">Shore ND, Saad F, Cookson MS, George DJ, Saltzstein DR, Tutrone R, Akaza H, Bossi A, van Veenhuyzen DF, Selby B, et al. Oral Relugolix for Androgen-Deprivation Therapy in Advanced Prostate Cancer.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382</w:t>
      </w:r>
      <w:r w:rsidRPr="00FA2C24">
        <w:rPr>
          <w:rFonts w:ascii="Calibri" w:cs="Calibri"/>
          <w:sz w:val="20"/>
          <w:szCs w:val="20"/>
          <w:lang w:val="en-GB"/>
        </w:rPr>
        <w:t>:2187–2196. doi: 10.1056/NEJMoa2004325</w:t>
      </w:r>
    </w:p>
    <w:p w14:paraId="6C6F745C"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25. </w:t>
      </w:r>
      <w:r w:rsidRPr="00FA2C24">
        <w:rPr>
          <w:rFonts w:ascii="Calibri" w:cs="Calibri"/>
          <w:sz w:val="20"/>
          <w:szCs w:val="20"/>
          <w:lang w:val="en-GB"/>
        </w:rPr>
        <w:tab/>
        <w:t xml:space="preserve">Blay J-Y, Serrano C, Heinrich MC, Zalcberg J, Bauer S, Gelderblom H, Schöffski P, Jones RL, Attia S, D’Amato G, et al. Ripretinib in patients with advanced gastrointestinal stromal tumours (INVICTUS): a  double-blind, randomised, placebo-controlled, phase 3 trial.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:923–934. doi: 10.1016/S1470-2045(20)30168-6</w:t>
      </w:r>
    </w:p>
    <w:p w14:paraId="0ACFCF5B"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26. </w:t>
      </w:r>
      <w:r w:rsidRPr="00FA2C24">
        <w:rPr>
          <w:rFonts w:ascii="Calibri" w:cs="Calibri"/>
          <w:sz w:val="20"/>
          <w:szCs w:val="20"/>
          <w:lang w:val="en-GB"/>
        </w:rPr>
        <w:tab/>
        <w:t xml:space="preserve">Bardia A, Mayer IA, Vahdat LT, Tolaney SM, Isakoff SJ, Diamond JR, O’Shaughnessy J, Moroose RL, Santin AD, Abramson VG, et al. Sacituzumab Govitecan-hziy in Refractory Metastatic Triple-Negative Breast Cancer. </w:t>
      </w:r>
      <w:r w:rsidRPr="00FA2C24">
        <w:rPr>
          <w:rFonts w:ascii="Calibri" w:cs="Calibri"/>
          <w:i/>
          <w:iCs/>
          <w:sz w:val="20"/>
          <w:szCs w:val="20"/>
          <w:lang w:val="en-GB"/>
        </w:rPr>
        <w:t>N Engl J Med</w:t>
      </w:r>
      <w:r w:rsidRPr="00FA2C24">
        <w:rPr>
          <w:rFonts w:ascii="Calibri" w:cs="Calibri"/>
          <w:sz w:val="20"/>
          <w:szCs w:val="20"/>
          <w:lang w:val="en-GB"/>
        </w:rPr>
        <w:t xml:space="preserve"> (2019) </w:t>
      </w:r>
      <w:r w:rsidRPr="00FA2C24">
        <w:rPr>
          <w:rFonts w:ascii="Calibri" w:cs="Calibri"/>
          <w:b/>
          <w:bCs/>
          <w:sz w:val="20"/>
          <w:szCs w:val="20"/>
          <w:lang w:val="en-GB"/>
        </w:rPr>
        <w:t>380</w:t>
      </w:r>
      <w:r w:rsidRPr="00FA2C24">
        <w:rPr>
          <w:rFonts w:ascii="Calibri" w:cs="Calibri"/>
          <w:sz w:val="20"/>
          <w:szCs w:val="20"/>
          <w:lang w:val="en-GB"/>
        </w:rPr>
        <w:t>:741–751. doi: 10.1056/NEJMoa1814213</w:t>
      </w:r>
    </w:p>
    <w:p w14:paraId="6152991E"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lastRenderedPageBreak/>
        <w:t xml:space="preserve">27. </w:t>
      </w:r>
      <w:r w:rsidRPr="00FA2C24">
        <w:rPr>
          <w:rFonts w:ascii="Calibri" w:cs="Calibri"/>
          <w:sz w:val="20"/>
          <w:szCs w:val="20"/>
          <w:lang w:val="en-GB"/>
        </w:rPr>
        <w:tab/>
        <w:t xml:space="preserve">Drilon A, Oxnard GR, Tan DSW, Loong HHF, Johnson M, Gainor J, McCoach CE, Gautschi O, Besse B, Cho BC, et al. Efficacy of Selpercatinib in RET Fusion-Positive Non-Small-Cell Lung Cancer.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383</w:t>
      </w:r>
      <w:r w:rsidRPr="00FA2C24">
        <w:rPr>
          <w:rFonts w:ascii="Calibri" w:cs="Calibri"/>
          <w:sz w:val="20"/>
          <w:szCs w:val="20"/>
          <w:lang w:val="en-GB"/>
        </w:rPr>
        <w:t>:813–824. doi: 10.1056/NEJMoa2005653</w:t>
      </w:r>
    </w:p>
    <w:p w14:paraId="38C9038B"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28. </w:t>
      </w:r>
      <w:r w:rsidRPr="00FA2C24">
        <w:rPr>
          <w:rFonts w:ascii="Calibri" w:cs="Calibri"/>
          <w:sz w:val="20"/>
          <w:szCs w:val="20"/>
          <w:lang w:val="en-GB"/>
        </w:rPr>
        <w:tab/>
        <w:t xml:space="preserve">Wirth LJ, Sherman E, Robinson B, Solomon B, Kang H, Lorch J, Worden F, Brose M, Patel J, Leboulleux S, et al. Efficacy of Selpercatinib in RET-Altered Thyroid Cancers.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383</w:t>
      </w:r>
      <w:r w:rsidRPr="00FA2C24">
        <w:rPr>
          <w:rFonts w:ascii="Calibri" w:cs="Calibri"/>
          <w:sz w:val="20"/>
          <w:szCs w:val="20"/>
          <w:lang w:val="en-GB"/>
        </w:rPr>
        <w:t>:825–835. doi: 10.1056/NEJMoa2005651</w:t>
      </w:r>
    </w:p>
    <w:p w14:paraId="1299B7B4"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29. </w:t>
      </w:r>
      <w:r w:rsidRPr="00FA2C24">
        <w:rPr>
          <w:rFonts w:ascii="Calibri" w:cs="Calibri"/>
          <w:sz w:val="20"/>
          <w:szCs w:val="20"/>
          <w:lang w:val="en-GB"/>
        </w:rPr>
        <w:tab/>
        <w:t xml:space="preserve">Salles G, Duell J, González Barca E, Tournilhac O, Jurczak W, Liberati AM, Nagy Z, Obr A, Gaidano G, André M, et al. Tafasitamab plus lenalidomide in relapsed or refractory diffuse large B-cell  lymphoma (L-MIND): a multicentre, prospective, single-arm, phase 2 study.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:978–988. doi: 10.1016/S1470-2045(20)30225-4</w:t>
      </w:r>
    </w:p>
    <w:p w14:paraId="2E291D74"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30. </w:t>
      </w:r>
      <w:r w:rsidRPr="00FA2C24">
        <w:rPr>
          <w:rFonts w:ascii="Calibri" w:cs="Calibri"/>
          <w:sz w:val="20"/>
          <w:szCs w:val="20"/>
          <w:lang w:val="en-GB"/>
        </w:rPr>
        <w:tab/>
        <w:t xml:space="preserve">Gounder M, Schöffski P, Jones RL, Agulnik M, Cote GM, Villalobos VM, Attia S, Chugh R, Chen TW-W, Jahan T, et al. Tazemetostat in advanced epithelioid sarcoma with loss of INI1/SMARCB1: an international, open-label, phase 2 basket study. </w:t>
      </w:r>
      <w:r w:rsidRPr="00FA2C24">
        <w:rPr>
          <w:rFonts w:ascii="Calibri" w:cs="Calibri"/>
          <w:i/>
          <w:iCs/>
          <w:sz w:val="20"/>
          <w:szCs w:val="20"/>
          <w:lang w:val="en-GB"/>
        </w:rPr>
        <w:t>Lancet Oncol</w:t>
      </w:r>
      <w:r w:rsidRPr="00FA2C24">
        <w:rPr>
          <w:rFonts w:ascii="Calibri" w:cs="Calibri"/>
          <w:sz w:val="20"/>
          <w:szCs w:val="20"/>
          <w:lang w:val="en-GB"/>
        </w:rPr>
        <w:t xml:space="preserve"> (2020) </w:t>
      </w:r>
      <w:r w:rsidRPr="00FA2C24">
        <w:rPr>
          <w:rFonts w:ascii="Calibri" w:cs="Calibri"/>
          <w:b/>
          <w:bCs/>
          <w:sz w:val="20"/>
          <w:szCs w:val="20"/>
          <w:lang w:val="en-GB"/>
        </w:rPr>
        <w:t>21</w:t>
      </w:r>
      <w:r w:rsidRPr="00FA2C24">
        <w:rPr>
          <w:rFonts w:ascii="Calibri" w:cs="Calibri"/>
          <w:sz w:val="20"/>
          <w:szCs w:val="20"/>
          <w:lang w:val="en-GB"/>
        </w:rPr>
        <w:t>:1423–1432. doi: 10.1016/S1470-2045(20)30451-4</w:t>
      </w:r>
    </w:p>
    <w:p w14:paraId="7A5BB34B" w14:textId="77777777" w:rsidR="00913423" w:rsidRPr="00FA2C24" w:rsidRDefault="00913423" w:rsidP="00913423">
      <w:pPr>
        <w:pStyle w:val="Bibliography"/>
        <w:rPr>
          <w:rFonts w:ascii="Calibri" w:cs="Calibri"/>
          <w:sz w:val="20"/>
          <w:szCs w:val="20"/>
          <w:lang w:val="en-GB"/>
        </w:rPr>
      </w:pPr>
      <w:r w:rsidRPr="00FA2C24">
        <w:rPr>
          <w:rFonts w:ascii="Calibri" w:cs="Calibri"/>
          <w:sz w:val="20"/>
          <w:szCs w:val="20"/>
          <w:lang w:val="en-GB"/>
        </w:rPr>
        <w:t xml:space="preserve">31. </w:t>
      </w:r>
      <w:r w:rsidRPr="00FA2C24">
        <w:rPr>
          <w:rFonts w:ascii="Calibri" w:cs="Calibri"/>
          <w:sz w:val="20"/>
          <w:szCs w:val="20"/>
          <w:lang w:val="en-GB"/>
        </w:rPr>
        <w:tab/>
        <w:t xml:space="preserve">Murthy RK, Loi S, Okines A, Paplomata E, Hamilton E, Hurvitz SA, Lin NU, Borges V, Abramson V, Anders C, et al. Tucatinib, Trastuzumab, and Capecitabine for HER2-Positive Metastatic Breast Cancer. </w:t>
      </w:r>
      <w:r w:rsidRPr="00FA2C24">
        <w:rPr>
          <w:rFonts w:ascii="Calibri" w:cs="Calibri"/>
          <w:i/>
          <w:iCs/>
          <w:sz w:val="20"/>
          <w:szCs w:val="20"/>
          <w:lang w:val="en-GB"/>
        </w:rPr>
        <w:t>N Engl J Med</w:t>
      </w:r>
      <w:r w:rsidRPr="00FA2C24">
        <w:rPr>
          <w:rFonts w:ascii="Calibri" w:cs="Calibri"/>
          <w:sz w:val="20"/>
          <w:szCs w:val="20"/>
          <w:lang w:val="en-GB"/>
        </w:rPr>
        <w:t xml:space="preserve"> (2020) </w:t>
      </w:r>
      <w:r w:rsidRPr="00FA2C24">
        <w:rPr>
          <w:rFonts w:ascii="Calibri" w:cs="Calibri"/>
          <w:b/>
          <w:bCs/>
          <w:sz w:val="20"/>
          <w:szCs w:val="20"/>
          <w:lang w:val="en-GB"/>
        </w:rPr>
        <w:t>382</w:t>
      </w:r>
      <w:r w:rsidRPr="00FA2C24">
        <w:rPr>
          <w:rFonts w:ascii="Calibri" w:cs="Calibri"/>
          <w:sz w:val="20"/>
          <w:szCs w:val="20"/>
          <w:lang w:val="en-GB"/>
        </w:rPr>
        <w:t>:597–609. doi: 10.1056/NEJMoa1914609</w:t>
      </w:r>
    </w:p>
    <w:p w14:paraId="14180163" w14:textId="1F5CCD6F" w:rsidR="00913423" w:rsidRPr="009736AD" w:rsidRDefault="00913423" w:rsidP="009736AD">
      <w:pPr>
        <w:rPr>
          <w:lang w:val="en-US"/>
        </w:rPr>
      </w:pPr>
      <w:r w:rsidRPr="00FA2C24">
        <w:rPr>
          <w:sz w:val="20"/>
          <w:szCs w:val="20"/>
          <w:lang w:val="en-US"/>
        </w:rPr>
        <w:fldChar w:fldCharType="end"/>
      </w:r>
    </w:p>
    <w:sectPr w:rsidR="00913423" w:rsidRPr="009736AD" w:rsidSect="00A50D0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16F8" w14:textId="77777777" w:rsidR="00767E1F" w:rsidRDefault="00767E1F" w:rsidP="00055AE0">
      <w:r>
        <w:separator/>
      </w:r>
    </w:p>
  </w:endnote>
  <w:endnote w:type="continuationSeparator" w:id="0">
    <w:p w14:paraId="6E196427" w14:textId="77777777" w:rsidR="00767E1F" w:rsidRDefault="00767E1F" w:rsidP="0005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6790109"/>
      <w:docPartObj>
        <w:docPartGallery w:val="Page Numbers (Bottom of Page)"/>
        <w:docPartUnique/>
      </w:docPartObj>
    </w:sdtPr>
    <w:sdtEndPr>
      <w:rPr>
        <w:rStyle w:val="PageNumber"/>
      </w:rPr>
    </w:sdtEndPr>
    <w:sdtContent>
      <w:p w14:paraId="4D527763" w14:textId="6EBDCA4D" w:rsidR="00055AE0" w:rsidRDefault="00055AE0" w:rsidP="000101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DC095" w14:textId="77777777" w:rsidR="00055AE0" w:rsidRDefault="00055AE0" w:rsidP="00C11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3ACB" w14:textId="2B9FF6F5" w:rsidR="00055AE0" w:rsidRDefault="00055AE0" w:rsidP="00010135">
    <w:pPr>
      <w:pStyle w:val="Footer"/>
      <w:framePr w:wrap="none" w:vAnchor="text" w:hAnchor="margin" w:xAlign="right" w:y="1"/>
      <w:rPr>
        <w:rStyle w:val="PageNumber"/>
      </w:rPr>
    </w:pPr>
  </w:p>
  <w:p w14:paraId="31654259" w14:textId="77777777" w:rsidR="00055AE0" w:rsidRDefault="00055AE0" w:rsidP="00C117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3CAA" w14:textId="77777777" w:rsidR="00767E1F" w:rsidRDefault="00767E1F" w:rsidP="00055AE0">
      <w:r>
        <w:separator/>
      </w:r>
    </w:p>
  </w:footnote>
  <w:footnote w:type="continuationSeparator" w:id="0">
    <w:p w14:paraId="67B531D8" w14:textId="77777777" w:rsidR="00767E1F" w:rsidRDefault="00767E1F" w:rsidP="00055A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302"/>
    <w:multiLevelType w:val="hybridMultilevel"/>
    <w:tmpl w:val="2150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3F7199"/>
    <w:multiLevelType w:val="hybridMultilevel"/>
    <w:tmpl w:val="B91C0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DD60FE"/>
    <w:multiLevelType w:val="hybridMultilevel"/>
    <w:tmpl w:val="6FE8AD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1C60EBB"/>
    <w:multiLevelType w:val="hybridMultilevel"/>
    <w:tmpl w:val="91F2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A71CF1"/>
    <w:multiLevelType w:val="hybridMultilevel"/>
    <w:tmpl w:val="AE6C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AD"/>
    <w:rsid w:val="00001849"/>
    <w:rsid w:val="00003ED9"/>
    <w:rsid w:val="000070F2"/>
    <w:rsid w:val="00007658"/>
    <w:rsid w:val="00007AA6"/>
    <w:rsid w:val="00010003"/>
    <w:rsid w:val="00010135"/>
    <w:rsid w:val="00012299"/>
    <w:rsid w:val="000131AB"/>
    <w:rsid w:val="000152E7"/>
    <w:rsid w:val="000214FE"/>
    <w:rsid w:val="00022589"/>
    <w:rsid w:val="00022F4E"/>
    <w:rsid w:val="0002344B"/>
    <w:rsid w:val="00024037"/>
    <w:rsid w:val="00027441"/>
    <w:rsid w:val="00032026"/>
    <w:rsid w:val="0003223B"/>
    <w:rsid w:val="000355E3"/>
    <w:rsid w:val="00035815"/>
    <w:rsid w:val="00037E8B"/>
    <w:rsid w:val="00041361"/>
    <w:rsid w:val="00041731"/>
    <w:rsid w:val="00041A97"/>
    <w:rsid w:val="00045513"/>
    <w:rsid w:val="000458FB"/>
    <w:rsid w:val="00053FD3"/>
    <w:rsid w:val="00054F72"/>
    <w:rsid w:val="00055AE0"/>
    <w:rsid w:val="00060A7D"/>
    <w:rsid w:val="00060F4E"/>
    <w:rsid w:val="0007104F"/>
    <w:rsid w:val="00072DCD"/>
    <w:rsid w:val="000736E8"/>
    <w:rsid w:val="0007497D"/>
    <w:rsid w:val="00081664"/>
    <w:rsid w:val="0008378E"/>
    <w:rsid w:val="000845AD"/>
    <w:rsid w:val="00087E06"/>
    <w:rsid w:val="00093594"/>
    <w:rsid w:val="00094A09"/>
    <w:rsid w:val="00095DE3"/>
    <w:rsid w:val="000A03CC"/>
    <w:rsid w:val="000A0622"/>
    <w:rsid w:val="000A2B1B"/>
    <w:rsid w:val="000A58A5"/>
    <w:rsid w:val="000B00C8"/>
    <w:rsid w:val="000C11D4"/>
    <w:rsid w:val="000C1DF6"/>
    <w:rsid w:val="000C2968"/>
    <w:rsid w:val="000D04F3"/>
    <w:rsid w:val="000D0960"/>
    <w:rsid w:val="000D1854"/>
    <w:rsid w:val="000D664A"/>
    <w:rsid w:val="000D700F"/>
    <w:rsid w:val="000E123D"/>
    <w:rsid w:val="000E149C"/>
    <w:rsid w:val="000E1C5B"/>
    <w:rsid w:val="000E1E20"/>
    <w:rsid w:val="000E23E0"/>
    <w:rsid w:val="000E2FC8"/>
    <w:rsid w:val="000F04A9"/>
    <w:rsid w:val="000F1541"/>
    <w:rsid w:val="000F1F37"/>
    <w:rsid w:val="000F416D"/>
    <w:rsid w:val="000F7AB6"/>
    <w:rsid w:val="001009ED"/>
    <w:rsid w:val="00100E9E"/>
    <w:rsid w:val="00102FD1"/>
    <w:rsid w:val="001077EB"/>
    <w:rsid w:val="00110A4A"/>
    <w:rsid w:val="00113AB1"/>
    <w:rsid w:val="001146B9"/>
    <w:rsid w:val="00115595"/>
    <w:rsid w:val="00120194"/>
    <w:rsid w:val="00122285"/>
    <w:rsid w:val="00122FC3"/>
    <w:rsid w:val="00124ED5"/>
    <w:rsid w:val="00125F52"/>
    <w:rsid w:val="00126FA8"/>
    <w:rsid w:val="00127B93"/>
    <w:rsid w:val="00130F94"/>
    <w:rsid w:val="00131B89"/>
    <w:rsid w:val="00141170"/>
    <w:rsid w:val="0014139F"/>
    <w:rsid w:val="001415D5"/>
    <w:rsid w:val="00141C80"/>
    <w:rsid w:val="00144AD6"/>
    <w:rsid w:val="0014530A"/>
    <w:rsid w:val="00147C33"/>
    <w:rsid w:val="00150A5A"/>
    <w:rsid w:val="00155AA3"/>
    <w:rsid w:val="00157FC2"/>
    <w:rsid w:val="001618C2"/>
    <w:rsid w:val="00162530"/>
    <w:rsid w:val="00162C23"/>
    <w:rsid w:val="00163B91"/>
    <w:rsid w:val="0016511E"/>
    <w:rsid w:val="00172322"/>
    <w:rsid w:val="00182365"/>
    <w:rsid w:val="00185BD2"/>
    <w:rsid w:val="00187110"/>
    <w:rsid w:val="001904D4"/>
    <w:rsid w:val="0019103C"/>
    <w:rsid w:val="00192FB4"/>
    <w:rsid w:val="0019380C"/>
    <w:rsid w:val="0019465A"/>
    <w:rsid w:val="00194F45"/>
    <w:rsid w:val="00197C1F"/>
    <w:rsid w:val="001A03EA"/>
    <w:rsid w:val="001A2821"/>
    <w:rsid w:val="001A2AB5"/>
    <w:rsid w:val="001A5131"/>
    <w:rsid w:val="001A6CE6"/>
    <w:rsid w:val="001B09F0"/>
    <w:rsid w:val="001B0BD4"/>
    <w:rsid w:val="001B3FC6"/>
    <w:rsid w:val="001B54BD"/>
    <w:rsid w:val="001C02C1"/>
    <w:rsid w:val="001C6281"/>
    <w:rsid w:val="001D283A"/>
    <w:rsid w:val="001D351A"/>
    <w:rsid w:val="001D3F4A"/>
    <w:rsid w:val="001D644F"/>
    <w:rsid w:val="001E0684"/>
    <w:rsid w:val="001E2246"/>
    <w:rsid w:val="001F1AA4"/>
    <w:rsid w:val="001F24F8"/>
    <w:rsid w:val="001F4237"/>
    <w:rsid w:val="001F4F98"/>
    <w:rsid w:val="001F773A"/>
    <w:rsid w:val="001F78D9"/>
    <w:rsid w:val="00200247"/>
    <w:rsid w:val="00202417"/>
    <w:rsid w:val="00202F6D"/>
    <w:rsid w:val="00204676"/>
    <w:rsid w:val="0020474C"/>
    <w:rsid w:val="00204CD0"/>
    <w:rsid w:val="00205076"/>
    <w:rsid w:val="002051F1"/>
    <w:rsid w:val="00205668"/>
    <w:rsid w:val="00206788"/>
    <w:rsid w:val="00221ADA"/>
    <w:rsid w:val="00221E8D"/>
    <w:rsid w:val="00225B24"/>
    <w:rsid w:val="002261A5"/>
    <w:rsid w:val="002275CE"/>
    <w:rsid w:val="00230309"/>
    <w:rsid w:val="00230E38"/>
    <w:rsid w:val="002311F9"/>
    <w:rsid w:val="00231BFB"/>
    <w:rsid w:val="00233117"/>
    <w:rsid w:val="00234EBB"/>
    <w:rsid w:val="002357FF"/>
    <w:rsid w:val="0024023A"/>
    <w:rsid w:val="00240347"/>
    <w:rsid w:val="002407DA"/>
    <w:rsid w:val="00245C62"/>
    <w:rsid w:val="002478A4"/>
    <w:rsid w:val="00252CD5"/>
    <w:rsid w:val="00253176"/>
    <w:rsid w:val="00255CBF"/>
    <w:rsid w:val="00256BAC"/>
    <w:rsid w:val="00257A02"/>
    <w:rsid w:val="002602FC"/>
    <w:rsid w:val="002606DD"/>
    <w:rsid w:val="00261A09"/>
    <w:rsid w:val="00263230"/>
    <w:rsid w:val="002633A3"/>
    <w:rsid w:val="00263D70"/>
    <w:rsid w:val="00264526"/>
    <w:rsid w:val="00271A21"/>
    <w:rsid w:val="0027212A"/>
    <w:rsid w:val="00274C68"/>
    <w:rsid w:val="0027556C"/>
    <w:rsid w:val="002803B5"/>
    <w:rsid w:val="00284259"/>
    <w:rsid w:val="002842DE"/>
    <w:rsid w:val="002849B3"/>
    <w:rsid w:val="002867DB"/>
    <w:rsid w:val="00286B6C"/>
    <w:rsid w:val="00292B42"/>
    <w:rsid w:val="00293BEC"/>
    <w:rsid w:val="00294273"/>
    <w:rsid w:val="00294498"/>
    <w:rsid w:val="0029530B"/>
    <w:rsid w:val="0029613B"/>
    <w:rsid w:val="00297575"/>
    <w:rsid w:val="002A00A8"/>
    <w:rsid w:val="002A3E1B"/>
    <w:rsid w:val="002B14B9"/>
    <w:rsid w:val="002B26EE"/>
    <w:rsid w:val="002B305F"/>
    <w:rsid w:val="002B50D7"/>
    <w:rsid w:val="002B513C"/>
    <w:rsid w:val="002B6F63"/>
    <w:rsid w:val="002C1A98"/>
    <w:rsid w:val="002C3A47"/>
    <w:rsid w:val="002C71A1"/>
    <w:rsid w:val="002D448A"/>
    <w:rsid w:val="002D5543"/>
    <w:rsid w:val="002D57B3"/>
    <w:rsid w:val="002E703F"/>
    <w:rsid w:val="002E7345"/>
    <w:rsid w:val="002F5A89"/>
    <w:rsid w:val="00300F31"/>
    <w:rsid w:val="0030131C"/>
    <w:rsid w:val="00301E97"/>
    <w:rsid w:val="00306C8B"/>
    <w:rsid w:val="003107C9"/>
    <w:rsid w:val="00312E43"/>
    <w:rsid w:val="0031368B"/>
    <w:rsid w:val="0031458C"/>
    <w:rsid w:val="003148A5"/>
    <w:rsid w:val="00315E71"/>
    <w:rsid w:val="00320438"/>
    <w:rsid w:val="003226C2"/>
    <w:rsid w:val="0032492B"/>
    <w:rsid w:val="00327EB6"/>
    <w:rsid w:val="00331264"/>
    <w:rsid w:val="003339D1"/>
    <w:rsid w:val="00340C82"/>
    <w:rsid w:val="00341156"/>
    <w:rsid w:val="00346D75"/>
    <w:rsid w:val="00347AF8"/>
    <w:rsid w:val="00351422"/>
    <w:rsid w:val="00356B67"/>
    <w:rsid w:val="00360303"/>
    <w:rsid w:val="00362E90"/>
    <w:rsid w:val="00364E3B"/>
    <w:rsid w:val="0037032A"/>
    <w:rsid w:val="00370DE5"/>
    <w:rsid w:val="00373E2F"/>
    <w:rsid w:val="003767FE"/>
    <w:rsid w:val="00376D18"/>
    <w:rsid w:val="0038607C"/>
    <w:rsid w:val="0038648D"/>
    <w:rsid w:val="00392D5B"/>
    <w:rsid w:val="003A10DE"/>
    <w:rsid w:val="003A1216"/>
    <w:rsid w:val="003A14EE"/>
    <w:rsid w:val="003B0D42"/>
    <w:rsid w:val="003B15C6"/>
    <w:rsid w:val="003B1BE8"/>
    <w:rsid w:val="003B29A1"/>
    <w:rsid w:val="003B38E7"/>
    <w:rsid w:val="003B44A4"/>
    <w:rsid w:val="003B6F33"/>
    <w:rsid w:val="003C26E0"/>
    <w:rsid w:val="003C7E36"/>
    <w:rsid w:val="003D1305"/>
    <w:rsid w:val="003D2F3E"/>
    <w:rsid w:val="003D4178"/>
    <w:rsid w:val="003D54EE"/>
    <w:rsid w:val="003D7F03"/>
    <w:rsid w:val="003E2309"/>
    <w:rsid w:val="003E3468"/>
    <w:rsid w:val="003E5F32"/>
    <w:rsid w:val="003E73CC"/>
    <w:rsid w:val="003F462C"/>
    <w:rsid w:val="003F5083"/>
    <w:rsid w:val="00405885"/>
    <w:rsid w:val="0040714D"/>
    <w:rsid w:val="00407E43"/>
    <w:rsid w:val="004123A2"/>
    <w:rsid w:val="00412E16"/>
    <w:rsid w:val="00413CBF"/>
    <w:rsid w:val="00414BBD"/>
    <w:rsid w:val="00414E2A"/>
    <w:rsid w:val="004206DD"/>
    <w:rsid w:val="00421014"/>
    <w:rsid w:val="004249FA"/>
    <w:rsid w:val="00424E15"/>
    <w:rsid w:val="004307C5"/>
    <w:rsid w:val="0043108F"/>
    <w:rsid w:val="00431509"/>
    <w:rsid w:val="004322A2"/>
    <w:rsid w:val="004338E0"/>
    <w:rsid w:val="00436465"/>
    <w:rsid w:val="004367E0"/>
    <w:rsid w:val="004400E4"/>
    <w:rsid w:val="00444072"/>
    <w:rsid w:val="00445BD2"/>
    <w:rsid w:val="00447B74"/>
    <w:rsid w:val="00451E6C"/>
    <w:rsid w:val="00452AD8"/>
    <w:rsid w:val="00460495"/>
    <w:rsid w:val="00460DCC"/>
    <w:rsid w:val="0046164C"/>
    <w:rsid w:val="00461675"/>
    <w:rsid w:val="004619D9"/>
    <w:rsid w:val="00461C9A"/>
    <w:rsid w:val="004620EC"/>
    <w:rsid w:val="004626A4"/>
    <w:rsid w:val="00462DD4"/>
    <w:rsid w:val="004650A2"/>
    <w:rsid w:val="00467CEB"/>
    <w:rsid w:val="00467E10"/>
    <w:rsid w:val="00474DAA"/>
    <w:rsid w:val="00480181"/>
    <w:rsid w:val="00480921"/>
    <w:rsid w:val="00480E1D"/>
    <w:rsid w:val="00485463"/>
    <w:rsid w:val="00487A6E"/>
    <w:rsid w:val="0049080E"/>
    <w:rsid w:val="00492CBC"/>
    <w:rsid w:val="004933A9"/>
    <w:rsid w:val="00493C15"/>
    <w:rsid w:val="00493D3A"/>
    <w:rsid w:val="0049452D"/>
    <w:rsid w:val="004964CC"/>
    <w:rsid w:val="00497132"/>
    <w:rsid w:val="0049724D"/>
    <w:rsid w:val="004A332E"/>
    <w:rsid w:val="004A47CF"/>
    <w:rsid w:val="004A4C69"/>
    <w:rsid w:val="004A6930"/>
    <w:rsid w:val="004B542F"/>
    <w:rsid w:val="004C0129"/>
    <w:rsid w:val="004C2018"/>
    <w:rsid w:val="004C6025"/>
    <w:rsid w:val="004C6BB3"/>
    <w:rsid w:val="004C6C28"/>
    <w:rsid w:val="004D100F"/>
    <w:rsid w:val="004D2528"/>
    <w:rsid w:val="004D43F1"/>
    <w:rsid w:val="004D56C5"/>
    <w:rsid w:val="004D7FFB"/>
    <w:rsid w:val="004E0960"/>
    <w:rsid w:val="004E0D79"/>
    <w:rsid w:val="004E1E4D"/>
    <w:rsid w:val="004E20B3"/>
    <w:rsid w:val="004E692D"/>
    <w:rsid w:val="004E73D9"/>
    <w:rsid w:val="004F0E15"/>
    <w:rsid w:val="004F0F5D"/>
    <w:rsid w:val="004F129E"/>
    <w:rsid w:val="004F5E0B"/>
    <w:rsid w:val="004F63A6"/>
    <w:rsid w:val="004F7798"/>
    <w:rsid w:val="004F7D93"/>
    <w:rsid w:val="004F7FB4"/>
    <w:rsid w:val="005025CD"/>
    <w:rsid w:val="0050370F"/>
    <w:rsid w:val="005046CC"/>
    <w:rsid w:val="005048D3"/>
    <w:rsid w:val="00505436"/>
    <w:rsid w:val="005121FD"/>
    <w:rsid w:val="0051314F"/>
    <w:rsid w:val="005158A5"/>
    <w:rsid w:val="0052069A"/>
    <w:rsid w:val="00521A1B"/>
    <w:rsid w:val="00522203"/>
    <w:rsid w:val="00523BF7"/>
    <w:rsid w:val="005250AB"/>
    <w:rsid w:val="00530D5E"/>
    <w:rsid w:val="00532240"/>
    <w:rsid w:val="00536E66"/>
    <w:rsid w:val="00541887"/>
    <w:rsid w:val="00541E24"/>
    <w:rsid w:val="00543302"/>
    <w:rsid w:val="005542E8"/>
    <w:rsid w:val="00556F97"/>
    <w:rsid w:val="00560204"/>
    <w:rsid w:val="00561770"/>
    <w:rsid w:val="005625E3"/>
    <w:rsid w:val="00564AAC"/>
    <w:rsid w:val="00570E59"/>
    <w:rsid w:val="005762CD"/>
    <w:rsid w:val="0057653D"/>
    <w:rsid w:val="0057749A"/>
    <w:rsid w:val="005803BF"/>
    <w:rsid w:val="00582586"/>
    <w:rsid w:val="005826F2"/>
    <w:rsid w:val="005918CF"/>
    <w:rsid w:val="00592CE8"/>
    <w:rsid w:val="005931B0"/>
    <w:rsid w:val="00595036"/>
    <w:rsid w:val="005950B3"/>
    <w:rsid w:val="00596C6C"/>
    <w:rsid w:val="005A05AE"/>
    <w:rsid w:val="005A090C"/>
    <w:rsid w:val="005A1A10"/>
    <w:rsid w:val="005A1E35"/>
    <w:rsid w:val="005A2844"/>
    <w:rsid w:val="005A412A"/>
    <w:rsid w:val="005B4200"/>
    <w:rsid w:val="005C1E4F"/>
    <w:rsid w:val="005C2535"/>
    <w:rsid w:val="005C58AD"/>
    <w:rsid w:val="005D0508"/>
    <w:rsid w:val="005D1340"/>
    <w:rsid w:val="005D2ECA"/>
    <w:rsid w:val="005D2EEB"/>
    <w:rsid w:val="005D4809"/>
    <w:rsid w:val="005D7377"/>
    <w:rsid w:val="005E0324"/>
    <w:rsid w:val="005E179C"/>
    <w:rsid w:val="005E2BD3"/>
    <w:rsid w:val="005F1CC5"/>
    <w:rsid w:val="005F2B43"/>
    <w:rsid w:val="005F4B30"/>
    <w:rsid w:val="005F730E"/>
    <w:rsid w:val="00600858"/>
    <w:rsid w:val="00602457"/>
    <w:rsid w:val="00603D2F"/>
    <w:rsid w:val="00605374"/>
    <w:rsid w:val="00606414"/>
    <w:rsid w:val="006068BA"/>
    <w:rsid w:val="00610110"/>
    <w:rsid w:val="0061059F"/>
    <w:rsid w:val="00613736"/>
    <w:rsid w:val="0062423B"/>
    <w:rsid w:val="00627515"/>
    <w:rsid w:val="00627B3A"/>
    <w:rsid w:val="00631D6F"/>
    <w:rsid w:val="0063217C"/>
    <w:rsid w:val="006349DE"/>
    <w:rsid w:val="00640791"/>
    <w:rsid w:val="006407BE"/>
    <w:rsid w:val="00640D40"/>
    <w:rsid w:val="006466B4"/>
    <w:rsid w:val="00652023"/>
    <w:rsid w:val="00654FCC"/>
    <w:rsid w:val="00655B08"/>
    <w:rsid w:val="00655C2E"/>
    <w:rsid w:val="00656915"/>
    <w:rsid w:val="00660002"/>
    <w:rsid w:val="0066341D"/>
    <w:rsid w:val="00663864"/>
    <w:rsid w:val="00663C8A"/>
    <w:rsid w:val="00665F15"/>
    <w:rsid w:val="00670975"/>
    <w:rsid w:val="00671CE1"/>
    <w:rsid w:val="00675FB9"/>
    <w:rsid w:val="00676FA3"/>
    <w:rsid w:val="0068260D"/>
    <w:rsid w:val="0068425F"/>
    <w:rsid w:val="00694E90"/>
    <w:rsid w:val="00695BF1"/>
    <w:rsid w:val="00697DD5"/>
    <w:rsid w:val="006A14E5"/>
    <w:rsid w:val="006A31AB"/>
    <w:rsid w:val="006A3316"/>
    <w:rsid w:val="006A40AC"/>
    <w:rsid w:val="006A5CE4"/>
    <w:rsid w:val="006A7371"/>
    <w:rsid w:val="006A782D"/>
    <w:rsid w:val="006B211E"/>
    <w:rsid w:val="006B2379"/>
    <w:rsid w:val="006B313B"/>
    <w:rsid w:val="006B4DBD"/>
    <w:rsid w:val="006B6FB6"/>
    <w:rsid w:val="006C2306"/>
    <w:rsid w:val="006D0AB5"/>
    <w:rsid w:val="006D2AF4"/>
    <w:rsid w:val="006D3E3A"/>
    <w:rsid w:val="006D4B6E"/>
    <w:rsid w:val="006D5224"/>
    <w:rsid w:val="006D5969"/>
    <w:rsid w:val="006D6F21"/>
    <w:rsid w:val="006D7C12"/>
    <w:rsid w:val="006E2003"/>
    <w:rsid w:val="006E2330"/>
    <w:rsid w:val="006E281C"/>
    <w:rsid w:val="006E5133"/>
    <w:rsid w:val="006E7680"/>
    <w:rsid w:val="006F0F77"/>
    <w:rsid w:val="006F1BDE"/>
    <w:rsid w:val="006F6EB0"/>
    <w:rsid w:val="006F6F81"/>
    <w:rsid w:val="006F738A"/>
    <w:rsid w:val="006F7A22"/>
    <w:rsid w:val="00700C6C"/>
    <w:rsid w:val="00703B27"/>
    <w:rsid w:val="00704CBA"/>
    <w:rsid w:val="00707237"/>
    <w:rsid w:val="00710044"/>
    <w:rsid w:val="00710BC8"/>
    <w:rsid w:val="00711E18"/>
    <w:rsid w:val="00711FCC"/>
    <w:rsid w:val="0071261F"/>
    <w:rsid w:val="00713D0C"/>
    <w:rsid w:val="007160AC"/>
    <w:rsid w:val="0071633B"/>
    <w:rsid w:val="00716CC9"/>
    <w:rsid w:val="00717162"/>
    <w:rsid w:val="00720E7D"/>
    <w:rsid w:val="00722657"/>
    <w:rsid w:val="0072271B"/>
    <w:rsid w:val="00723823"/>
    <w:rsid w:val="007240A7"/>
    <w:rsid w:val="00725B76"/>
    <w:rsid w:val="00730336"/>
    <w:rsid w:val="00732794"/>
    <w:rsid w:val="00734C2D"/>
    <w:rsid w:val="00740EB0"/>
    <w:rsid w:val="00740FB0"/>
    <w:rsid w:val="007417A2"/>
    <w:rsid w:val="00746BF6"/>
    <w:rsid w:val="00753A00"/>
    <w:rsid w:val="00755CC1"/>
    <w:rsid w:val="00756B21"/>
    <w:rsid w:val="0075774C"/>
    <w:rsid w:val="00761114"/>
    <w:rsid w:val="00765F3A"/>
    <w:rsid w:val="0076638B"/>
    <w:rsid w:val="00767E1F"/>
    <w:rsid w:val="007703C8"/>
    <w:rsid w:val="00771727"/>
    <w:rsid w:val="0077241D"/>
    <w:rsid w:val="00775499"/>
    <w:rsid w:val="00776FA6"/>
    <w:rsid w:val="0078344F"/>
    <w:rsid w:val="0078593A"/>
    <w:rsid w:val="00786661"/>
    <w:rsid w:val="00787AF7"/>
    <w:rsid w:val="00790524"/>
    <w:rsid w:val="00791B95"/>
    <w:rsid w:val="00792E25"/>
    <w:rsid w:val="00792FA3"/>
    <w:rsid w:val="007931B9"/>
    <w:rsid w:val="00793A2E"/>
    <w:rsid w:val="007A0FC9"/>
    <w:rsid w:val="007A12ED"/>
    <w:rsid w:val="007A23B6"/>
    <w:rsid w:val="007A42A3"/>
    <w:rsid w:val="007B43FB"/>
    <w:rsid w:val="007C6D53"/>
    <w:rsid w:val="007C793C"/>
    <w:rsid w:val="007D024D"/>
    <w:rsid w:val="007D02B1"/>
    <w:rsid w:val="007D0573"/>
    <w:rsid w:val="007D67E5"/>
    <w:rsid w:val="007D6829"/>
    <w:rsid w:val="007E2156"/>
    <w:rsid w:val="007E36F7"/>
    <w:rsid w:val="007E469C"/>
    <w:rsid w:val="007E74E3"/>
    <w:rsid w:val="007F014B"/>
    <w:rsid w:val="007F0CD8"/>
    <w:rsid w:val="007F2E7D"/>
    <w:rsid w:val="007F3B98"/>
    <w:rsid w:val="007F6235"/>
    <w:rsid w:val="007F7809"/>
    <w:rsid w:val="00801097"/>
    <w:rsid w:val="0080150C"/>
    <w:rsid w:val="00801C02"/>
    <w:rsid w:val="00803DB2"/>
    <w:rsid w:val="00804DD0"/>
    <w:rsid w:val="00816BF0"/>
    <w:rsid w:val="0082507A"/>
    <w:rsid w:val="0082709A"/>
    <w:rsid w:val="008305B8"/>
    <w:rsid w:val="00830CBB"/>
    <w:rsid w:val="008317C0"/>
    <w:rsid w:val="0083295D"/>
    <w:rsid w:val="00833482"/>
    <w:rsid w:val="00833A2C"/>
    <w:rsid w:val="0084236E"/>
    <w:rsid w:val="00842A76"/>
    <w:rsid w:val="00844445"/>
    <w:rsid w:val="00844B40"/>
    <w:rsid w:val="0084674F"/>
    <w:rsid w:val="00851260"/>
    <w:rsid w:val="00854D93"/>
    <w:rsid w:val="008566EC"/>
    <w:rsid w:val="00857756"/>
    <w:rsid w:val="008602E5"/>
    <w:rsid w:val="00861AC7"/>
    <w:rsid w:val="00861B25"/>
    <w:rsid w:val="00864E00"/>
    <w:rsid w:val="008710E9"/>
    <w:rsid w:val="008722AA"/>
    <w:rsid w:val="0087270E"/>
    <w:rsid w:val="00877467"/>
    <w:rsid w:val="008820DD"/>
    <w:rsid w:val="00883405"/>
    <w:rsid w:val="00886B54"/>
    <w:rsid w:val="00886E93"/>
    <w:rsid w:val="00887E8B"/>
    <w:rsid w:val="00890193"/>
    <w:rsid w:val="00890475"/>
    <w:rsid w:val="00892FC9"/>
    <w:rsid w:val="00893115"/>
    <w:rsid w:val="00894FFF"/>
    <w:rsid w:val="00895130"/>
    <w:rsid w:val="008A14E5"/>
    <w:rsid w:val="008A2D3D"/>
    <w:rsid w:val="008A4643"/>
    <w:rsid w:val="008A6F2F"/>
    <w:rsid w:val="008A7A4E"/>
    <w:rsid w:val="008B0289"/>
    <w:rsid w:val="008B0774"/>
    <w:rsid w:val="008B08D0"/>
    <w:rsid w:val="008B182B"/>
    <w:rsid w:val="008B3127"/>
    <w:rsid w:val="008B48A4"/>
    <w:rsid w:val="008C1A15"/>
    <w:rsid w:val="008C2227"/>
    <w:rsid w:val="008C3535"/>
    <w:rsid w:val="008C6AA9"/>
    <w:rsid w:val="008C7BC2"/>
    <w:rsid w:val="008D133A"/>
    <w:rsid w:val="008D615A"/>
    <w:rsid w:val="008E095D"/>
    <w:rsid w:val="008E0AB2"/>
    <w:rsid w:val="008E2C03"/>
    <w:rsid w:val="008E2D5F"/>
    <w:rsid w:val="008E358B"/>
    <w:rsid w:val="008E35B1"/>
    <w:rsid w:val="008E5006"/>
    <w:rsid w:val="008E7072"/>
    <w:rsid w:val="008F021F"/>
    <w:rsid w:val="008F2712"/>
    <w:rsid w:val="008F560B"/>
    <w:rsid w:val="0090199E"/>
    <w:rsid w:val="00901EFA"/>
    <w:rsid w:val="00904E70"/>
    <w:rsid w:val="00907B63"/>
    <w:rsid w:val="00911D08"/>
    <w:rsid w:val="0091326D"/>
    <w:rsid w:val="00913423"/>
    <w:rsid w:val="009146B8"/>
    <w:rsid w:val="00914D38"/>
    <w:rsid w:val="0092095C"/>
    <w:rsid w:val="00925C02"/>
    <w:rsid w:val="00925DEF"/>
    <w:rsid w:val="009266F2"/>
    <w:rsid w:val="009304B4"/>
    <w:rsid w:val="00930A78"/>
    <w:rsid w:val="00931158"/>
    <w:rsid w:val="00932545"/>
    <w:rsid w:val="00940320"/>
    <w:rsid w:val="009409C1"/>
    <w:rsid w:val="0094104B"/>
    <w:rsid w:val="00943473"/>
    <w:rsid w:val="00943D0D"/>
    <w:rsid w:val="00944001"/>
    <w:rsid w:val="00945853"/>
    <w:rsid w:val="0094602C"/>
    <w:rsid w:val="00950526"/>
    <w:rsid w:val="009559D8"/>
    <w:rsid w:val="009603E4"/>
    <w:rsid w:val="009648BB"/>
    <w:rsid w:val="00964C35"/>
    <w:rsid w:val="0097069B"/>
    <w:rsid w:val="009736AD"/>
    <w:rsid w:val="00973D20"/>
    <w:rsid w:val="00974675"/>
    <w:rsid w:val="00974C57"/>
    <w:rsid w:val="00976DDD"/>
    <w:rsid w:val="00977093"/>
    <w:rsid w:val="00977759"/>
    <w:rsid w:val="00982D99"/>
    <w:rsid w:val="0098597C"/>
    <w:rsid w:val="00986E39"/>
    <w:rsid w:val="0098733A"/>
    <w:rsid w:val="00991FD7"/>
    <w:rsid w:val="00993115"/>
    <w:rsid w:val="009969D3"/>
    <w:rsid w:val="009A1EB1"/>
    <w:rsid w:val="009A4170"/>
    <w:rsid w:val="009A472D"/>
    <w:rsid w:val="009B7BA5"/>
    <w:rsid w:val="009C1D13"/>
    <w:rsid w:val="009C40D3"/>
    <w:rsid w:val="009D08FE"/>
    <w:rsid w:val="009D1DE3"/>
    <w:rsid w:val="009D59FB"/>
    <w:rsid w:val="009D6E7C"/>
    <w:rsid w:val="009D7C58"/>
    <w:rsid w:val="009E32B9"/>
    <w:rsid w:val="009E3678"/>
    <w:rsid w:val="009E3B2A"/>
    <w:rsid w:val="009E70E2"/>
    <w:rsid w:val="009F5DC5"/>
    <w:rsid w:val="00A00960"/>
    <w:rsid w:val="00A00C09"/>
    <w:rsid w:val="00A03603"/>
    <w:rsid w:val="00A04A65"/>
    <w:rsid w:val="00A11A8D"/>
    <w:rsid w:val="00A13A00"/>
    <w:rsid w:val="00A17485"/>
    <w:rsid w:val="00A23784"/>
    <w:rsid w:val="00A23DF2"/>
    <w:rsid w:val="00A24D5F"/>
    <w:rsid w:val="00A2528E"/>
    <w:rsid w:val="00A27F8D"/>
    <w:rsid w:val="00A31BA8"/>
    <w:rsid w:val="00A32420"/>
    <w:rsid w:val="00A32D5A"/>
    <w:rsid w:val="00A333ED"/>
    <w:rsid w:val="00A364D8"/>
    <w:rsid w:val="00A36D62"/>
    <w:rsid w:val="00A36F9A"/>
    <w:rsid w:val="00A43E38"/>
    <w:rsid w:val="00A50D02"/>
    <w:rsid w:val="00A50D43"/>
    <w:rsid w:val="00A52B48"/>
    <w:rsid w:val="00A5316F"/>
    <w:rsid w:val="00A5547C"/>
    <w:rsid w:val="00A55D69"/>
    <w:rsid w:val="00A57C61"/>
    <w:rsid w:val="00A600BF"/>
    <w:rsid w:val="00A61B04"/>
    <w:rsid w:val="00A62DFC"/>
    <w:rsid w:val="00A6391C"/>
    <w:rsid w:val="00A71812"/>
    <w:rsid w:val="00A762DA"/>
    <w:rsid w:val="00A7655E"/>
    <w:rsid w:val="00A80AD8"/>
    <w:rsid w:val="00A81DC2"/>
    <w:rsid w:val="00A87E48"/>
    <w:rsid w:val="00A926C4"/>
    <w:rsid w:val="00A92D9A"/>
    <w:rsid w:val="00A94B0E"/>
    <w:rsid w:val="00A959D0"/>
    <w:rsid w:val="00A9617B"/>
    <w:rsid w:val="00AA0318"/>
    <w:rsid w:val="00AB0DA3"/>
    <w:rsid w:val="00AB141E"/>
    <w:rsid w:val="00AB4216"/>
    <w:rsid w:val="00AB4273"/>
    <w:rsid w:val="00AB43CB"/>
    <w:rsid w:val="00AB7F4A"/>
    <w:rsid w:val="00AC387A"/>
    <w:rsid w:val="00AC3AB5"/>
    <w:rsid w:val="00AC4B0E"/>
    <w:rsid w:val="00AC569B"/>
    <w:rsid w:val="00AC7C12"/>
    <w:rsid w:val="00AD13B3"/>
    <w:rsid w:val="00AD298A"/>
    <w:rsid w:val="00AD75A1"/>
    <w:rsid w:val="00AE3AB8"/>
    <w:rsid w:val="00AE54D4"/>
    <w:rsid w:val="00AE790B"/>
    <w:rsid w:val="00AE7E9B"/>
    <w:rsid w:val="00AF2203"/>
    <w:rsid w:val="00AF3A22"/>
    <w:rsid w:val="00AF5E35"/>
    <w:rsid w:val="00AF7112"/>
    <w:rsid w:val="00B011F7"/>
    <w:rsid w:val="00B027C0"/>
    <w:rsid w:val="00B03F06"/>
    <w:rsid w:val="00B06E30"/>
    <w:rsid w:val="00B11CB4"/>
    <w:rsid w:val="00B133C3"/>
    <w:rsid w:val="00B138AD"/>
    <w:rsid w:val="00B22CFA"/>
    <w:rsid w:val="00B24F1F"/>
    <w:rsid w:val="00B261CF"/>
    <w:rsid w:val="00B27C2E"/>
    <w:rsid w:val="00B3378A"/>
    <w:rsid w:val="00B34CBE"/>
    <w:rsid w:val="00B3698E"/>
    <w:rsid w:val="00B36B46"/>
    <w:rsid w:val="00B404EC"/>
    <w:rsid w:val="00B42423"/>
    <w:rsid w:val="00B429C6"/>
    <w:rsid w:val="00B43FEE"/>
    <w:rsid w:val="00B44C46"/>
    <w:rsid w:val="00B556BF"/>
    <w:rsid w:val="00B5596E"/>
    <w:rsid w:val="00B55A48"/>
    <w:rsid w:val="00B561FE"/>
    <w:rsid w:val="00B56329"/>
    <w:rsid w:val="00B5640F"/>
    <w:rsid w:val="00B56F11"/>
    <w:rsid w:val="00B6308D"/>
    <w:rsid w:val="00B70C9C"/>
    <w:rsid w:val="00B7260B"/>
    <w:rsid w:val="00B73EB5"/>
    <w:rsid w:val="00B74926"/>
    <w:rsid w:val="00B77028"/>
    <w:rsid w:val="00B8028F"/>
    <w:rsid w:val="00B82AF3"/>
    <w:rsid w:val="00B83E79"/>
    <w:rsid w:val="00B86773"/>
    <w:rsid w:val="00B871AE"/>
    <w:rsid w:val="00B90CFF"/>
    <w:rsid w:val="00B91E99"/>
    <w:rsid w:val="00B92C32"/>
    <w:rsid w:val="00B958CC"/>
    <w:rsid w:val="00BA113B"/>
    <w:rsid w:val="00BA2A98"/>
    <w:rsid w:val="00BA2EC6"/>
    <w:rsid w:val="00BB0283"/>
    <w:rsid w:val="00BB2D5C"/>
    <w:rsid w:val="00BB3831"/>
    <w:rsid w:val="00BB75A8"/>
    <w:rsid w:val="00BC1F9E"/>
    <w:rsid w:val="00BC2A41"/>
    <w:rsid w:val="00BC6B33"/>
    <w:rsid w:val="00BD3D33"/>
    <w:rsid w:val="00BD41A4"/>
    <w:rsid w:val="00BD690F"/>
    <w:rsid w:val="00BE1006"/>
    <w:rsid w:val="00BE1FE3"/>
    <w:rsid w:val="00BE28B6"/>
    <w:rsid w:val="00BE4406"/>
    <w:rsid w:val="00BE55BE"/>
    <w:rsid w:val="00BE5790"/>
    <w:rsid w:val="00BE7472"/>
    <w:rsid w:val="00BE7B99"/>
    <w:rsid w:val="00BF2103"/>
    <w:rsid w:val="00BF368C"/>
    <w:rsid w:val="00BF4BA9"/>
    <w:rsid w:val="00BF677B"/>
    <w:rsid w:val="00C02BB5"/>
    <w:rsid w:val="00C06CC9"/>
    <w:rsid w:val="00C117C7"/>
    <w:rsid w:val="00C13AEE"/>
    <w:rsid w:val="00C1634A"/>
    <w:rsid w:val="00C2159B"/>
    <w:rsid w:val="00C21754"/>
    <w:rsid w:val="00C3140A"/>
    <w:rsid w:val="00C31A92"/>
    <w:rsid w:val="00C3242C"/>
    <w:rsid w:val="00C330C5"/>
    <w:rsid w:val="00C335A0"/>
    <w:rsid w:val="00C36610"/>
    <w:rsid w:val="00C3744D"/>
    <w:rsid w:val="00C37FD5"/>
    <w:rsid w:val="00C419A4"/>
    <w:rsid w:val="00C5313F"/>
    <w:rsid w:val="00C55882"/>
    <w:rsid w:val="00C57775"/>
    <w:rsid w:val="00C61EC2"/>
    <w:rsid w:val="00C628E2"/>
    <w:rsid w:val="00C62BBB"/>
    <w:rsid w:val="00C6528B"/>
    <w:rsid w:val="00C67983"/>
    <w:rsid w:val="00C73790"/>
    <w:rsid w:val="00C73EA8"/>
    <w:rsid w:val="00C74A33"/>
    <w:rsid w:val="00C74F52"/>
    <w:rsid w:val="00C752A5"/>
    <w:rsid w:val="00C7613B"/>
    <w:rsid w:val="00C772AA"/>
    <w:rsid w:val="00C77363"/>
    <w:rsid w:val="00C77E63"/>
    <w:rsid w:val="00C80356"/>
    <w:rsid w:val="00C82F8E"/>
    <w:rsid w:val="00C850C3"/>
    <w:rsid w:val="00C9169C"/>
    <w:rsid w:val="00C972B9"/>
    <w:rsid w:val="00CA0B45"/>
    <w:rsid w:val="00CA2D2B"/>
    <w:rsid w:val="00CA3625"/>
    <w:rsid w:val="00CA4C61"/>
    <w:rsid w:val="00CA5A96"/>
    <w:rsid w:val="00CB1319"/>
    <w:rsid w:val="00CB17C1"/>
    <w:rsid w:val="00CB3308"/>
    <w:rsid w:val="00CB36D5"/>
    <w:rsid w:val="00CB3BF6"/>
    <w:rsid w:val="00CB419E"/>
    <w:rsid w:val="00CB5FC6"/>
    <w:rsid w:val="00CB72FB"/>
    <w:rsid w:val="00CC08E9"/>
    <w:rsid w:val="00CC10DC"/>
    <w:rsid w:val="00CC366A"/>
    <w:rsid w:val="00CC4220"/>
    <w:rsid w:val="00CD068E"/>
    <w:rsid w:val="00CD07E5"/>
    <w:rsid w:val="00CD77E4"/>
    <w:rsid w:val="00CE05AD"/>
    <w:rsid w:val="00CE096A"/>
    <w:rsid w:val="00CE2CA5"/>
    <w:rsid w:val="00CE5B9A"/>
    <w:rsid w:val="00CE7603"/>
    <w:rsid w:val="00CE7CFC"/>
    <w:rsid w:val="00CF2AAD"/>
    <w:rsid w:val="00CF4A16"/>
    <w:rsid w:val="00CF6066"/>
    <w:rsid w:val="00D02A7C"/>
    <w:rsid w:val="00D03A27"/>
    <w:rsid w:val="00D03F4B"/>
    <w:rsid w:val="00D06B84"/>
    <w:rsid w:val="00D11120"/>
    <w:rsid w:val="00D1459D"/>
    <w:rsid w:val="00D1489D"/>
    <w:rsid w:val="00D14F1F"/>
    <w:rsid w:val="00D15C86"/>
    <w:rsid w:val="00D223AF"/>
    <w:rsid w:val="00D234A9"/>
    <w:rsid w:val="00D27FEE"/>
    <w:rsid w:val="00D32DA7"/>
    <w:rsid w:val="00D33167"/>
    <w:rsid w:val="00D3667A"/>
    <w:rsid w:val="00D3776C"/>
    <w:rsid w:val="00D37E84"/>
    <w:rsid w:val="00D41E71"/>
    <w:rsid w:val="00D43F33"/>
    <w:rsid w:val="00D53C77"/>
    <w:rsid w:val="00D564CE"/>
    <w:rsid w:val="00D61D40"/>
    <w:rsid w:val="00D63FB7"/>
    <w:rsid w:val="00D66171"/>
    <w:rsid w:val="00D71445"/>
    <w:rsid w:val="00D73DFE"/>
    <w:rsid w:val="00D744CF"/>
    <w:rsid w:val="00D767CF"/>
    <w:rsid w:val="00D77E41"/>
    <w:rsid w:val="00D8048A"/>
    <w:rsid w:val="00D842B8"/>
    <w:rsid w:val="00D8466B"/>
    <w:rsid w:val="00D90E20"/>
    <w:rsid w:val="00D918D9"/>
    <w:rsid w:val="00D91A93"/>
    <w:rsid w:val="00D91FE0"/>
    <w:rsid w:val="00D92F2B"/>
    <w:rsid w:val="00D943D2"/>
    <w:rsid w:val="00D96482"/>
    <w:rsid w:val="00D96E83"/>
    <w:rsid w:val="00DA4CA7"/>
    <w:rsid w:val="00DA53F8"/>
    <w:rsid w:val="00DA71F9"/>
    <w:rsid w:val="00DB1B04"/>
    <w:rsid w:val="00DB78E8"/>
    <w:rsid w:val="00DC1824"/>
    <w:rsid w:val="00DC1D8A"/>
    <w:rsid w:val="00DC20BE"/>
    <w:rsid w:val="00DD0A5E"/>
    <w:rsid w:val="00DD1964"/>
    <w:rsid w:val="00DD1EF9"/>
    <w:rsid w:val="00DD4BEC"/>
    <w:rsid w:val="00DD6132"/>
    <w:rsid w:val="00DE09A7"/>
    <w:rsid w:val="00DE1833"/>
    <w:rsid w:val="00DE70B5"/>
    <w:rsid w:val="00DF276A"/>
    <w:rsid w:val="00E02758"/>
    <w:rsid w:val="00E03040"/>
    <w:rsid w:val="00E046DA"/>
    <w:rsid w:val="00E060CD"/>
    <w:rsid w:val="00E06C28"/>
    <w:rsid w:val="00E10F68"/>
    <w:rsid w:val="00E116BA"/>
    <w:rsid w:val="00E219B9"/>
    <w:rsid w:val="00E21BB5"/>
    <w:rsid w:val="00E2277D"/>
    <w:rsid w:val="00E305EC"/>
    <w:rsid w:val="00E376AC"/>
    <w:rsid w:val="00E43D49"/>
    <w:rsid w:val="00E50097"/>
    <w:rsid w:val="00E54435"/>
    <w:rsid w:val="00E5592F"/>
    <w:rsid w:val="00E575A0"/>
    <w:rsid w:val="00E60348"/>
    <w:rsid w:val="00E611DE"/>
    <w:rsid w:val="00E6286E"/>
    <w:rsid w:val="00E62918"/>
    <w:rsid w:val="00E63275"/>
    <w:rsid w:val="00E739EC"/>
    <w:rsid w:val="00E7520D"/>
    <w:rsid w:val="00E75BCF"/>
    <w:rsid w:val="00E76913"/>
    <w:rsid w:val="00E779F6"/>
    <w:rsid w:val="00E81B28"/>
    <w:rsid w:val="00E82C46"/>
    <w:rsid w:val="00E8422D"/>
    <w:rsid w:val="00E852E9"/>
    <w:rsid w:val="00E97F1E"/>
    <w:rsid w:val="00EA038D"/>
    <w:rsid w:val="00EA1717"/>
    <w:rsid w:val="00EA27DD"/>
    <w:rsid w:val="00EA2871"/>
    <w:rsid w:val="00EA2913"/>
    <w:rsid w:val="00EA5C08"/>
    <w:rsid w:val="00EA711C"/>
    <w:rsid w:val="00EB2283"/>
    <w:rsid w:val="00EB425C"/>
    <w:rsid w:val="00EB5D1D"/>
    <w:rsid w:val="00EB5E9B"/>
    <w:rsid w:val="00EC16AA"/>
    <w:rsid w:val="00EC30A8"/>
    <w:rsid w:val="00EC4B9A"/>
    <w:rsid w:val="00EC60C3"/>
    <w:rsid w:val="00EC6324"/>
    <w:rsid w:val="00EC64D3"/>
    <w:rsid w:val="00ED19CF"/>
    <w:rsid w:val="00ED38AF"/>
    <w:rsid w:val="00ED6232"/>
    <w:rsid w:val="00EE6324"/>
    <w:rsid w:val="00EF43F7"/>
    <w:rsid w:val="00EF7625"/>
    <w:rsid w:val="00EF7959"/>
    <w:rsid w:val="00F01468"/>
    <w:rsid w:val="00F027B4"/>
    <w:rsid w:val="00F05015"/>
    <w:rsid w:val="00F05583"/>
    <w:rsid w:val="00F05864"/>
    <w:rsid w:val="00F05FAB"/>
    <w:rsid w:val="00F10EE5"/>
    <w:rsid w:val="00F14862"/>
    <w:rsid w:val="00F16C4A"/>
    <w:rsid w:val="00F20BAA"/>
    <w:rsid w:val="00F23480"/>
    <w:rsid w:val="00F270E4"/>
    <w:rsid w:val="00F27CB7"/>
    <w:rsid w:val="00F30C0E"/>
    <w:rsid w:val="00F351C6"/>
    <w:rsid w:val="00F37CFA"/>
    <w:rsid w:val="00F4025C"/>
    <w:rsid w:val="00F4396B"/>
    <w:rsid w:val="00F43CBD"/>
    <w:rsid w:val="00F5023B"/>
    <w:rsid w:val="00F51E96"/>
    <w:rsid w:val="00F524D4"/>
    <w:rsid w:val="00F61CDF"/>
    <w:rsid w:val="00F623A0"/>
    <w:rsid w:val="00F650AC"/>
    <w:rsid w:val="00F66EDA"/>
    <w:rsid w:val="00F769FE"/>
    <w:rsid w:val="00F801BC"/>
    <w:rsid w:val="00F8209E"/>
    <w:rsid w:val="00F82572"/>
    <w:rsid w:val="00F825C4"/>
    <w:rsid w:val="00F82E71"/>
    <w:rsid w:val="00F82FB8"/>
    <w:rsid w:val="00F8665A"/>
    <w:rsid w:val="00F87942"/>
    <w:rsid w:val="00F91DFA"/>
    <w:rsid w:val="00F9211D"/>
    <w:rsid w:val="00F92FB6"/>
    <w:rsid w:val="00F945E3"/>
    <w:rsid w:val="00F96CC5"/>
    <w:rsid w:val="00F9798B"/>
    <w:rsid w:val="00F97CF3"/>
    <w:rsid w:val="00FA1472"/>
    <w:rsid w:val="00FA2C24"/>
    <w:rsid w:val="00FA4756"/>
    <w:rsid w:val="00FB43CD"/>
    <w:rsid w:val="00FB563C"/>
    <w:rsid w:val="00FB6782"/>
    <w:rsid w:val="00FC24B1"/>
    <w:rsid w:val="00FC64D8"/>
    <w:rsid w:val="00FC78B1"/>
    <w:rsid w:val="00FD0408"/>
    <w:rsid w:val="00FD079C"/>
    <w:rsid w:val="00FD0DA6"/>
    <w:rsid w:val="00FD10FD"/>
    <w:rsid w:val="00FD4B8F"/>
    <w:rsid w:val="00FD4E25"/>
    <w:rsid w:val="00FE1F6D"/>
    <w:rsid w:val="00FE2C9D"/>
    <w:rsid w:val="00FE4C7E"/>
    <w:rsid w:val="00FE5855"/>
    <w:rsid w:val="00FE70DE"/>
    <w:rsid w:val="00FE75E1"/>
    <w:rsid w:val="00FF0A08"/>
    <w:rsid w:val="00FF1E3B"/>
    <w:rsid w:val="00FF2B47"/>
    <w:rsid w:val="00FF5779"/>
    <w:rsid w:val="00FF5DC9"/>
    <w:rsid w:val="00FF5EE8"/>
    <w:rsid w:val="00FF6A18"/>
    <w:rsid w:val="00FF7355"/>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decimalSymbol w:val="."/>
  <w:listSeparator w:val=","/>
  <w14:docId w14:val="083B5676"/>
  <w15:docId w15:val="{525AC3ED-D7EE-8343-8929-B004CBAC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7A0FC9"/>
  </w:style>
  <w:style w:type="paragraph" w:styleId="ListParagraph">
    <w:name w:val="List Paragraph"/>
    <w:basedOn w:val="Normal"/>
    <w:uiPriority w:val="34"/>
    <w:qFormat/>
    <w:rsid w:val="008602E5"/>
    <w:pPr>
      <w:ind w:left="720"/>
      <w:contextualSpacing/>
    </w:pPr>
  </w:style>
  <w:style w:type="paragraph" w:styleId="Bibliography">
    <w:name w:val="Bibliography"/>
    <w:basedOn w:val="Normal"/>
    <w:next w:val="Normal"/>
    <w:uiPriority w:val="37"/>
    <w:unhideWhenUsed/>
    <w:rsid w:val="00CD77E4"/>
    <w:pPr>
      <w:tabs>
        <w:tab w:val="left" w:pos="380"/>
      </w:tabs>
      <w:spacing w:after="240"/>
      <w:ind w:left="384" w:hanging="384"/>
    </w:pPr>
  </w:style>
  <w:style w:type="table" w:styleId="TableGrid">
    <w:name w:val="Table Grid"/>
    <w:basedOn w:val="TableNormal"/>
    <w:uiPriority w:val="39"/>
    <w:rsid w:val="00F0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F0558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
    <w:name w:val="List Table 6 Colorful"/>
    <w:basedOn w:val="TableNormal"/>
    <w:uiPriority w:val="51"/>
    <w:rsid w:val="00F0558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055AE0"/>
    <w:pPr>
      <w:tabs>
        <w:tab w:val="center" w:pos="4680"/>
        <w:tab w:val="right" w:pos="9360"/>
      </w:tabs>
    </w:pPr>
  </w:style>
  <w:style w:type="character" w:customStyle="1" w:styleId="HeaderChar">
    <w:name w:val="Header Char"/>
    <w:basedOn w:val="DefaultParagraphFont"/>
    <w:link w:val="Header"/>
    <w:uiPriority w:val="99"/>
    <w:rsid w:val="00055AE0"/>
  </w:style>
  <w:style w:type="paragraph" w:styleId="Footer">
    <w:name w:val="footer"/>
    <w:basedOn w:val="Normal"/>
    <w:link w:val="FooterChar"/>
    <w:uiPriority w:val="99"/>
    <w:unhideWhenUsed/>
    <w:rsid w:val="00055AE0"/>
    <w:pPr>
      <w:tabs>
        <w:tab w:val="center" w:pos="4680"/>
        <w:tab w:val="right" w:pos="9360"/>
      </w:tabs>
    </w:pPr>
  </w:style>
  <w:style w:type="character" w:customStyle="1" w:styleId="FooterChar">
    <w:name w:val="Footer Char"/>
    <w:basedOn w:val="DefaultParagraphFont"/>
    <w:link w:val="Footer"/>
    <w:uiPriority w:val="99"/>
    <w:rsid w:val="00055AE0"/>
  </w:style>
  <w:style w:type="character" w:styleId="PageNumber">
    <w:name w:val="page number"/>
    <w:basedOn w:val="DefaultParagraphFont"/>
    <w:uiPriority w:val="99"/>
    <w:semiHidden/>
    <w:unhideWhenUsed/>
    <w:rsid w:val="00055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4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22798</Words>
  <Characters>129952</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Tan</dc:creator>
  <cp:keywords/>
  <dc:description/>
  <cp:lastModifiedBy>Aaron Tan</cp:lastModifiedBy>
  <cp:revision>25</cp:revision>
  <dcterms:created xsi:type="dcterms:W3CDTF">2021-09-18T11:31:00Z</dcterms:created>
  <dcterms:modified xsi:type="dcterms:W3CDTF">2021-12-21T07:41:00Z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id="m0h39iS0"/&gt;&lt;style id="http://www.zotero.org/styles/frontiers-in-oncology" hasBibliography="1" bibliographyStyleHasBeenSet="1"/&gt;&lt;prefs&gt;&lt;pref name="fieldType" value="Field"/&gt;&lt;pref name="delayCita</vt:lpwstr>
  </property>
  <property fmtid="{D5CDD505-2E9C-101B-9397-08002B2CF9AE}" pid="3" name="ZOTERO_PREF_2">
    <vt:lpwstr>tionUpdates" value="true"/&gt;&lt;/prefs&gt;&lt;/data&gt;</vt:lpwstr>
  </property>
  <property fmtid="{D5CDD505-2E9C-101B-9397-08002B2CF9AE}" pid="4" name="MSIP_Label_70f34531-6610-413e-90a6-856ee5d14147_Enabled">
    <vt:lpwstr>true</vt:lpwstr>
  </property>
  <property fmtid="{D5CDD505-2E9C-101B-9397-08002B2CF9AE}" pid="5" name="MSIP_Label_70f34531-6610-413e-90a6-856ee5d14147_SetDate">
    <vt:lpwstr>2021-09-18T00:51:35Z</vt:lpwstr>
  </property>
  <property fmtid="{D5CDD505-2E9C-101B-9397-08002B2CF9AE}" pid="6" name="MSIP_Label_70f34531-6610-413e-90a6-856ee5d14147_Method">
    <vt:lpwstr>Privileged</vt:lpwstr>
  </property>
  <property fmtid="{D5CDD505-2E9C-101B-9397-08002B2CF9AE}" pid="7" name="MSIP_Label_70f34531-6610-413e-90a6-856ee5d14147_Name">
    <vt:lpwstr>Public</vt:lpwstr>
  </property>
  <property fmtid="{D5CDD505-2E9C-101B-9397-08002B2CF9AE}" pid="8" name="MSIP_Label_70f34531-6610-413e-90a6-856ee5d14147_SiteId">
    <vt:lpwstr>3783f793-19c8-4928-99c4-8d1861e6cc1f</vt:lpwstr>
  </property>
  <property fmtid="{D5CDD505-2E9C-101B-9397-08002B2CF9AE}" pid="9" name="MSIP_Label_70f34531-6610-413e-90a6-856ee5d14147_ActionId">
    <vt:lpwstr>35b7bbe4-612d-4f81-aeac-2528d36a5df8</vt:lpwstr>
  </property>
  <property fmtid="{D5CDD505-2E9C-101B-9397-08002B2CF9AE}" pid="10" name="MSIP_Label_70f34531-6610-413e-90a6-856ee5d14147_ContentBits">
    <vt:lpwstr>0</vt:lpwstr>
  </property>
</Properties>
</file>