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2B" w:rsidRPr="00337B2B" w:rsidRDefault="00337B2B" w:rsidP="00337B2B">
      <w:pPr>
        <w:pStyle w:val="CorpoA"/>
        <w:spacing w:after="160" w:line="259" w:lineRule="auto"/>
        <w:jc w:val="center"/>
        <w:rPr>
          <w:rFonts w:ascii="Arial" w:hAnsi="Arial"/>
          <w:b/>
          <w:sz w:val="22"/>
          <w:szCs w:val="22"/>
        </w:rPr>
      </w:pPr>
      <w:r w:rsidRPr="00337B2B">
        <w:rPr>
          <w:rFonts w:ascii="Arial" w:hAnsi="Arial"/>
          <w:b/>
          <w:sz w:val="22"/>
          <w:szCs w:val="22"/>
        </w:rPr>
        <w:t>SUPPLEMENTARY TABLES REGARDING THE RESPIRATORY ASESSMENT</w:t>
      </w:r>
    </w:p>
    <w:p w:rsidR="00337B2B" w:rsidRDefault="00337B2B" w:rsidP="00337B2B">
      <w:pPr>
        <w:pStyle w:val="CorpoA"/>
        <w:spacing w:after="160" w:line="259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>Table 1</w:t>
      </w:r>
      <w:r>
        <w:rPr>
          <w:rFonts w:ascii="Arial" w:hAnsi="Arial"/>
          <w:sz w:val="22"/>
          <w:szCs w:val="22"/>
        </w:rPr>
        <w:t xml:space="preserve"> - Comparative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analysis between the parameters used in the respiratory </w:t>
      </w:r>
      <w:proofErr w:type="spellStart"/>
      <w:r>
        <w:rPr>
          <w:rFonts w:ascii="Arial" w:hAnsi="Arial"/>
          <w:sz w:val="22"/>
          <w:szCs w:val="22"/>
        </w:rPr>
        <w:t>asessment</w:t>
      </w:r>
      <w:proofErr w:type="spellEnd"/>
      <w:r>
        <w:rPr>
          <w:rFonts w:ascii="Arial" w:hAnsi="Arial"/>
          <w:sz w:val="22"/>
          <w:szCs w:val="22"/>
        </w:rPr>
        <w:t xml:space="preserve"> of patients with Graves' disease according to thyroid hormonal status.</w:t>
      </w:r>
    </w:p>
    <w:p w:rsidR="00337B2B" w:rsidRDefault="00337B2B" w:rsidP="00337B2B">
      <w:pPr>
        <w:pStyle w:val="CorpoA"/>
      </w:pPr>
    </w:p>
    <w:tbl>
      <w:tblPr>
        <w:tblStyle w:val="NormalTable0"/>
        <w:tblW w:w="10954" w:type="dxa"/>
        <w:jc w:val="center"/>
        <w:tblLayout w:type="fixed"/>
        <w:tblLook w:val="04A0" w:firstRow="1" w:lastRow="0" w:firstColumn="1" w:lastColumn="0" w:noHBand="0" w:noVBand="1"/>
      </w:tblPr>
      <w:tblGrid>
        <w:gridCol w:w="2072"/>
        <w:gridCol w:w="1252"/>
        <w:gridCol w:w="3550"/>
        <w:gridCol w:w="3063"/>
        <w:gridCol w:w="1017"/>
      </w:tblGrid>
      <w:tr w:rsidR="00337B2B" w:rsidRPr="00675E28" w:rsidTr="009804BC">
        <w:trPr>
          <w:trHeight w:val="651"/>
          <w:jc w:val="center"/>
        </w:trPr>
        <w:tc>
          <w:tcPr>
            <w:tcW w:w="3324" w:type="dxa"/>
            <w:gridSpan w:val="2"/>
          </w:tcPr>
          <w:p w:rsidR="00337B2B" w:rsidRPr="00675E28" w:rsidRDefault="00337B2B" w:rsidP="009804BC">
            <w:pPr>
              <w:pStyle w:val="CorpoA"/>
              <w:spacing w:line="480" w:lineRule="auto"/>
              <w:rPr>
                <w:b/>
              </w:rPr>
            </w:pPr>
            <w:r w:rsidRPr="00675E28">
              <w:rPr>
                <w:rFonts w:ascii="Arial" w:hAnsi="Arial"/>
                <w:b/>
                <w:sz w:val="18"/>
                <w:szCs w:val="18"/>
                <w:lang w:val="pt-PT"/>
              </w:rPr>
              <w:t>RESPIRATORY ASSESSMENT</w:t>
            </w:r>
          </w:p>
        </w:tc>
        <w:tc>
          <w:tcPr>
            <w:tcW w:w="3550" w:type="dxa"/>
          </w:tcPr>
          <w:p w:rsidR="00337B2B" w:rsidRPr="00675E28" w:rsidRDefault="00337B2B" w:rsidP="009804BC">
            <w:pPr>
              <w:pStyle w:val="EstilodeTabela1A"/>
              <w:spacing w:line="360" w:lineRule="auto"/>
              <w:jc w:val="center"/>
            </w:pPr>
            <w:r w:rsidRPr="00675E28">
              <w:rPr>
                <w:rFonts w:ascii="Arial" w:hAnsi="Arial"/>
                <w:bCs w:val="0"/>
              </w:rPr>
              <w:t>Euthyroidism</w:t>
            </w:r>
          </w:p>
        </w:tc>
        <w:tc>
          <w:tcPr>
            <w:tcW w:w="3063" w:type="dxa"/>
          </w:tcPr>
          <w:p w:rsidR="00337B2B" w:rsidRPr="00675E28" w:rsidRDefault="00337B2B" w:rsidP="009804BC">
            <w:pPr>
              <w:pStyle w:val="EstilodeTabela1A"/>
              <w:spacing w:line="360" w:lineRule="auto"/>
              <w:jc w:val="center"/>
            </w:pPr>
            <w:r w:rsidRPr="00675E28">
              <w:rPr>
                <w:rFonts w:ascii="Arial" w:hAnsi="Arial"/>
                <w:bCs w:val="0"/>
              </w:rPr>
              <w:t>Hyperthyroidism</w:t>
            </w:r>
          </w:p>
        </w:tc>
        <w:tc>
          <w:tcPr>
            <w:tcW w:w="1017" w:type="dxa"/>
          </w:tcPr>
          <w:p w:rsidR="00337B2B" w:rsidRPr="00675E28" w:rsidRDefault="00337B2B" w:rsidP="009804BC">
            <w:pPr>
              <w:pStyle w:val="EstilodeTabela1A"/>
              <w:spacing w:line="480" w:lineRule="auto"/>
              <w:jc w:val="center"/>
            </w:pPr>
            <w:r w:rsidRPr="00675E28">
              <w:rPr>
                <w:rFonts w:ascii="Arial" w:hAnsi="Arial"/>
                <w:bCs w:val="0"/>
              </w:rPr>
              <w:t>P</w:t>
            </w:r>
            <w:r w:rsidRPr="00675E28">
              <w:rPr>
                <w:rFonts w:ascii="Arial" w:hAnsi="Arial"/>
              </w:rPr>
              <w:t>-</w:t>
            </w:r>
            <w:r w:rsidRPr="00675E28">
              <w:rPr>
                <w:rFonts w:ascii="Arial" w:hAnsi="Arial"/>
                <w:bCs w:val="0"/>
              </w:rPr>
              <w:t>value</w:t>
            </w:r>
          </w:p>
        </w:tc>
      </w:tr>
      <w:tr w:rsidR="00337B2B" w:rsidTr="009804BC">
        <w:trPr>
          <w:trHeight w:val="429"/>
          <w:jc w:val="center"/>
        </w:trPr>
        <w:tc>
          <w:tcPr>
            <w:tcW w:w="2072" w:type="dxa"/>
            <w:vMerge w:val="restart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Walking test risk </w:t>
            </w:r>
          </w:p>
        </w:tc>
        <w:tc>
          <w:tcPr>
            <w:tcW w:w="1251" w:type="dxa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Low risk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30 (73.17%)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29 (76.32%)</w:t>
            </w:r>
          </w:p>
        </w:tc>
        <w:tc>
          <w:tcPr>
            <w:tcW w:w="1017" w:type="dxa"/>
            <w:vMerge w:val="restart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0.7481</w:t>
            </w:r>
          </w:p>
        </w:tc>
      </w:tr>
      <w:tr w:rsidR="00337B2B" w:rsidTr="009804BC">
        <w:trPr>
          <w:trHeight w:val="536"/>
          <w:jc w:val="center"/>
        </w:trPr>
        <w:tc>
          <w:tcPr>
            <w:tcW w:w="2072" w:type="dxa"/>
            <w:vMerge/>
          </w:tcPr>
          <w:p w:rsidR="00337B2B" w:rsidRDefault="00337B2B" w:rsidP="009804BC"/>
        </w:tc>
        <w:tc>
          <w:tcPr>
            <w:tcW w:w="1251" w:type="dxa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Medium risk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11 (26.83%)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9 (23.68%)</w:t>
            </w:r>
          </w:p>
        </w:tc>
        <w:tc>
          <w:tcPr>
            <w:tcW w:w="1017" w:type="dxa"/>
            <w:vMerge/>
          </w:tcPr>
          <w:p w:rsidR="00337B2B" w:rsidRDefault="00337B2B" w:rsidP="009804BC"/>
        </w:tc>
      </w:tr>
      <w:tr w:rsidR="00337B2B" w:rsidRPr="00B81C13" w:rsidTr="009804BC">
        <w:trPr>
          <w:trHeight w:val="54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Predicted distance (m)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 xml:space="preserve">563.75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81C13">
              <w:rPr>
                <w:rFonts w:ascii="Arial" w:hAnsi="Arial"/>
                <w:sz w:val="18"/>
                <w:szCs w:val="18"/>
              </w:rPr>
              <w:t>69.33(574.46, 441.39-688.48)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 xml:space="preserve">609.56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98.1 (626.22, 452.16-781) </w:t>
            </w:r>
          </w:p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>0.0347</w:t>
            </w:r>
          </w:p>
        </w:tc>
      </w:tr>
      <w:tr w:rsidR="00337B2B" w:rsidRPr="00B81C13" w:rsidTr="009804BC">
        <w:trPr>
          <w:trHeight w:val="54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Walked distance (m)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>471.63 ± 58.02 (457, 342-597)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>475.47 ± 57.26 (478, 330-604)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1C13">
              <w:rPr>
                <w:rFonts w:ascii="Arial" w:hAnsi="Arial"/>
                <w:sz w:val="18"/>
                <w:szCs w:val="18"/>
              </w:rPr>
              <w:t>0.5140</w:t>
            </w:r>
          </w:p>
        </w:tc>
      </w:tr>
      <w:tr w:rsidR="00337B2B" w:rsidRPr="00B81C13" w:rsidTr="009804BC">
        <w:trPr>
          <w:trHeight w:val="54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Walked distance</w:t>
            </w:r>
            <w:r w:rsidRPr="00555EE0"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 xml:space="preserve"> of the predicted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555EE0"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(%)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83.8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13.32 (82.86, 63.47-121.08)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78.74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13.49 (79.04, 53.3-102.28)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0.2509</w:t>
            </w:r>
          </w:p>
        </w:tc>
      </w:tr>
      <w:tr w:rsidR="00337B2B" w:rsidRPr="00B81C13" w:rsidTr="009804BC">
        <w:trPr>
          <w:trHeight w:val="54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Drop </w:t>
            </w:r>
            <w:r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</w:rPr>
              <w:t>SpO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</w:rPr>
              <w:t xml:space="preserve">2 </w:t>
            </w:r>
            <w:r w:rsidRPr="000D20AB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≥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  <w:u w:color="FF2600"/>
              </w:rPr>
              <w:t>4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(9.76%)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(10.53%)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1.0000</w:t>
            </w:r>
          </w:p>
        </w:tc>
      </w:tr>
      <w:tr w:rsidR="00337B2B" w:rsidRPr="00B81C13" w:rsidTr="009804BC">
        <w:trPr>
          <w:trHeight w:val="54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Drop SpO2 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-0.83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3.19 (0, -15 – 3)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-0.45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3.14 (0, -15 – 4)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0.3340</w:t>
            </w:r>
          </w:p>
        </w:tc>
      </w:tr>
      <w:tr w:rsidR="00337B2B" w:rsidRPr="00B81C13" w:rsidTr="009804BC">
        <w:trPr>
          <w:trHeight w:val="582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Symptomatic MRC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(9.3%)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 (15.79%)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0.5032</w:t>
            </w:r>
          </w:p>
        </w:tc>
      </w:tr>
      <w:tr w:rsidR="00337B2B" w:rsidRPr="00B81C13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Pr="001224BE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</w:pPr>
            <w:r w:rsidRPr="001224BE"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FVC or FEV1 &lt; 80% of the predicted</w:t>
            </w:r>
          </w:p>
        </w:tc>
        <w:tc>
          <w:tcPr>
            <w:tcW w:w="3550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 (32.43%)</w:t>
            </w:r>
          </w:p>
        </w:tc>
        <w:tc>
          <w:tcPr>
            <w:tcW w:w="3063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(27.78%)</w:t>
            </w:r>
          </w:p>
        </w:tc>
        <w:tc>
          <w:tcPr>
            <w:tcW w:w="1017" w:type="dxa"/>
          </w:tcPr>
          <w:p w:rsidR="00337B2B" w:rsidRPr="00B81C13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0.6648</w:t>
            </w:r>
          </w:p>
        </w:tc>
      </w:tr>
      <w:tr w:rsidR="00337B2B" w:rsidRPr="00B81C13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Pr="00562DE6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FVC (L)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0.64 (2.93, 1.94-4.63)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3.11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0.73 (3.02, 1.7-4.86)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0.5318</w:t>
            </w:r>
          </w:p>
        </w:tc>
      </w:tr>
      <w:tr w:rsidR="00337B2B" w:rsidRPr="00B81C13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Pr="00562DE6" w:rsidRDefault="00337B2B" w:rsidP="009804BC">
            <w:pPr>
              <w:pStyle w:val="EstilodeTabela1A"/>
              <w:spacing w:line="360" w:lineRule="auto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FVC (%)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89.68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13.4 (89, 70-126)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88.31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/>
                <w:sz w:val="18"/>
                <w:szCs w:val="18"/>
              </w:rPr>
              <w:t xml:space="preserve"> 15.4 (90, 56-126)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2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0.9077</w:t>
            </w:r>
          </w:p>
        </w:tc>
      </w:tr>
      <w:tr w:rsidR="00337B2B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 (L)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2.43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0.56 (2.43, 1.68-3.68)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2.53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0.66 (2.51, 0.95-4.08)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0.4426</w:t>
            </w:r>
          </w:p>
        </w:tc>
      </w:tr>
      <w:tr w:rsidR="00337B2B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 (%)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88.49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13.93 (86, 67-127)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86.89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16.27 (89, 38-116)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0.8382</w:t>
            </w:r>
          </w:p>
        </w:tc>
      </w:tr>
      <w:tr w:rsidR="00337B2B" w:rsidTr="009804BC">
        <w:trPr>
          <w:trHeight w:val="573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  <w:jc w:val="both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FEV1/CVF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81.01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4.88 (82.1, 68.9-94.4)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81.51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6.79 (82.05, 55.8-95.3)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0.4141</w:t>
            </w:r>
          </w:p>
        </w:tc>
      </w:tr>
      <w:tr w:rsidR="00337B2B" w:rsidTr="009804BC">
        <w:trPr>
          <w:trHeight w:val="429"/>
          <w:jc w:val="center"/>
        </w:trPr>
        <w:tc>
          <w:tcPr>
            <w:tcW w:w="3324" w:type="dxa"/>
            <w:gridSpan w:val="2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FEV1/CFV (%)</w:t>
            </w:r>
          </w:p>
        </w:tc>
        <w:tc>
          <w:tcPr>
            <w:tcW w:w="3550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99.11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5.89 (100, 84-113)</w:t>
            </w:r>
          </w:p>
        </w:tc>
        <w:tc>
          <w:tcPr>
            <w:tcW w:w="3063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98.31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8 (100, 67-112)</w:t>
            </w:r>
          </w:p>
        </w:tc>
        <w:tc>
          <w:tcPr>
            <w:tcW w:w="1017" w:type="dxa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0.6779</w:t>
            </w:r>
          </w:p>
        </w:tc>
      </w:tr>
    </w:tbl>
    <w:p w:rsidR="00337B2B" w:rsidRDefault="00337B2B" w:rsidP="00337B2B">
      <w:pPr>
        <w:pStyle w:val="Pr-formatao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98"/>
        </w:tabs>
        <w:spacing w:line="480" w:lineRule="auto"/>
        <w:jc w:val="both"/>
        <w:rPr>
          <w:rFonts w:ascii="Arial" w:eastAsia="Arial Unicode MS" w:hAnsi="Arial" w:cs="Arial Unicode MS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37B2B" w:rsidRPr="005C41C6" w:rsidRDefault="00337B2B" w:rsidP="00337B2B">
      <w:pPr>
        <w:pStyle w:val="Pr-formatao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98"/>
        </w:tabs>
        <w:jc w:val="both"/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Walking test medium risk: up to 439 meters; Walking test low risk: ≥ 440 meters;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Drop SpO2: final-initial </w:t>
      </w:r>
      <w:r w:rsidRPr="00B360DA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SpO2</w:t>
      </w:r>
    </w:p>
    <w:p w:rsidR="00337B2B" w:rsidRPr="005B0FBD" w:rsidRDefault="00337B2B" w:rsidP="00337B2B">
      <w:pPr>
        <w:pStyle w:val="Pr-formatao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98"/>
        </w:tabs>
        <w:jc w:val="both"/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Symptomatic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MRC: Dyspnea scale of the Medical Research Council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between 3 to 5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; FVC: forced vital capacity; FEV1: forced expiratory volume in the first second; FEV1/FVC: forced expiratory volume in one second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forced vital capacity 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ratio</w:t>
      </w:r>
    </w:p>
    <w:p w:rsidR="00337B2B" w:rsidRPr="005B0FBD" w:rsidRDefault="00337B2B" w:rsidP="00337B2B">
      <w:pPr>
        <w:pStyle w:val="CorpoA"/>
        <w:rPr>
          <w:rFonts w:ascii="Arial" w:hAnsi="Arial"/>
          <w:color w:val="202124"/>
          <w:sz w:val="18"/>
          <w:szCs w:val="18"/>
          <w:u w:color="202124"/>
        </w:rPr>
      </w:pPr>
    </w:p>
    <w:p w:rsidR="00337B2B" w:rsidRDefault="00337B2B" w:rsidP="00337B2B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</w:tabs>
        <w:rPr>
          <w:rFonts w:ascii="Arial" w:eastAsia="Arial" w:hAnsi="Arial" w:cs="Arial"/>
          <w:color w:val="202124"/>
          <w:sz w:val="18"/>
          <w:szCs w:val="18"/>
          <w:u w:color="202124"/>
        </w:rPr>
      </w:pPr>
      <w:r>
        <w:rPr>
          <w:rFonts w:ascii="Arial" w:hAnsi="Arial"/>
          <w:color w:val="202124"/>
          <w:sz w:val="18"/>
          <w:szCs w:val="18"/>
          <w:u w:color="202124"/>
        </w:rPr>
        <w:t xml:space="preserve">Categorical variables </w:t>
      </w:r>
      <w:proofErr w:type="gramStart"/>
      <w:r>
        <w:rPr>
          <w:rFonts w:ascii="Arial" w:hAnsi="Arial"/>
          <w:color w:val="202124"/>
          <w:sz w:val="18"/>
          <w:szCs w:val="18"/>
          <w:u w:color="202124"/>
        </w:rPr>
        <w:t>are represented</w:t>
      </w:r>
      <w:proofErr w:type="gramEnd"/>
      <w:r>
        <w:rPr>
          <w:rFonts w:ascii="Arial" w:hAnsi="Arial"/>
          <w:color w:val="202124"/>
          <w:sz w:val="18"/>
          <w:szCs w:val="18"/>
          <w:u w:color="202124"/>
        </w:rPr>
        <w:t xml:space="preserve"> by the absolute value and frequency in percentage. Continuous variables </w:t>
      </w:r>
      <w:proofErr w:type="gramStart"/>
      <w:r>
        <w:rPr>
          <w:rFonts w:ascii="Arial" w:hAnsi="Arial"/>
          <w:color w:val="202124"/>
          <w:sz w:val="18"/>
          <w:szCs w:val="18"/>
          <w:u w:color="202124"/>
        </w:rPr>
        <w:t>are represented</w:t>
      </w:r>
      <w:proofErr w:type="gramEnd"/>
      <w:r>
        <w:rPr>
          <w:rFonts w:ascii="Arial" w:hAnsi="Arial"/>
          <w:color w:val="202124"/>
          <w:sz w:val="18"/>
          <w:szCs w:val="18"/>
          <w:u w:color="202124"/>
        </w:rPr>
        <w:t xml:space="preserve"> by values ​​of mean ± standard deviation (median, minimum and maximum).</w:t>
      </w:r>
    </w:p>
    <w:p w:rsidR="00337B2B" w:rsidRDefault="00337B2B" w:rsidP="00337B2B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</w:tabs>
        <w:rPr>
          <w:rFonts w:ascii="Arial" w:eastAsia="Arial" w:hAnsi="Arial" w:cs="Arial"/>
          <w:color w:val="202124"/>
          <w:sz w:val="20"/>
          <w:szCs w:val="20"/>
          <w:u w:color="202124"/>
        </w:rPr>
      </w:pPr>
    </w:p>
    <w:p w:rsidR="00337B2B" w:rsidRDefault="00337B2B" w:rsidP="00337B2B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</w:tabs>
        <w:rPr>
          <w:rFonts w:ascii="Arial" w:eastAsia="Arial" w:hAnsi="Arial" w:cs="Arial"/>
          <w:color w:val="202124"/>
          <w:sz w:val="18"/>
          <w:szCs w:val="18"/>
          <w:u w:color="202124"/>
        </w:rPr>
      </w:pPr>
    </w:p>
    <w:p w:rsidR="00337B2B" w:rsidRDefault="00337B2B" w:rsidP="00337B2B">
      <w:pPr>
        <w:pStyle w:val="CorpoA"/>
        <w:spacing w:after="160" w:line="259" w:lineRule="auto"/>
        <w:jc w:val="both"/>
      </w:pPr>
      <w:r>
        <w:rPr>
          <w:rFonts w:ascii="Arial Unicode MS" w:hAnsi="Arial Unicode MS"/>
          <w:sz w:val="18"/>
          <w:szCs w:val="18"/>
        </w:rPr>
        <w:br w:type="page"/>
      </w:r>
    </w:p>
    <w:p w:rsidR="00337B2B" w:rsidRDefault="00337B2B" w:rsidP="00337B2B">
      <w:pPr>
        <w:pStyle w:val="CorpoA"/>
        <w:spacing w:after="160" w:line="259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lastRenderedPageBreak/>
        <w:t xml:space="preserve">Table </w:t>
      </w:r>
      <w:proofErr w:type="gramStart"/>
      <w:r>
        <w:rPr>
          <w:rFonts w:ascii="Arial" w:hAnsi="Arial"/>
          <w:sz w:val="22"/>
          <w:szCs w:val="22"/>
        </w:rPr>
        <w:t>2</w:t>
      </w:r>
      <w:proofErr w:type="gramEnd"/>
      <w:r>
        <w:rPr>
          <w:rFonts w:ascii="Arial" w:hAnsi="Arial"/>
          <w:sz w:val="22"/>
          <w:szCs w:val="22"/>
        </w:rPr>
        <w:t xml:space="preserve"> - Comparative analysis between the parameters used in the respiratory assessment of patients with Graves' disease according to the presence of Pulmonary Hypertension.</w:t>
      </w:r>
    </w:p>
    <w:tbl>
      <w:tblPr>
        <w:tblStyle w:val="NormalTable0"/>
        <w:tblW w:w="103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911"/>
        <w:gridCol w:w="3530"/>
        <w:gridCol w:w="193"/>
        <w:gridCol w:w="3112"/>
        <w:gridCol w:w="1088"/>
      </w:tblGrid>
      <w:tr w:rsidR="00337B2B" w:rsidRPr="00645EA0" w:rsidTr="009804BC">
        <w:trPr>
          <w:trHeight w:val="211"/>
          <w:jc w:val="center"/>
        </w:trPr>
        <w:tc>
          <w:tcPr>
            <w:tcW w:w="24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645EA0" w:rsidRDefault="00337B2B" w:rsidP="009804BC">
            <w:pPr>
              <w:pStyle w:val="EstilodeTabela1A"/>
              <w:spacing w:line="360" w:lineRule="auto"/>
              <w:rPr>
                <w:rFonts w:ascii="Arial" w:hAnsi="Arial"/>
                <w:bCs w:val="0"/>
                <w:sz w:val="18"/>
                <w:szCs w:val="18"/>
              </w:rPr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 xml:space="preserve">RESPIRATORY </w:t>
            </w:r>
          </w:p>
          <w:p w:rsidR="00337B2B" w:rsidRPr="00645EA0" w:rsidRDefault="00337B2B" w:rsidP="009804BC">
            <w:pPr>
              <w:pStyle w:val="EstilodeTabela1A"/>
              <w:spacing w:line="360" w:lineRule="auto"/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>ASSESSMENT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645EA0" w:rsidRDefault="00337B2B" w:rsidP="009804BC">
            <w:pPr>
              <w:pStyle w:val="EstilodeTabela1A"/>
              <w:spacing w:line="360" w:lineRule="auto"/>
              <w:jc w:val="center"/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>PULMONARY HYPERTENSION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645EA0" w:rsidRDefault="00337B2B" w:rsidP="009804BC">
            <w:pPr>
              <w:pStyle w:val="EstilodeTabela1A"/>
              <w:spacing w:line="360" w:lineRule="auto"/>
              <w:jc w:val="center"/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>p-valor</w:t>
            </w:r>
          </w:p>
        </w:tc>
      </w:tr>
      <w:tr w:rsidR="00337B2B" w:rsidRPr="00645EA0" w:rsidTr="009804BC">
        <w:trPr>
          <w:trHeight w:val="211"/>
          <w:jc w:val="center"/>
        </w:trPr>
        <w:tc>
          <w:tcPr>
            <w:tcW w:w="247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37B2B" w:rsidRPr="00645EA0" w:rsidRDefault="00337B2B" w:rsidP="009804BC">
            <w:pPr>
              <w:rPr>
                <w:b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645EA0" w:rsidRDefault="00337B2B" w:rsidP="009804BC">
            <w:pPr>
              <w:pStyle w:val="EstilodeTabela1A"/>
              <w:spacing w:line="360" w:lineRule="auto"/>
              <w:jc w:val="center"/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>Yes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645EA0" w:rsidRDefault="00337B2B" w:rsidP="009804BC">
            <w:pPr>
              <w:pStyle w:val="EstilodeTabela1A"/>
              <w:spacing w:line="360" w:lineRule="auto"/>
              <w:jc w:val="center"/>
            </w:pPr>
            <w:r w:rsidRPr="00645EA0">
              <w:rPr>
                <w:rFonts w:ascii="Arial" w:hAnsi="Arial"/>
                <w:bCs w:val="0"/>
                <w:sz w:val="18"/>
                <w:szCs w:val="18"/>
              </w:rPr>
              <w:t>No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37B2B" w:rsidRPr="00645EA0" w:rsidRDefault="00337B2B" w:rsidP="009804BC">
            <w:pPr>
              <w:rPr>
                <w:b/>
              </w:rPr>
            </w:pPr>
          </w:p>
        </w:tc>
      </w:tr>
      <w:tr w:rsidR="00337B2B" w:rsidTr="009804BC">
        <w:trPr>
          <w:trHeight w:val="49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Walking test risk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Low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17 (70.83%)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29 (76.32%)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0.6308</w:t>
            </w:r>
          </w:p>
        </w:tc>
      </w:tr>
      <w:tr w:rsidR="00337B2B" w:rsidTr="009804BC">
        <w:trPr>
          <w:trHeight w:val="509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7B2B" w:rsidRDefault="00337B2B" w:rsidP="009804BC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Medium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7 (29.17%)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9 (23.68%)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7B2B" w:rsidRDefault="00337B2B" w:rsidP="009804BC"/>
        </w:tc>
      </w:tr>
      <w:tr w:rsidR="00337B2B" w:rsidTr="009804BC">
        <w:trPr>
          <w:trHeight w:val="519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Drop 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</w:rPr>
              <w:t xml:space="preserve">Sp02 </w:t>
            </w:r>
            <w:r w:rsidRPr="000D20AB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≥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  <w:u w:color="FF2600"/>
              </w:rPr>
              <w:t>4</w:t>
            </w:r>
            <w:r w:rsidRPr="000D20AB">
              <w:rPr>
                <w:rFonts w:ascii="Arial" w:hAnsi="Arial"/>
                <w:b w:val="0"/>
                <w:bCs w:val="0"/>
                <w:color w:val="000000" w:themeColor="text1"/>
                <w:sz w:val="18"/>
                <w:szCs w:val="18"/>
              </w:rPr>
              <w:t xml:space="preserve"> points 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2 (8.33%)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5 (13.16%)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0.6962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Symptomatic MRC 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3 (12%)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5 (13.51%)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1.0000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Pr="001224BE" w:rsidRDefault="00337B2B" w:rsidP="009804BC">
            <w:pPr>
              <w:pStyle w:val="EstilodeTabela1A"/>
              <w:spacing w:line="360" w:lineRule="auto"/>
              <w:rPr>
                <w:lang w:val="en-US"/>
              </w:rPr>
            </w:pPr>
            <w:r w:rsidRPr="001224BE"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>FVC or FEV1 &lt; 80% of the predicted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8 (40%)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10 (27.03%)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0.3146</w:t>
            </w:r>
          </w:p>
        </w:tc>
      </w:tr>
      <w:tr w:rsidR="00337B2B" w:rsidTr="009804BC">
        <w:trPr>
          <w:trHeight w:val="544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Walked distance (m)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472.17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62.51 (457.5, 342-604)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481.58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55.57 (483, 372-593)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0.4100</w:t>
            </w:r>
          </w:p>
        </w:tc>
      </w:tr>
      <w:tr w:rsidR="00337B2B" w:rsidTr="009804BC">
        <w:trPr>
          <w:trHeight w:val="544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 xml:space="preserve">Predicted distance 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(m)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570.33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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104.11 (546.06, 455.62-759.84)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599.65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75.04 (595.62, 441.39-781)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0.1619</w:t>
            </w:r>
          </w:p>
        </w:tc>
      </w:tr>
      <w:tr w:rsidR="00337B2B" w:rsidTr="009804BC">
        <w:trPr>
          <w:trHeight w:val="544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lang w:val="en-US"/>
              </w:rPr>
              <w:t xml:space="preserve">Predicted distance 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(%)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85.06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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13.86 (86.78, 53.3-112.71)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79.83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13.95 (79.22, 56.08-121.08)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0.1103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Drop SpO2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-1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3.91 (0, -15 – 3)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-0,53,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3.16 (0, -15 – 4)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0.5556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FVC (L)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2.87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0.87 (2.72, 1.7-4.86)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3.13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0.6 (3.07, 1.93-4.63)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0.0712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FVC (%)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83.7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10.08 (84, 56-98)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91.19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15.95 (91, 63-126)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0.0993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 (L)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2.31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0.79 (2.19, 0.95-4.08)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2.56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0.5 (2.55, 1.65-3.68)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0.0648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 (%)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82.05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13.99 (84, 38-104)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90.27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15.26 (90, 61-127)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0.0543</w:t>
            </w:r>
          </w:p>
        </w:tc>
      </w:tr>
      <w:tr w:rsidR="00337B2B" w:rsidTr="009804BC">
        <w:trPr>
          <w:trHeight w:val="544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FEV1/FVC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79.92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7.28 (81.85, 55.8-88.9)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82.15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5.35 (82.4, 66.7-95.3)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0.3709</w:t>
            </w:r>
          </w:p>
        </w:tc>
      </w:tr>
      <w:tr w:rsidR="00337B2B" w:rsidTr="009804BC">
        <w:trPr>
          <w:trHeight w:val="470"/>
          <w:jc w:val="center"/>
        </w:trPr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FEV1/FVC (%)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97.65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9.09 (99.5, 67-108)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99.38 </w:t>
            </w:r>
            <w:r>
              <w:rPr>
                <w:rFonts w:ascii="Symbol" w:hAnsi="Symbol"/>
                <w:b w:val="0"/>
                <w:bCs w:val="0"/>
                <w:sz w:val="18"/>
                <w:szCs w:val="18"/>
              </w:rPr>
              <w:t></w:t>
            </w: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6.26 (100, 80-113)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7B2B" w:rsidRDefault="00337B2B" w:rsidP="009804BC">
            <w:pPr>
              <w:pStyle w:val="EstilodeTabela1A"/>
              <w:spacing w:line="360" w:lineRule="auto"/>
              <w:jc w:val="center"/>
            </w:pPr>
            <w:r>
              <w:rPr>
                <w:rFonts w:ascii="Arial" w:hAnsi="Arial"/>
                <w:b w:val="0"/>
                <w:bCs w:val="0"/>
                <w:sz w:val="18"/>
                <w:szCs w:val="18"/>
              </w:rPr>
              <w:t>0.7122</w:t>
            </w:r>
          </w:p>
        </w:tc>
      </w:tr>
    </w:tbl>
    <w:p w:rsidR="00337B2B" w:rsidRPr="005C41C6" w:rsidRDefault="00337B2B" w:rsidP="00337B2B">
      <w:pPr>
        <w:pStyle w:val="Pr-formatao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98"/>
        </w:tabs>
        <w:jc w:val="both"/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Walking test medium risk: up to 439 meters; Walking test low risk: ≥ 440 meters;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Drop SpO2: final-initial SpO2</w:t>
      </w:r>
    </w:p>
    <w:p w:rsidR="00337B2B" w:rsidRPr="00547844" w:rsidRDefault="00337B2B" w:rsidP="00337B2B">
      <w:pPr>
        <w:pStyle w:val="Pr-formataoHTML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98"/>
        </w:tabs>
        <w:jc w:val="both"/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Symptomatic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MRC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Dyspnea scale of the Medical Research Council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between 3 to 5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; FVC: forced vital capacity; FEV1: forced expiratory volume in the first second; FEV1/FVC: forced expiratory volume in one second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C41C6">
        <w:rPr>
          <w:rFonts w:ascii="Arial" w:eastAsia="Arial Unicode MS" w:hAnsi="Arial" w:cs="Arial Unicode MS"/>
          <w:color w:val="202124"/>
          <w:sz w:val="18"/>
          <w:szCs w:val="18"/>
          <w:u w:color="2021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forced vital capacity ratio</w:t>
      </w:r>
    </w:p>
    <w:p w:rsidR="00337B2B" w:rsidRDefault="00337B2B" w:rsidP="00337B2B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</w:tabs>
        <w:rPr>
          <w:rFonts w:ascii="Arial" w:hAnsi="Arial"/>
          <w:color w:val="202124"/>
          <w:sz w:val="18"/>
          <w:szCs w:val="18"/>
          <w:u w:color="202124"/>
        </w:rPr>
      </w:pPr>
    </w:p>
    <w:p w:rsidR="00EC2268" w:rsidRPr="00337B2B" w:rsidRDefault="00EC2268">
      <w:pPr>
        <w:rPr>
          <w:lang w:val="en-US"/>
        </w:rPr>
      </w:pPr>
    </w:p>
    <w:sectPr w:rsidR="00EC2268" w:rsidRPr="00337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B"/>
    <w:rsid w:val="00337B2B"/>
    <w:rsid w:val="00E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FF54-8AFB-422E-90F2-38851E1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2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337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337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t-B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-formataoHTML">
    <w:name w:val="HTML Preformatted"/>
    <w:link w:val="Pr-formataoHTMLChar"/>
    <w:uiPriority w:val="99"/>
    <w:rsid w:val="00337B2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pt-PT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37B2B"/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pt-PT" w:eastAsia="pt-BR"/>
    </w:rPr>
  </w:style>
  <w:style w:type="paragraph" w:customStyle="1" w:styleId="EstilodeTabela1A">
    <w:name w:val="Estilo de Tabela 1 A"/>
    <w:rsid w:val="00337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:lang w:val="pt-PT" w:eastAsia="pt-BR"/>
    </w:rPr>
  </w:style>
  <w:style w:type="paragraph" w:customStyle="1" w:styleId="EstilodeTabela2A">
    <w:name w:val="Estilo de Tabela 2 A"/>
    <w:rsid w:val="00337B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2021-11-02T13:39:00Z</dcterms:created>
  <dcterms:modified xsi:type="dcterms:W3CDTF">2021-11-02T13:44:00Z</dcterms:modified>
</cp:coreProperties>
</file>