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79F09" w14:textId="1D459088" w:rsidR="003D6EA4" w:rsidRPr="00DB328E" w:rsidRDefault="003D6EA4" w:rsidP="00DB328E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328E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5C5967" w:rsidRPr="00DB328E">
        <w:rPr>
          <w:rFonts w:ascii="Times New Roman" w:hAnsi="Times New Roman" w:cs="Times New Roman"/>
          <w:b/>
          <w:bCs/>
          <w:sz w:val="24"/>
          <w:szCs w:val="24"/>
        </w:rPr>
        <w:t>upplementary</w:t>
      </w:r>
      <w:r w:rsidRPr="00DB328E">
        <w:rPr>
          <w:rFonts w:ascii="Times New Roman" w:hAnsi="Times New Roman" w:cs="Times New Roman" w:hint="eastAsia"/>
          <w:b/>
          <w:bCs/>
          <w:sz w:val="24"/>
          <w:szCs w:val="24"/>
        </w:rPr>
        <w:t>- I</w:t>
      </w:r>
      <w:r w:rsidRPr="00DB328E">
        <w:rPr>
          <w:rFonts w:ascii="Times New Roman" w:hAnsi="Times New Roman" w:cs="Times New Roman"/>
          <w:b/>
          <w:bCs/>
          <w:sz w:val="24"/>
          <w:szCs w:val="24"/>
        </w:rPr>
        <w:t xml:space="preserve">nclusion criteria </w:t>
      </w:r>
      <w:r w:rsidRPr="00DB328E">
        <w:rPr>
          <w:rFonts w:ascii="Times New Roman" w:hAnsi="Times New Roman" w:cs="Times New Roman" w:hint="eastAsia"/>
          <w:b/>
          <w:bCs/>
          <w:sz w:val="24"/>
          <w:szCs w:val="24"/>
        </w:rPr>
        <w:t>a</w:t>
      </w:r>
      <w:r w:rsidRPr="00DB328E">
        <w:rPr>
          <w:rFonts w:ascii="Times New Roman" w:hAnsi="Times New Roman" w:cs="Times New Roman"/>
          <w:b/>
          <w:bCs/>
          <w:sz w:val="24"/>
          <w:szCs w:val="24"/>
        </w:rPr>
        <w:t>nd Exclusion criteria</w:t>
      </w:r>
    </w:p>
    <w:p w14:paraId="514CB6AE" w14:textId="6C01D497" w:rsidR="003D6EA4" w:rsidRPr="00DB328E" w:rsidRDefault="003D6EA4" w:rsidP="00DB328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B328E">
        <w:rPr>
          <w:rFonts w:ascii="Times New Roman" w:hAnsi="Times New Roman" w:cs="Times New Roman" w:hint="eastAsia"/>
          <w:sz w:val="24"/>
          <w:szCs w:val="24"/>
        </w:rPr>
        <w:t>I</w:t>
      </w:r>
      <w:r w:rsidRPr="00DB328E">
        <w:rPr>
          <w:rFonts w:ascii="Times New Roman" w:hAnsi="Times New Roman" w:cs="Times New Roman"/>
          <w:sz w:val="24"/>
          <w:szCs w:val="24"/>
        </w:rPr>
        <w:t xml:space="preserve">nclusion criteria: </w:t>
      </w:r>
      <w:r w:rsidR="00662A73" w:rsidRPr="00DB328E">
        <w:rPr>
          <w:rFonts w:ascii="Times New Roman" w:hAnsi="Times New Roman" w:cs="Times New Roman"/>
          <w:sz w:val="24"/>
          <w:szCs w:val="24"/>
        </w:rPr>
        <w:t xml:space="preserve">(1) age ≥18 years old; (2) onset of symptoms within the last 14 days; (3) National Institutes of Health Stroke Scale score(NIHSS)≤22 when enrolled; (4) carotid intima-media-thickness (IMT) by ultrasound≥1.5mm. Exclusion criteria: (1) non-cerebral infarction disease including intracranial hemorrhage (intracranial parenchymal hemorrhage, subarachnoid hemorrhage, subdural hematoma or epidural hematoma), tumor, infection, etc.; (2) suspected cardiogenic embolism or previous history of congenital heart disease, rheumatic heart disease, atrial fibrillation, etc.; (3) suspected non-atherosclerotic vascular lesions ((i.e., vasculitis, arterial dissection, or </w:t>
      </w:r>
      <w:proofErr w:type="spellStart"/>
      <w:r w:rsidR="00662A73" w:rsidRPr="00DB328E">
        <w:rPr>
          <w:rFonts w:ascii="Times New Roman" w:hAnsi="Times New Roman" w:cs="Times New Roman"/>
          <w:sz w:val="24"/>
          <w:szCs w:val="24"/>
        </w:rPr>
        <w:t>Moyamoya</w:t>
      </w:r>
      <w:proofErr w:type="spellEnd"/>
      <w:r w:rsidR="00662A73" w:rsidRPr="00DB328E">
        <w:rPr>
          <w:rFonts w:ascii="Times New Roman" w:hAnsi="Times New Roman" w:cs="Times New Roman"/>
          <w:sz w:val="24"/>
          <w:szCs w:val="24"/>
        </w:rPr>
        <w:t xml:space="preserve"> disease); (4) undergoing emergent thrombolysis or interventional treatments; (5) previous history of carotid endarterectomy or carotid stenting; (6) suffering from severe hepatic or renal insufficiency; (7) life expectancy &lt;1 year; (8) contraindication to MRI examination (including claustrophobia, metal placement in the body, etc.); (9) Severe stenosis or occlusion of the ipsilateral intracranial carotid artery or middle cerebral artery confirmed by magnetic resonance artery (MRA); (10) the image quality of HR VWMRI was too poor to be analyzed.</w:t>
      </w:r>
    </w:p>
    <w:sectPr w:rsidR="003D6EA4" w:rsidRPr="00DB3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32DB9" w14:textId="77777777" w:rsidR="00F8268F" w:rsidRDefault="00F8268F" w:rsidP="00E47510">
      <w:r>
        <w:separator/>
      </w:r>
    </w:p>
  </w:endnote>
  <w:endnote w:type="continuationSeparator" w:id="0">
    <w:p w14:paraId="5D0CA59D" w14:textId="77777777" w:rsidR="00F8268F" w:rsidRDefault="00F8268F" w:rsidP="00E47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E9A0C" w14:textId="77777777" w:rsidR="00F8268F" w:rsidRDefault="00F8268F" w:rsidP="00E47510">
      <w:r>
        <w:separator/>
      </w:r>
    </w:p>
  </w:footnote>
  <w:footnote w:type="continuationSeparator" w:id="0">
    <w:p w14:paraId="67158081" w14:textId="77777777" w:rsidR="00F8268F" w:rsidRDefault="00F8268F" w:rsidP="00E47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967"/>
    <w:rsid w:val="000C79FF"/>
    <w:rsid w:val="003D6EA4"/>
    <w:rsid w:val="005C5967"/>
    <w:rsid w:val="00662A73"/>
    <w:rsid w:val="007F2DA4"/>
    <w:rsid w:val="00B50DDB"/>
    <w:rsid w:val="00B82E6B"/>
    <w:rsid w:val="00DB328E"/>
    <w:rsid w:val="00E47510"/>
    <w:rsid w:val="00F8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569EB"/>
  <w15:chartTrackingRefBased/>
  <w15:docId w15:val="{9652EAB7-A6B4-4F05-87F2-B45773CD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5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75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75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75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车 锋丽</dc:creator>
  <cp:keywords/>
  <dc:description/>
  <cp:lastModifiedBy>车 锋丽</cp:lastModifiedBy>
  <cp:revision>3</cp:revision>
  <dcterms:created xsi:type="dcterms:W3CDTF">2021-11-01T02:39:00Z</dcterms:created>
  <dcterms:modified xsi:type="dcterms:W3CDTF">2021-11-04T09:55:00Z</dcterms:modified>
</cp:coreProperties>
</file>