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808C" w14:textId="77777777" w:rsidR="00EA08ED" w:rsidRPr="005F6526" w:rsidRDefault="00EA08ED" w:rsidP="005F6526">
      <w:pPr>
        <w:rPr>
          <w:rFonts w:ascii="Times New Roman" w:hAnsi="Times New Roman"/>
          <w:b/>
          <w:bCs/>
          <w:sz w:val="24"/>
        </w:rPr>
      </w:pPr>
      <w:r w:rsidRPr="005F6526">
        <w:rPr>
          <w:rFonts w:ascii="Times New Roman" w:hAnsi="Times New Roman"/>
          <w:b/>
          <w:bCs/>
          <w:sz w:val="24"/>
        </w:rPr>
        <w:t>Carotid MR Imaging Protocol</w:t>
      </w:r>
    </w:p>
    <w:p w14:paraId="296BA1EA" w14:textId="5AAF12DC" w:rsidR="000C79FF" w:rsidRPr="005F6526" w:rsidRDefault="00EA08ED" w:rsidP="005F6526">
      <w:pPr>
        <w:rPr>
          <w:rFonts w:ascii="Times New Roman" w:hAnsi="Times New Roman" w:hint="eastAsia"/>
          <w:sz w:val="24"/>
        </w:rPr>
      </w:pPr>
      <w:r w:rsidRPr="005F6526">
        <w:rPr>
          <w:rFonts w:ascii="Times New Roman" w:hAnsi="Times New Roman"/>
          <w:sz w:val="24"/>
        </w:rPr>
        <w:t>All patients underwent a routine brain MRI scan and carotid ultrasonographic screen to define the symptomatic carotid artery. Then, they were performed by carotid MR imaging on a 3T MR scanner (</w:t>
      </w:r>
      <w:proofErr w:type="spellStart"/>
      <w:r w:rsidRPr="005F6526">
        <w:rPr>
          <w:rFonts w:ascii="Times New Roman" w:hAnsi="Times New Roman"/>
          <w:sz w:val="24"/>
        </w:rPr>
        <w:t>Achieva</w:t>
      </w:r>
      <w:proofErr w:type="spellEnd"/>
      <w:r w:rsidRPr="005F6526">
        <w:rPr>
          <w:rFonts w:ascii="Times New Roman" w:hAnsi="Times New Roman"/>
          <w:sz w:val="24"/>
        </w:rPr>
        <w:t xml:space="preserve"> TX; Philips Healthcare, Best, </w:t>
      </w:r>
      <w:r w:rsidRPr="005F6526">
        <w:rPr>
          <w:rFonts w:ascii="Times New Roman" w:hAnsi="Times New Roman"/>
          <w:sz w:val="24"/>
          <w:u w:color="FA5050"/>
        </w:rPr>
        <w:t>the</w:t>
      </w:r>
      <w:r w:rsidRPr="005F6526">
        <w:rPr>
          <w:rFonts w:ascii="Times New Roman" w:hAnsi="Times New Roman"/>
          <w:sz w:val="24"/>
        </w:rPr>
        <w:t xml:space="preserve"> Netherlands) with 8-channel head coils. A </w:t>
      </w:r>
      <w:r w:rsidRPr="005F6526">
        <w:rPr>
          <w:rFonts w:ascii="Times New Roman" w:hAnsi="Times New Roman"/>
          <w:sz w:val="24"/>
          <w:u w:color="FA5050"/>
        </w:rPr>
        <w:t>standardized multisequence</w:t>
      </w:r>
      <w:r w:rsidRPr="005F6526">
        <w:rPr>
          <w:rFonts w:ascii="Times New Roman" w:hAnsi="Times New Roman"/>
          <w:sz w:val="24"/>
        </w:rPr>
        <w:t xml:space="preserve"> protocol was performed for the carotid artery bifurcation on the symptomatic side by acquiring three-dimensional time of flight (3D-TOF), T1-weighted (T1W), T2-weighted (T2W), and magnetization-prepared rapid acquisition gradient echo (MPRAGE) sequences. The contrast material was gadolinium diethylenetriamine </w:t>
      </w:r>
      <w:r w:rsidRPr="005F6526">
        <w:rPr>
          <w:rFonts w:ascii="Times New Roman" w:hAnsi="Times New Roman"/>
          <w:sz w:val="24"/>
          <w:u w:color="FA5050"/>
        </w:rPr>
        <w:t>pentametric</w:t>
      </w:r>
      <w:r w:rsidRPr="005F6526">
        <w:rPr>
          <w:rFonts w:ascii="Times New Roman" w:hAnsi="Times New Roman"/>
          <w:sz w:val="24"/>
        </w:rPr>
        <w:t xml:space="preserve"> acid (GD-DTPA) </w:t>
      </w:r>
      <w:r w:rsidRPr="005F6526">
        <w:rPr>
          <w:rFonts w:ascii="Times New Roman" w:hAnsi="Times New Roman"/>
          <w:sz w:val="24"/>
          <w:u w:color="FA5050"/>
        </w:rPr>
        <w:t>at</w:t>
      </w:r>
      <w:r w:rsidRPr="005F6526">
        <w:rPr>
          <w:rFonts w:ascii="Times New Roman" w:hAnsi="Times New Roman"/>
          <w:sz w:val="24"/>
        </w:rPr>
        <w:t xml:space="preserve"> an injection dose of 0.1mmol/Kg. In addition, delayed T1WI scanning was performed for about 5 minutes after intravenous injection. Finally, spectral preservation attenuated inversion recovery (SPAIR) was used in the black blood technique to enhance the contrast between the vessel wall and the surrounding tissue. The minimum resolution of each sequence plane reconstruction was 0.55</w:t>
      </w:r>
      <w:r w:rsidRPr="005F6526">
        <w:rPr>
          <w:rFonts w:ascii="Times New Roman" w:hAnsi="Times New Roman"/>
          <w:sz w:val="24"/>
          <w:u w:color="FA5050"/>
        </w:rPr>
        <w:t xml:space="preserve">mm × </w:t>
      </w:r>
      <w:r w:rsidRPr="005F6526">
        <w:rPr>
          <w:rFonts w:ascii="Times New Roman" w:hAnsi="Times New Roman"/>
          <w:sz w:val="24"/>
        </w:rPr>
        <w:t>0.55mm. Therefore, the total scanning time was about 35 minutes. The imaging parameters are as follows: (1) 3D-TOF MRA: repetition Time (TR)/echo Time (TE)=20/4.9ms, Flip Angle (FA)=20; Field of view (FOV)=140×140mm, matrix size=256×256, slice thickness=1.0mm; (2) T1W: TR/TE=800/10ms, FA=90, FOV=140mm×140mm, Matrix size=256×256, slice thickness=2.0mm; (3) T2W: TR/TE=4800/50ms, FA=90; FOV=140mm×140mm, matrix size=256×256, slice thickness=2.0mm; (4)MP-RAGE: TR/TE=8.8/5.3ms, FA=15, FOV=140mm×140mm, Matrix size=256×256, slice thickness=1.0mm</w:t>
      </w:r>
    </w:p>
    <w:sectPr w:rsidR="000C79FF" w:rsidRPr="005F6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ED"/>
    <w:rsid w:val="000C79FF"/>
    <w:rsid w:val="005F6526"/>
    <w:rsid w:val="00EA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FB71"/>
  <w15:chartTrackingRefBased/>
  <w15:docId w15:val="{43205164-E4D9-439C-A873-C1F41E9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8ED"/>
    <w:pPr>
      <w:spacing w:line="48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 锋丽</dc:creator>
  <cp:keywords/>
  <dc:description/>
  <cp:lastModifiedBy>车 锋丽</cp:lastModifiedBy>
  <cp:revision>2</cp:revision>
  <dcterms:created xsi:type="dcterms:W3CDTF">2021-11-01T02:45:00Z</dcterms:created>
  <dcterms:modified xsi:type="dcterms:W3CDTF">2021-11-04T09:54:00Z</dcterms:modified>
</cp:coreProperties>
</file>