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ACD7" w14:textId="77777777" w:rsidR="007D39E1" w:rsidRPr="00B1503A" w:rsidRDefault="007D39E1" w:rsidP="00B1503A">
      <w:pPr>
        <w:rPr>
          <w:rFonts w:ascii="Times New Roman" w:hAnsi="Times New Roman"/>
          <w:b/>
          <w:bCs/>
          <w:sz w:val="24"/>
        </w:rPr>
      </w:pPr>
      <w:r w:rsidRPr="00B1503A">
        <w:rPr>
          <w:rFonts w:ascii="Times New Roman" w:hAnsi="Times New Roman"/>
          <w:b/>
          <w:bCs/>
          <w:sz w:val="24"/>
        </w:rPr>
        <w:t>MRI Image Analysis</w:t>
      </w:r>
    </w:p>
    <w:p w14:paraId="14387827" w14:textId="48919AE5" w:rsidR="000C79FF" w:rsidRPr="008F57E2" w:rsidRDefault="007D39E1" w:rsidP="00B1503A">
      <w:pPr>
        <w:rPr>
          <w:rFonts w:ascii="Times New Roman" w:hAnsi="Times New Roman" w:hint="eastAsia"/>
          <w:sz w:val="24"/>
        </w:rPr>
      </w:pPr>
      <w:r w:rsidRPr="00B1503A">
        <w:rPr>
          <w:rFonts w:ascii="Times New Roman" w:hAnsi="Times New Roman"/>
          <w:sz w:val="24"/>
        </w:rPr>
        <w:t xml:space="preserve">We used a standard workstation (ADW4.4, G.E. Medical System, USA) for imaging analysis. We defined the plaque as a thickening of the focal wall relative to image slices from beneath the T2- and T1-weighted imaging focal wall. First, we manually outlined the vessel and lumen. Then, we measured the parameters of plaque burden and the stenosis ratio of the carotid. </w:t>
      </w:r>
      <w:bookmarkStart w:id="0" w:name="_Hlk86327178"/>
      <w:r w:rsidRPr="00B1503A">
        <w:rPr>
          <w:rFonts w:ascii="Times New Roman" w:hAnsi="Times New Roman"/>
          <w:sz w:val="24"/>
        </w:rPr>
        <w:t xml:space="preserve">We detected the plaque components (including calcification, </w:t>
      </w:r>
      <w:r w:rsidRPr="00B1503A">
        <w:rPr>
          <w:rFonts w:ascii="Times New Roman" w:eastAsia="等线" w:hAnsi="Times New Roman"/>
          <w:sz w:val="24"/>
        </w:rPr>
        <w:t>lipo-rich necrotic core</w:t>
      </w:r>
      <w:r w:rsidRPr="00B1503A">
        <w:rPr>
          <w:rFonts w:ascii="Times New Roman" w:hAnsi="Times New Roman"/>
          <w:sz w:val="24"/>
        </w:rPr>
        <w:t>, IPH, and fibrous cap rupture) and quantitatively analyzed them. According to the international standards of MRI</w:t>
      </w:r>
      <w:r w:rsidRPr="00B1503A" w:rsidDel="00A911BA">
        <w:rPr>
          <w:rFonts w:ascii="Times New Roman" w:hAnsi="Times New Roman"/>
          <w:sz w:val="24"/>
        </w:rPr>
        <w:t xml:space="preserve"> </w:t>
      </w:r>
      <w:bookmarkEnd w:id="0"/>
      <w:r w:rsidRPr="00B1503A">
        <w:rPr>
          <w:rFonts w:ascii="Times New Roman" w:hAnsi="Times New Roman"/>
          <w:sz w:val="24"/>
        </w:rPr>
        <w:fldChar w:fldCharType="begin">
          <w:fldData xml:space="preserve">PEVuZE5vdGU+PENpdGU+PEF1dGhvcj5Ld2VlPC9BdXRob3I+PFllYXI+MjAxMzwvWWVhcj48UmVj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</w:fldData>
        </w:fldChar>
      </w:r>
      <w:r w:rsidRPr="00B1503A">
        <w:rPr>
          <w:rFonts w:ascii="Times New Roman" w:hAnsi="Times New Roman"/>
          <w:sz w:val="24"/>
        </w:rPr>
        <w:instrText xml:space="preserve"> ADDIN EN.CITE </w:instrText>
      </w:r>
      <w:r w:rsidRPr="00B1503A">
        <w:rPr>
          <w:rFonts w:ascii="Times New Roman" w:hAnsi="Times New Roman"/>
          <w:sz w:val="24"/>
        </w:rPr>
        <w:fldChar w:fldCharType="begin">
          <w:fldData xml:space="preserve">PEVuZE5vdGU+PENpdGU+PEF1dGhvcj5Ld2VlPC9BdXRob3I+PFllYXI+MjAxMzwvWWVhcj48UmVj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</w:fldData>
        </w:fldChar>
      </w:r>
      <w:r w:rsidRPr="00B1503A">
        <w:rPr>
          <w:rFonts w:ascii="Times New Roman" w:hAnsi="Times New Roman"/>
          <w:sz w:val="24"/>
        </w:rPr>
        <w:instrText xml:space="preserve"> ADDIN EN.CITE.DATA </w:instrText>
      </w:r>
      <w:r w:rsidRPr="00B1503A">
        <w:rPr>
          <w:rFonts w:ascii="Times New Roman" w:hAnsi="Times New Roman"/>
          <w:sz w:val="24"/>
        </w:rPr>
      </w:r>
      <w:r w:rsidRPr="00B1503A">
        <w:rPr>
          <w:rFonts w:ascii="Times New Roman" w:hAnsi="Times New Roman"/>
          <w:sz w:val="24"/>
        </w:rPr>
        <w:fldChar w:fldCharType="end"/>
      </w:r>
      <w:r w:rsidRPr="00B1503A">
        <w:rPr>
          <w:rFonts w:ascii="Times New Roman" w:hAnsi="Times New Roman"/>
          <w:sz w:val="24"/>
        </w:rPr>
      </w:r>
      <w:r w:rsidRPr="00B1503A">
        <w:rPr>
          <w:rFonts w:ascii="Times New Roman" w:hAnsi="Times New Roman"/>
          <w:sz w:val="24"/>
        </w:rPr>
        <w:fldChar w:fldCharType="separate"/>
      </w:r>
      <w:r w:rsidRPr="00B1503A">
        <w:rPr>
          <w:rFonts w:ascii="Times New Roman" w:hAnsi="Times New Roman"/>
          <w:noProof/>
          <w:sz w:val="24"/>
        </w:rPr>
        <w:t>(29)</w:t>
      </w:r>
      <w:r w:rsidRPr="00B1503A">
        <w:rPr>
          <w:rFonts w:ascii="Times New Roman" w:hAnsi="Times New Roman"/>
          <w:sz w:val="24"/>
        </w:rPr>
        <w:fldChar w:fldCharType="end"/>
      </w:r>
      <w:r w:rsidRPr="00B1503A">
        <w:rPr>
          <w:rFonts w:ascii="Times New Roman" w:hAnsi="Times New Roman"/>
          <w:sz w:val="24"/>
        </w:rPr>
        <w:t xml:space="preserve">, calcification is characterized by </w:t>
      </w:r>
      <w:proofErr w:type="spellStart"/>
      <w:r w:rsidRPr="00B1503A">
        <w:rPr>
          <w:rFonts w:ascii="Times New Roman" w:hAnsi="Times New Roman"/>
          <w:sz w:val="24"/>
        </w:rPr>
        <w:t>hypointensities</w:t>
      </w:r>
      <w:proofErr w:type="spellEnd"/>
      <w:r w:rsidRPr="00B1503A">
        <w:rPr>
          <w:rFonts w:ascii="Times New Roman" w:hAnsi="Times New Roman"/>
          <w:sz w:val="24"/>
        </w:rPr>
        <w:t xml:space="preserve"> on TOF, T1W, T2W, and MPRAGE sequences; lipid-rich necrotic core (LRNC) manifests </w:t>
      </w:r>
      <w:proofErr w:type="spellStart"/>
      <w:r w:rsidRPr="00B1503A">
        <w:rPr>
          <w:rFonts w:ascii="Times New Roman" w:hAnsi="Times New Roman"/>
          <w:sz w:val="24"/>
        </w:rPr>
        <w:t>isointensities</w:t>
      </w:r>
      <w:proofErr w:type="spellEnd"/>
      <w:r w:rsidRPr="00B1503A">
        <w:rPr>
          <w:rFonts w:ascii="Times New Roman" w:hAnsi="Times New Roman"/>
          <w:sz w:val="24"/>
        </w:rPr>
        <w:t xml:space="preserve"> on TOF, T1W and T2W, and </w:t>
      </w:r>
      <w:proofErr w:type="spellStart"/>
      <w:r w:rsidRPr="00B1503A">
        <w:rPr>
          <w:rFonts w:ascii="Times New Roman" w:hAnsi="Times New Roman"/>
          <w:sz w:val="24"/>
        </w:rPr>
        <w:t>hypointensity</w:t>
      </w:r>
      <w:proofErr w:type="spellEnd"/>
      <w:r w:rsidRPr="00B1503A">
        <w:rPr>
          <w:rFonts w:ascii="Times New Roman" w:hAnsi="Times New Roman"/>
          <w:sz w:val="24"/>
        </w:rPr>
        <w:t xml:space="preserve"> on MPRAGE; IPH manifests hyperintensities on TOF, T1W and MPRAGE, and </w:t>
      </w:r>
      <w:proofErr w:type="spellStart"/>
      <w:r w:rsidRPr="00B1503A">
        <w:rPr>
          <w:rFonts w:ascii="Times New Roman" w:hAnsi="Times New Roman"/>
          <w:sz w:val="24"/>
        </w:rPr>
        <w:t>isointensity</w:t>
      </w:r>
      <w:proofErr w:type="spellEnd"/>
      <w:r w:rsidRPr="00B1503A">
        <w:rPr>
          <w:rFonts w:ascii="Times New Roman" w:hAnsi="Times New Roman"/>
          <w:sz w:val="24"/>
        </w:rPr>
        <w:t xml:space="preserve"> to hyperintensity on T2W. The image quality was divided into four grades: grade 1=the image of the carotid lumen and the outside of the blood vessel was not clear, or the signal-noise ratio (SNR) was low, and there were noticeable motion artifacts; Grade 2=the carotid artery wall was visible in the image, but the wall structure and the external contour of the vessel could not be judged, and SNR was low, or there were motion artifacts; Grade 3=the carotid artery wall structure, lumen, and outside vascular contour were clear, the blood flow signal in the lumen was not wholly suppressed, and SNR was high, accompanied by a small amount of movement or swallowing artifacts; Grade 4=the carotid artery wall structure, lumen, and outside vascular contour were clear, the blood flow signal in the lumen was wholly suppressed, and SNR was high without apparent artifacts. Therefore, the image quality </w:t>
      </w:r>
      <w:r w:rsidRPr="00B1503A">
        <w:rPr>
          <w:rFonts w:ascii="Times New Roman" w:hAnsi="Times New Roman"/>
          <w:sz w:val="24"/>
          <w:u w:color="FA5050"/>
        </w:rPr>
        <w:t>of</w:t>
      </w:r>
      <w:r w:rsidRPr="00B1503A">
        <w:rPr>
          <w:rFonts w:ascii="Times New Roman" w:hAnsi="Times New Roman" w:hint="eastAsia"/>
          <w:sz w:val="24"/>
          <w:u w:color="FA5050"/>
        </w:rPr>
        <w:t>≤</w:t>
      </w:r>
      <w:r w:rsidRPr="00B1503A">
        <w:rPr>
          <w:rFonts w:ascii="Times New Roman" w:hAnsi="Times New Roman"/>
          <w:sz w:val="24"/>
        </w:rPr>
        <w:t xml:space="preserve">grade 2 </w:t>
      </w:r>
      <w:r w:rsidRPr="00B1503A">
        <w:rPr>
          <w:rFonts w:ascii="Times New Roman" w:hAnsi="Times New Roman"/>
          <w:sz w:val="24"/>
        </w:rPr>
        <w:lastRenderedPageBreak/>
        <w:t xml:space="preserve">was excluded from the statistical analysis. Two experienced senior neuroimaging physicians reviewed all slices of the sequences of carotid plaques on HR VWMRI, blinded to the clinical information and the </w:t>
      </w:r>
      <w:bookmarkStart w:id="1" w:name="_Hlk75266940"/>
      <w:r w:rsidRPr="00B1503A">
        <w:rPr>
          <w:rFonts w:ascii="Times New Roman" w:hAnsi="Times New Roman"/>
          <w:sz w:val="24"/>
        </w:rPr>
        <w:t>diffusion-weighted images (DWI)</w:t>
      </w:r>
      <w:bookmarkEnd w:id="1"/>
      <w:r w:rsidRPr="00B1503A">
        <w:rPr>
          <w:rFonts w:ascii="Times New Roman" w:hAnsi="Times New Roman"/>
          <w:sz w:val="24"/>
        </w:rPr>
        <w:t xml:space="preserve">. Consensus interpretation was accepted for the final analysis if the two readers' interpretations were different. According to the reproducibility test, we randomly selected twenty patients from the study population every two months to test the consistency of inter-reader and </w:t>
      </w:r>
      <w:r w:rsidRPr="00B1503A">
        <w:rPr>
          <w:rFonts w:ascii="Times New Roman" w:hAnsi="Times New Roman"/>
          <w:sz w:val="24"/>
          <w:u w:color="FA5050"/>
        </w:rPr>
        <w:t>intrareader</w:t>
      </w:r>
      <w:r w:rsidRPr="00B1503A">
        <w:rPr>
          <w:rFonts w:ascii="Times New Roman" w:hAnsi="Times New Roman"/>
          <w:sz w:val="24"/>
        </w:rPr>
        <w:t xml:space="preserve"> in measuring carotid plaque morphology and carotid plaque compositions. </w:t>
      </w:r>
    </w:p>
    <w:sectPr w:rsidR="000C79FF" w:rsidRPr="008F5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E1"/>
    <w:rsid w:val="000C79FF"/>
    <w:rsid w:val="007D39E1"/>
    <w:rsid w:val="008F57E2"/>
    <w:rsid w:val="00B1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AD67"/>
  <w15:chartTrackingRefBased/>
  <w15:docId w15:val="{393C64DA-8B44-43B4-A526-CDE3F583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E1"/>
    <w:pPr>
      <w:spacing w:line="48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 锋丽</dc:creator>
  <cp:keywords/>
  <dc:description/>
  <cp:lastModifiedBy>车 锋丽</cp:lastModifiedBy>
  <cp:revision>3</cp:revision>
  <dcterms:created xsi:type="dcterms:W3CDTF">2021-11-01T02:45:00Z</dcterms:created>
  <dcterms:modified xsi:type="dcterms:W3CDTF">2021-11-04T09:56:00Z</dcterms:modified>
</cp:coreProperties>
</file>