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427E9" w14:textId="77777777" w:rsidR="007435C5" w:rsidRPr="001E6505" w:rsidRDefault="007435C5" w:rsidP="00DD18FE">
      <w:pPr>
        <w:ind w:left="709" w:hanging="709"/>
        <w:jc w:val="center"/>
      </w:pPr>
      <w:r w:rsidRPr="001E6505">
        <w:t xml:space="preserve">Supplementary </w:t>
      </w:r>
      <w:r>
        <w:t>m</w:t>
      </w:r>
      <w:r w:rsidRPr="001E6505">
        <w:t>aterials for:</w:t>
      </w:r>
    </w:p>
    <w:p w14:paraId="335BC05B" w14:textId="77777777" w:rsidR="007435C5" w:rsidRPr="001E6505" w:rsidRDefault="007435C5" w:rsidP="00DD18FE">
      <w:pPr>
        <w:ind w:left="709" w:hanging="709"/>
        <w:jc w:val="center"/>
      </w:pPr>
    </w:p>
    <w:p w14:paraId="4838F9D4" w14:textId="77777777" w:rsidR="004F0B36" w:rsidRPr="00407C42" w:rsidRDefault="004F0B36" w:rsidP="004F0B36">
      <w:pPr>
        <w:jc w:val="center"/>
      </w:pPr>
      <w:r w:rsidRPr="005C721F">
        <w:rPr>
          <w:b/>
        </w:rPr>
        <w:t>Subgroups in Late Adulthood are Associated with Cognition and Wellbeing Later in Life</w:t>
      </w:r>
    </w:p>
    <w:p w14:paraId="2F53F402" w14:textId="77777777" w:rsidR="007435C5" w:rsidRPr="001E6505" w:rsidRDefault="007435C5" w:rsidP="00DD18FE">
      <w:pPr>
        <w:jc w:val="center"/>
        <w:rPr>
          <w:b/>
        </w:rPr>
      </w:pPr>
    </w:p>
    <w:p w14:paraId="42C4B97B" w14:textId="77777777" w:rsidR="007435C5" w:rsidRPr="001E6505" w:rsidRDefault="007435C5" w:rsidP="00DD18FE">
      <w:pPr>
        <w:jc w:val="center"/>
        <w:rPr>
          <w:b/>
        </w:rPr>
      </w:pPr>
    </w:p>
    <w:p w14:paraId="68184917" w14:textId="361C4B08" w:rsidR="00A06386" w:rsidRPr="001E6505" w:rsidRDefault="00A06386" w:rsidP="00DD18FE">
      <w:pPr>
        <w:jc w:val="center"/>
        <w:rPr>
          <w:vertAlign w:val="superscript"/>
          <w:lang w:val="nl-NL"/>
        </w:rPr>
      </w:pPr>
      <w:r w:rsidRPr="001E6505">
        <w:rPr>
          <w:lang w:val="nl-NL"/>
        </w:rPr>
        <w:t>Tulsi A. Radhoe</w:t>
      </w:r>
      <w:r w:rsidRPr="001E6505">
        <w:rPr>
          <w:vertAlign w:val="superscript"/>
          <w:lang w:val="nl-NL"/>
        </w:rPr>
        <w:t>1</w:t>
      </w:r>
      <w:r w:rsidRPr="001E6505">
        <w:rPr>
          <w:lang w:val="nl-NL"/>
        </w:rPr>
        <w:t xml:space="preserve">, Joost A. Agelink van Rentergem </w:t>
      </w:r>
      <w:r w:rsidRPr="001E6505">
        <w:rPr>
          <w:vertAlign w:val="superscript"/>
          <w:lang w:val="nl-NL"/>
        </w:rPr>
        <w:t>1</w:t>
      </w:r>
      <w:r w:rsidRPr="001E6505">
        <w:rPr>
          <w:lang w:val="nl-NL"/>
        </w:rPr>
        <w:t>, Almar A. L. Kok</w:t>
      </w:r>
      <w:r w:rsidRPr="001E6505">
        <w:rPr>
          <w:vertAlign w:val="superscript"/>
          <w:lang w:val="nl-NL"/>
        </w:rPr>
        <w:t>2</w:t>
      </w:r>
      <w:r>
        <w:rPr>
          <w:vertAlign w:val="superscript"/>
          <w:lang w:val="nl-NL"/>
        </w:rPr>
        <w:t>,3</w:t>
      </w:r>
      <w:r w:rsidRPr="001E6505">
        <w:rPr>
          <w:lang w:val="nl-NL"/>
        </w:rPr>
        <w:t>, Martijn Huisman</w:t>
      </w:r>
      <w:r w:rsidRPr="001E6505">
        <w:rPr>
          <w:vertAlign w:val="superscript"/>
          <w:lang w:val="nl-NL"/>
        </w:rPr>
        <w:t>2</w:t>
      </w:r>
      <w:r>
        <w:rPr>
          <w:vertAlign w:val="superscript"/>
          <w:lang w:val="nl-NL"/>
        </w:rPr>
        <w:t>,4</w:t>
      </w:r>
      <w:r w:rsidRPr="001E6505">
        <w:rPr>
          <w:lang w:val="nl-NL"/>
        </w:rPr>
        <w:t>, Hilde M. Geurts</w:t>
      </w:r>
      <w:r w:rsidRPr="001E6505">
        <w:rPr>
          <w:vertAlign w:val="superscript"/>
          <w:lang w:val="nl-NL"/>
        </w:rPr>
        <w:t>1,</w:t>
      </w:r>
      <w:r>
        <w:rPr>
          <w:vertAlign w:val="superscript"/>
          <w:lang w:val="nl-NL"/>
        </w:rPr>
        <w:t>5</w:t>
      </w:r>
    </w:p>
    <w:p w14:paraId="4C5D56A6" w14:textId="77777777" w:rsidR="007435C5" w:rsidRPr="001E6505" w:rsidRDefault="007435C5" w:rsidP="00DD18FE">
      <w:pPr>
        <w:jc w:val="center"/>
        <w:rPr>
          <w:vertAlign w:val="superscript"/>
          <w:lang w:val="nl-NL"/>
        </w:rPr>
      </w:pPr>
    </w:p>
    <w:p w14:paraId="33D20A34" w14:textId="77777777" w:rsidR="007435C5" w:rsidRPr="001E6505" w:rsidRDefault="007435C5" w:rsidP="00DD18FE">
      <w:pPr>
        <w:jc w:val="center"/>
        <w:rPr>
          <w:lang w:val="nl-NL"/>
        </w:rPr>
      </w:pPr>
    </w:p>
    <w:p w14:paraId="4FA0366F" w14:textId="77777777" w:rsidR="00A06386" w:rsidRPr="001E6505" w:rsidRDefault="00A06386" w:rsidP="00DD18FE">
      <w:pPr>
        <w:rPr>
          <w:vertAlign w:val="superscript"/>
          <w:lang w:val="nl-NL"/>
        </w:rPr>
      </w:pPr>
      <w:r w:rsidRPr="001E6505">
        <w:rPr>
          <w:vertAlign w:val="superscript"/>
          <w:lang w:val="nl-NL"/>
        </w:rPr>
        <w:t xml:space="preserve">1 </w:t>
      </w:r>
      <w:r w:rsidRPr="001E6505">
        <w:rPr>
          <w:lang w:val="nl-NL"/>
        </w:rPr>
        <w:t xml:space="preserve">Dutch </w:t>
      </w:r>
      <w:proofErr w:type="spellStart"/>
      <w:r w:rsidRPr="001E6505">
        <w:rPr>
          <w:lang w:val="nl-NL"/>
        </w:rPr>
        <w:t>Autism</w:t>
      </w:r>
      <w:proofErr w:type="spellEnd"/>
      <w:r w:rsidRPr="001E6505">
        <w:rPr>
          <w:lang w:val="nl-NL"/>
        </w:rPr>
        <w:t xml:space="preserve"> &amp; ADHD Research Center (</w:t>
      </w:r>
      <w:proofErr w:type="spellStart"/>
      <w:r w:rsidRPr="001E6505">
        <w:rPr>
          <w:lang w:val="nl-NL"/>
        </w:rPr>
        <w:t>d’Arc</w:t>
      </w:r>
      <w:proofErr w:type="spellEnd"/>
      <w:r w:rsidRPr="001E6505">
        <w:rPr>
          <w:lang w:val="nl-NL"/>
        </w:rPr>
        <w:t xml:space="preserve">), </w:t>
      </w:r>
      <w:proofErr w:type="spellStart"/>
      <w:r w:rsidRPr="001E6505">
        <w:rPr>
          <w:lang w:val="nl-NL"/>
        </w:rPr>
        <w:t>Department</w:t>
      </w:r>
      <w:proofErr w:type="spellEnd"/>
      <w:r w:rsidRPr="001E6505">
        <w:rPr>
          <w:lang w:val="nl-NL"/>
        </w:rPr>
        <w:t xml:space="preserve"> of </w:t>
      </w:r>
      <w:proofErr w:type="spellStart"/>
      <w:r w:rsidRPr="001E6505">
        <w:rPr>
          <w:lang w:val="nl-NL"/>
        </w:rPr>
        <w:t>Psychology</w:t>
      </w:r>
      <w:proofErr w:type="spellEnd"/>
      <w:r w:rsidRPr="001E6505">
        <w:rPr>
          <w:lang w:val="nl-NL"/>
        </w:rPr>
        <w:t xml:space="preserve">, Brain &amp; </w:t>
      </w:r>
      <w:proofErr w:type="spellStart"/>
      <w:r w:rsidRPr="001E6505">
        <w:rPr>
          <w:lang w:val="nl-NL"/>
        </w:rPr>
        <w:t>Cognition</w:t>
      </w:r>
      <w:proofErr w:type="spellEnd"/>
      <w:r w:rsidRPr="001E6505">
        <w:rPr>
          <w:lang w:val="nl-NL"/>
        </w:rPr>
        <w:t>, University of Amsterdam, Nieuwe Achtergracht 129-B, 1018 WS Amsterdam, The Netherlands</w:t>
      </w:r>
    </w:p>
    <w:p w14:paraId="50552ED8" w14:textId="77777777" w:rsidR="00A06386" w:rsidRDefault="00A06386" w:rsidP="00DD18FE">
      <w:r w:rsidRPr="00B75C48">
        <w:rPr>
          <w:vertAlign w:val="superscript"/>
        </w:rPr>
        <w:t>2</w:t>
      </w:r>
      <w:r w:rsidRPr="00B75C48">
        <w:t xml:space="preserve"> Department of Epidemiology &amp; Data Science, Amsterdam Public</w:t>
      </w:r>
      <w:r>
        <w:t xml:space="preserve"> Health research institute, Amsterdam UMC – location VU University medical center, Amsterdam, the Netherlands</w:t>
      </w:r>
    </w:p>
    <w:p w14:paraId="6EF2EB3C" w14:textId="77777777" w:rsidR="00A06386" w:rsidRPr="003313E7" w:rsidRDefault="00A06386" w:rsidP="00DD18FE">
      <w:r w:rsidRPr="003313E7">
        <w:rPr>
          <w:vertAlign w:val="superscript"/>
        </w:rPr>
        <w:t>3</w:t>
      </w:r>
      <w:r w:rsidRPr="003313E7">
        <w:t xml:space="preserve"> Amsterdam UMC, Vrije Universiteit Amsterdam, Department of Psychiatry, Amsterdam Public Health, Amsterdam, The Netherlands</w:t>
      </w:r>
    </w:p>
    <w:p w14:paraId="783743AC" w14:textId="77777777" w:rsidR="00A06386" w:rsidRPr="003313E7" w:rsidRDefault="00A06386" w:rsidP="00DD18FE">
      <w:r w:rsidRPr="003313E7">
        <w:rPr>
          <w:vertAlign w:val="superscript"/>
        </w:rPr>
        <w:t>4</w:t>
      </w:r>
      <w:r w:rsidRPr="003313E7">
        <w:t xml:space="preserve"> Amsterdam UMC, Vrije Universiteit Amsterdam, Department of Sociology, Amsterdam Public Health, Amsterdam, The Netherlands</w:t>
      </w:r>
    </w:p>
    <w:p w14:paraId="7B2C0675" w14:textId="77777777" w:rsidR="00A06386" w:rsidRPr="001E6505" w:rsidRDefault="00A06386" w:rsidP="00DD18FE">
      <w:pPr>
        <w:rPr>
          <w:lang w:val="nl-NL"/>
        </w:rPr>
      </w:pPr>
      <w:r>
        <w:rPr>
          <w:vertAlign w:val="superscript"/>
          <w:lang w:val="nl-NL"/>
        </w:rPr>
        <w:t>5</w:t>
      </w:r>
      <w:r w:rsidRPr="001E6505">
        <w:rPr>
          <w:lang w:val="nl-NL"/>
        </w:rPr>
        <w:t xml:space="preserve"> Dr. Leo </w:t>
      </w:r>
      <w:proofErr w:type="spellStart"/>
      <w:r w:rsidRPr="001E6505">
        <w:rPr>
          <w:lang w:val="nl-NL"/>
        </w:rPr>
        <w:t>Kannerhuis</w:t>
      </w:r>
      <w:proofErr w:type="spellEnd"/>
      <w:r w:rsidRPr="001E6505">
        <w:rPr>
          <w:lang w:val="nl-NL"/>
        </w:rPr>
        <w:t xml:space="preserve">, </w:t>
      </w:r>
      <w:proofErr w:type="spellStart"/>
      <w:r w:rsidRPr="001E6505">
        <w:rPr>
          <w:lang w:val="nl-NL"/>
        </w:rPr>
        <w:t>Derkinderenstraat</w:t>
      </w:r>
      <w:proofErr w:type="spellEnd"/>
      <w:r w:rsidRPr="001E6505">
        <w:rPr>
          <w:lang w:val="nl-NL"/>
        </w:rPr>
        <w:t xml:space="preserve"> 10, 1062 DB Amsterdam, The Netherlands</w:t>
      </w:r>
    </w:p>
    <w:p w14:paraId="362187D5" w14:textId="77777777" w:rsidR="007435C5" w:rsidRPr="001E6505" w:rsidRDefault="007435C5" w:rsidP="00DD18FE">
      <w:pPr>
        <w:ind w:left="709" w:hanging="709"/>
        <w:rPr>
          <w:lang w:val="nl-NL"/>
        </w:rPr>
      </w:pPr>
    </w:p>
    <w:p w14:paraId="3F64D7B6" w14:textId="77777777" w:rsidR="007435C5" w:rsidRPr="001E6505" w:rsidRDefault="007435C5" w:rsidP="007435C5">
      <w:pPr>
        <w:rPr>
          <w:lang w:val="nl-NL"/>
        </w:rPr>
      </w:pPr>
      <w:r w:rsidRPr="001E6505">
        <w:rPr>
          <w:lang w:val="nl-NL"/>
        </w:rPr>
        <w:br w:type="page"/>
      </w:r>
    </w:p>
    <w:p w14:paraId="1AB43916" w14:textId="77777777" w:rsidR="007435C5" w:rsidRDefault="007435C5" w:rsidP="00DD18FE">
      <w:pPr>
        <w:jc w:val="center"/>
        <w:rPr>
          <w:b/>
        </w:rPr>
      </w:pPr>
      <w:r w:rsidRPr="001E6505">
        <w:rPr>
          <w:b/>
        </w:rPr>
        <w:lastRenderedPageBreak/>
        <w:t>Table of content</w:t>
      </w:r>
    </w:p>
    <w:p w14:paraId="0EFEBDEA" w14:textId="77777777" w:rsidR="007435C5" w:rsidRPr="001E6505" w:rsidRDefault="007435C5" w:rsidP="00DD18FE">
      <w:pPr>
        <w:jc w:val="center"/>
        <w:rPr>
          <w:b/>
        </w:rPr>
      </w:pPr>
    </w:p>
    <w:p w14:paraId="5DC860F8" w14:textId="13ED69A2" w:rsidR="007435C5" w:rsidRPr="00FB4C8A" w:rsidRDefault="007435C5" w:rsidP="00DD18FE">
      <w:r w:rsidRPr="00FB4C8A">
        <w:t xml:space="preserve">S1) </w:t>
      </w:r>
      <w:r w:rsidR="005D276E">
        <w:t xml:space="preserve">Data files </w:t>
      </w:r>
      <w:r w:rsidR="00532822">
        <w:t>obtained</w:t>
      </w:r>
      <w:r w:rsidR="005D276E">
        <w:t xml:space="preserve"> from the Longitudinal Aging Study Amsterdam</w:t>
      </w:r>
      <w:r w:rsidR="005D276E">
        <w:br/>
        <w:t xml:space="preserve">S2) </w:t>
      </w:r>
      <w:r w:rsidRPr="00FB4C8A">
        <w:t>Measurement instruments</w:t>
      </w:r>
      <w:r w:rsidR="00A92396">
        <w:t xml:space="preserve"> for cluster variables and external validators</w:t>
      </w:r>
    </w:p>
    <w:p w14:paraId="6B3CF550" w14:textId="00CFA65E" w:rsidR="007435C5" w:rsidRDefault="007435C5" w:rsidP="00DD18FE">
      <w:r w:rsidRPr="00FB4C8A">
        <w:t>S</w:t>
      </w:r>
      <w:r w:rsidR="005D276E">
        <w:t>3</w:t>
      </w:r>
      <w:r w:rsidRPr="00FB4C8A">
        <w:t>)</w:t>
      </w:r>
      <w:r w:rsidR="00A92396" w:rsidRPr="00A92396">
        <w:rPr>
          <w:b/>
        </w:rPr>
        <w:t xml:space="preserve"> </w:t>
      </w:r>
      <w:r w:rsidR="00A92396" w:rsidRPr="00A92396">
        <w:t>Measurement instruments and corresponding descriptive analyses of subgroups identified by community detection analysis</w:t>
      </w:r>
    </w:p>
    <w:p w14:paraId="1C9BFB7F" w14:textId="38A0830C" w:rsidR="007435C5" w:rsidRPr="00FB4C8A" w:rsidRDefault="007435C5" w:rsidP="00DD18FE">
      <w:r>
        <w:t>S</w:t>
      </w:r>
      <w:r w:rsidR="005D276E">
        <w:t>4</w:t>
      </w:r>
      <w:r>
        <w:t>) Attrition analyses</w:t>
      </w:r>
    </w:p>
    <w:p w14:paraId="489156AA" w14:textId="50C593D1" w:rsidR="00BB6E1A" w:rsidRDefault="007435C5" w:rsidP="00DD18FE">
      <w:r>
        <w:t>S</w:t>
      </w:r>
      <w:r w:rsidR="005D276E">
        <w:t>5</w:t>
      </w:r>
      <w:r w:rsidRPr="00FB4C8A">
        <w:t xml:space="preserve">) </w:t>
      </w:r>
      <w:r>
        <w:t xml:space="preserve">Standardized measures of subgroup similarity </w:t>
      </w:r>
    </w:p>
    <w:p w14:paraId="270BED50" w14:textId="61FC5A42" w:rsidR="007435C5" w:rsidRDefault="00BB6E1A" w:rsidP="00DD18FE">
      <w:r w:rsidRPr="00B93761">
        <w:t>S</w:t>
      </w:r>
      <w:r w:rsidR="005D276E">
        <w:t>6</w:t>
      </w:r>
      <w:r w:rsidRPr="00B93761">
        <w:t xml:space="preserve">) Changes in </w:t>
      </w:r>
      <w:r w:rsidR="0079314D" w:rsidRPr="00B93761">
        <w:t>cluster variable scores</w:t>
      </w:r>
      <w:r w:rsidRPr="00B93761">
        <w:t xml:space="preserve"> from T1 to T2</w:t>
      </w:r>
      <w:r w:rsidR="007435C5">
        <w:br/>
        <w:t>S</w:t>
      </w:r>
      <w:r w:rsidR="005D276E">
        <w:t>7</w:t>
      </w:r>
      <w:r w:rsidR="007435C5">
        <w:t xml:space="preserve">) </w:t>
      </w:r>
      <w:r w:rsidR="007435C5" w:rsidRPr="00FB4C8A">
        <w:t>References</w:t>
      </w:r>
    </w:p>
    <w:p w14:paraId="0F9BD60E" w14:textId="77777777" w:rsidR="007435C5" w:rsidRPr="00FB4C8A" w:rsidRDefault="007435C5" w:rsidP="00DD18FE"/>
    <w:p w14:paraId="1ED025AD" w14:textId="1183809E" w:rsidR="00B15F1A" w:rsidRDefault="00B15F1A" w:rsidP="00DD18FE">
      <w:pPr>
        <w:rPr>
          <w:b/>
          <w:bCs/>
        </w:rPr>
      </w:pPr>
      <w:r w:rsidRPr="00B15F1A">
        <w:rPr>
          <w:b/>
          <w:bCs/>
        </w:rPr>
        <w:t xml:space="preserve">S1) Data files </w:t>
      </w:r>
      <w:r w:rsidR="00532822">
        <w:rPr>
          <w:b/>
          <w:bCs/>
        </w:rPr>
        <w:t>obtained</w:t>
      </w:r>
      <w:r w:rsidRPr="00B15F1A">
        <w:rPr>
          <w:b/>
          <w:bCs/>
        </w:rPr>
        <w:t xml:space="preserve"> from the Longitudinal Aging Study Amsterdam</w:t>
      </w:r>
    </w:p>
    <w:p w14:paraId="750E8448" w14:textId="38FDE3D2" w:rsidR="00B15F1A" w:rsidRDefault="00C370EF" w:rsidP="00DD18FE">
      <w:r>
        <w:t>From measurement cycles G and H, the following data files were obtained from LASA</w:t>
      </w:r>
      <w:r w:rsidR="00532822">
        <w:t xml:space="preserve"> for the current study</w:t>
      </w:r>
      <w:r>
        <w:t xml:space="preserve">: LASA021, LASA335, LASA135, LASA110, LASA036, LASA113, LASA313, LASA602, LASA702, LASA035, LASA235, LASA133, LASA333, LASA533, LASA025, LASA225, LASA026, LASA226, Z008, LASA027, LASA046, LASA272, LASA047, LASA247, LASA153, Z010, LASA011, LASA016, </w:t>
      </w:r>
      <w:r w:rsidRPr="005C721F">
        <w:t>LASAd10, LASAd11, LASAd12, LASAd13, LASA152, LASA352, LASA179, LASA379</w:t>
      </w:r>
      <w:r w:rsidR="00854E10" w:rsidRPr="005C721F">
        <w:t>, LASA156, LASA356</w:t>
      </w:r>
      <w:r w:rsidRPr="005C721F">
        <w:t>.</w:t>
      </w:r>
    </w:p>
    <w:p w14:paraId="77FCE1B1" w14:textId="101F0606" w:rsidR="00C370EF" w:rsidRPr="00B15F1A" w:rsidRDefault="00C370EF" w:rsidP="00DD18FE">
      <w:r>
        <w:tab/>
        <w:t>From measurement cycle 2B, the following data files were requested: Z004, LASA022, LASA222.</w:t>
      </w:r>
    </w:p>
    <w:p w14:paraId="2BB0AE0D" w14:textId="77777777" w:rsidR="00B15F1A" w:rsidRDefault="00B15F1A" w:rsidP="00DD18FE">
      <w:pPr>
        <w:rPr>
          <w:b/>
        </w:rPr>
      </w:pPr>
    </w:p>
    <w:p w14:paraId="686F8F35" w14:textId="324211C6" w:rsidR="007435C5" w:rsidRPr="00FB4C8A" w:rsidRDefault="007435C5" w:rsidP="00DD18FE">
      <w:pPr>
        <w:rPr>
          <w:b/>
        </w:rPr>
      </w:pPr>
      <w:r w:rsidRPr="00FB4C8A">
        <w:rPr>
          <w:b/>
        </w:rPr>
        <w:t>S</w:t>
      </w:r>
      <w:r w:rsidR="005D276E">
        <w:rPr>
          <w:b/>
        </w:rPr>
        <w:t>2</w:t>
      </w:r>
      <w:r w:rsidRPr="00FB4C8A">
        <w:rPr>
          <w:b/>
        </w:rPr>
        <w:t>) Measurement instruments</w:t>
      </w:r>
      <w:r w:rsidR="00A92396">
        <w:rPr>
          <w:b/>
        </w:rPr>
        <w:t xml:space="preserve"> for cluster variables and external validators</w:t>
      </w:r>
    </w:p>
    <w:p w14:paraId="1AD5BFF8" w14:textId="77777777" w:rsidR="007435C5" w:rsidRPr="00B87E6D" w:rsidRDefault="007435C5" w:rsidP="00DD18FE">
      <w:pPr>
        <w:rPr>
          <w:b/>
          <w:bCs/>
        </w:rPr>
      </w:pPr>
      <w:r w:rsidRPr="00B87E6D">
        <w:rPr>
          <w:b/>
          <w:bCs/>
          <w:i/>
        </w:rPr>
        <w:t>Negative life</w:t>
      </w:r>
      <w:r w:rsidRPr="00B87E6D">
        <w:rPr>
          <w:b/>
          <w:bCs/>
        </w:rPr>
        <w:t xml:space="preserve"> </w:t>
      </w:r>
      <w:r w:rsidRPr="00B87E6D">
        <w:rPr>
          <w:b/>
          <w:bCs/>
          <w:i/>
        </w:rPr>
        <w:t>events</w:t>
      </w:r>
      <w:r w:rsidRPr="00B87E6D">
        <w:rPr>
          <w:b/>
          <w:bCs/>
        </w:rPr>
        <w:t xml:space="preserve"> </w:t>
      </w:r>
    </w:p>
    <w:p w14:paraId="15324D29" w14:textId="0BDEE67A" w:rsidR="007435C5" w:rsidRPr="00FB4C8A" w:rsidRDefault="007435C5" w:rsidP="00DD18FE">
      <w:r w:rsidRPr="00FB4C8A">
        <w:t xml:space="preserve">We evaluated negative life events with a selection of questions derived from the life event inventory </w:t>
      </w:r>
      <w:r>
        <w:fldChar w:fldCharType="begin" w:fldLock="1"/>
      </w:r>
      <w:r w:rsidR="00E22E45">
        <w:instrText>ADDIN CSL_CITATION {"citationItems":[{"id":"ITEM-1","itemData":{"DOI":"10.3109/00048677609159482","ISSN":"0004-8674","abstract":"A comprehensive life event inventory suitable for questionnaire or interviewer administration has been constructed.Two sets of matched scalings of these life events have been derived from the responses of an Australian urban population. Each of the scalings were consistent across the sociodemographic groups in the population.The two scales allow the significance of life events to be scaled in conceptually different ways. The first follows Holmes concept of the extent of life change produced by the event, the second the Paykel concept of the amount of distress caused by the event.The inventory and the scalings are suitable for use in an Australian urban population.","author":[{"dropping-particle":"","family":"Tennant","given":"Christopher","non-dropping-particle":"","parse-names":false,"suffix":""},{"dropping-particle":"","family":"Andrews","given":"Gavin","non-dropping-particle":"","parse-names":false,"suffix":""}],"container-title":"Australian &amp; New Zealand Journal of Psychiatry","id":"ITEM-1","issue":"1","issued":{"date-parts":[["1976","3","1"]]},"note":"doi: 10.3109/00048677609159482","page":"27-32","publisher":"SAGE Publications Ltd","title":"A scale to measure the stress of life events","type":"article-journal","volume":"10"},"uris":["http://www.mendeley.com/documents/?uuid=a94331c7-8b22-4d60-943b-93dd37bd371e"]}],"mendeley":{"formattedCitation":"(Tennant &amp; Andrews, 1976)","plainTextFormattedCitation":"(Tennant &amp; Andrews, 1976)","previouslyFormattedCitation":"(Tennant &amp; Andrews, 1976)"},"properties":{"noteIndex":0},"schema":"https://github.com/citation-style-language/schema/raw/master/csl-citation.json"}</w:instrText>
      </w:r>
      <w:r>
        <w:fldChar w:fldCharType="separate"/>
      </w:r>
      <w:r w:rsidRPr="007435C5">
        <w:rPr>
          <w:noProof/>
        </w:rPr>
        <w:t>(Tennant &amp; Andrews, 1976)</w:t>
      </w:r>
      <w:r>
        <w:fldChar w:fldCharType="end"/>
      </w:r>
      <w:r w:rsidRPr="00FB4C8A">
        <w:t>. Participants reported whether they had experienced the following events in the past three years: a) death of a parent, sibling, child, or grandchild, b) illness of partner or other relative, c) being a victim of crime, d) having severe conflict, or e) having financial problems. This resulted in 12 variables, corresponding to each negative life event. A score of 1 indicated that the event had not occurred in the three years prior to the interview, and a score of 2 indicated that the event had occurred. These scores were recoded, such that 0 meant that the event had not occurred and 1 meant that the event had occurred. A sum score for these variables was calculated that ranged between 0 and 12. A lower score implied that the respondent experienced few of these negative life events and a higher score implied that he/she experienced more negative life events</w:t>
      </w:r>
      <w:r w:rsidRPr="0002624B">
        <w:t xml:space="preserve">. </w:t>
      </w:r>
      <w:r w:rsidR="0022380C" w:rsidRPr="0002624B">
        <w:t xml:space="preserve">Negative life events have strong associations with depressive symptoms and lower wellbeing </w:t>
      </w:r>
      <w:r w:rsidR="0022380C" w:rsidRPr="0002624B">
        <w:fldChar w:fldCharType="begin" w:fldLock="1"/>
      </w:r>
      <w:r w:rsidR="0022380C" w:rsidRPr="0002624B">
        <w:instrText>ADDIN CSL_CITATION {"citationItems":[{"id":"ITEM-1","itemData":{"DOI":"10.1093/geronb/57.1.P87","ISSN":"10795014","PMID":"11773227","abstract":"In a meta-analysis of 25 studies, the relationship of both specific types of negative life events and the total number of experienced events to depression in old age was studied. Almost all negative life events appeared to have a modest but significant relationship with depression. The total number of negative life events and the total number of daily hassles appeared to have the strongest relationship with depression (respectively, combined r = .15, n = 5,037, and combined r = .41, n = 461), whereas sudden unexpected events were the only cluster of negative life events that seemed not to be related to depression scores (combined r = .05, n = 857). These findings suggest that providers and developers of intervention and prevention programs for elderly people should pay attention to the occurrence of negative life events. Special attention should be given to elderly people who have experienced an accumulation of stressful events and daily hassles, because they seem to be a group at greater risk.","author":[{"dropping-particle":"","family":"Kraaij","given":"Vivian","non-dropping-particle":"","parse-names":false,"suffix":""},{"dropping-particle":"","family":"Arensman","given":"Ella","non-dropping-particle":"","parse-names":false,"suffix":""},{"dropping-particle":"","family":"Spinhoven","given":"Philip","non-dropping-particle":"","parse-names":false,"suffix":""}],"container-title":"Journals of Gerontology - Series B Psychological Sciences and Social Sciences","id":"ITEM-1","issue":"1","issued":{"date-parts":[["2002"]]},"page":"87-94","title":"Negative life events and depression in elderly persons: A meta-analysis","type":"article-journal","volume":"57"},"uris":["http://www.mendeley.com/documents/?uuid=659c6daa-fae2-4ba0-a510-b815c2ab56b9"]}],"mendeley":{"formattedCitation":"(Kraaij et al., 2002)","plainTextFormattedCitation":"(Kraaij et al., 2002)","previouslyFormattedCitation":"(Kraaij et al., 2002)"},"properties":{"noteIndex":0},"schema":"https://github.com/citation-style-language/schema/raw/master/csl-citation.json"}</w:instrText>
      </w:r>
      <w:r w:rsidR="0022380C" w:rsidRPr="0002624B">
        <w:fldChar w:fldCharType="separate"/>
      </w:r>
      <w:r w:rsidR="0022380C" w:rsidRPr="0002624B">
        <w:rPr>
          <w:noProof/>
        </w:rPr>
        <w:t>(Kraaij et al., 2002)</w:t>
      </w:r>
      <w:r w:rsidR="0022380C" w:rsidRPr="0002624B">
        <w:fldChar w:fldCharType="end"/>
      </w:r>
      <w:r w:rsidR="0022380C" w:rsidRPr="0002624B">
        <w:t>.</w:t>
      </w:r>
      <w:r w:rsidR="00B93761">
        <w:t xml:space="preserve"> </w:t>
      </w:r>
      <w:r w:rsidR="00B93761" w:rsidRPr="000A70E4">
        <w:t>Although</w:t>
      </w:r>
      <w:r w:rsidR="00B93761">
        <w:t xml:space="preserve"> the number of experienced negative life events is not directly modifiable, its effect can be modified through interventions. In addition, modifiable resources such as social network, education and health status are negatively associated with the experience of negative life events later in life </w:t>
      </w:r>
      <w:r w:rsidR="00B93761">
        <w:fldChar w:fldCharType="begin" w:fldLock="1"/>
      </w:r>
      <w:r w:rsidR="00B93761">
        <w:instrText>ADDIN CSL_CITATION {"citationItems":[{"id":"ITEM-1","itemData":{"DOI":"10.1007/s10433-010-0160-6","ISSN":"16139372","abstract":"The study examines the extent to which resources, coping strategies, and control beliefs predict adaptation to negative critical life events. Specifically, we investigated the effects of basic resources (i.e., sociodemographics, cognition, health, social), coping (i.e., assimilative and accommodative coping), and control beliefs (i.e., internal control) as well as their interplay in the context of multiple negative events. Well-being served as an indicator of adaptation. Four hundred and twenty middle-aged participants of the Interdisciplinary Longitudinal Study of Adult Development (ILSE; Schmitt 2006) were assessed at two measurement occasions 4 years apart. Events and coping were assessed via interviews (e.g., assimilative coping: active problem-solving, goal-directed effort, social support; accommodative coping: reevaluation of situation, acceptance, and adjustment of standards). Participants experienced an average of six negative events between measurement occasions. Resources had positive relations to control beliefs, coping, and well-being. More resources were related to fewer negative events experienced later on. More negative events were linked to more coping and poorer well-being. Structural equation models showed that the effect of resources on well-being was mediated by assimilative coping. Subgroup analysis revealed that the beneficial effect of assimilation was restricted to individuals with high internal control beliefs. Although the relationship between events and coping did not differ between both groups, only individuals with high control beliefs benefited from assimilation, perhaps because they coped more effectively. In sum, investigating resources, coping, and control beliefs concurrently allows the identification of more complex effect patterns that enhance the understanding of individual differences in dealing with negative life events. © 2010 Springer-Verlag.","author":[{"dropping-particle":"","family":"Jopp","given":"Daniela S.","non-dropping-particle":"","parse-names":false,"suffix":""},{"dropping-particle":"","family":"Schmitt","given":"Marina","non-dropping-particle":"","parse-names":false,"suffix":""}],"container-title":"European Journal of Ageing","id":"ITEM-1","issue":"3","issued":{"date-parts":[["2010"]]},"page":"167-180","title":"Dealing with negative life events: Differential effects of personal resources, coping strategies, and control beliefs","type":"article-journal","volume":"7"},"uris":["http://www.mendeley.com/documents/?uuid=1e9e5dbe-6f21-455b-81c8-29a311bd41be"]}],"mendeley":{"formattedCitation":"(Jopp &amp; Schmitt, 2010)","plainTextFormattedCitation":"(Jopp &amp; Schmitt, 2010)","previouslyFormattedCitation":"(Jopp &amp; Schmitt, 2010)"},"properties":{"noteIndex":0},"schema":"https://github.com/citation-style-language/schema/raw/master/csl-citation.json"}</w:instrText>
      </w:r>
      <w:r w:rsidR="00B93761">
        <w:fldChar w:fldCharType="separate"/>
      </w:r>
      <w:r w:rsidR="00B93761" w:rsidRPr="000A70E4">
        <w:rPr>
          <w:noProof/>
        </w:rPr>
        <w:t>(Jopp &amp; Schmitt, 2010)</w:t>
      </w:r>
      <w:r w:rsidR="00B93761">
        <w:fldChar w:fldCharType="end"/>
      </w:r>
      <w:r w:rsidR="00B93761">
        <w:t>.</w:t>
      </w:r>
    </w:p>
    <w:p w14:paraId="45C6DCFC" w14:textId="77777777" w:rsidR="007435C5" w:rsidRPr="00FB4C8A" w:rsidRDefault="007435C5" w:rsidP="007435C5">
      <w:pPr>
        <w:spacing w:line="360" w:lineRule="auto"/>
      </w:pPr>
    </w:p>
    <w:p w14:paraId="79188723" w14:textId="77777777" w:rsidR="007435C5" w:rsidRPr="00B87E6D" w:rsidRDefault="007435C5" w:rsidP="00DD18FE">
      <w:pPr>
        <w:rPr>
          <w:b/>
          <w:bCs/>
          <w:i/>
        </w:rPr>
      </w:pPr>
      <w:r w:rsidRPr="00B87E6D">
        <w:rPr>
          <w:b/>
          <w:bCs/>
          <w:i/>
        </w:rPr>
        <w:t>Alcohol use</w:t>
      </w:r>
    </w:p>
    <w:p w14:paraId="3D053084" w14:textId="525DCC48" w:rsidR="007435C5" w:rsidRDefault="007435C5" w:rsidP="00DD18FE">
      <w:r w:rsidRPr="00FB4C8A">
        <w:t>We asked respondents about the amount of days per week on which they drink alcohol and the number of alcoholic consumptions they drink each time. Responses on these two questions were multiplied, which resulted in an indication of the number of alcoholic consumptions per week. This value ranged between 0 and 77 (or more). A higher value indicates a higher number of alcoholic drinks per week</w:t>
      </w:r>
      <w:r w:rsidR="0097578A">
        <w:fldChar w:fldCharType="begin" w:fldLock="1"/>
      </w:r>
      <w:r w:rsidR="0002624B">
        <w:instrText>ADDIN CSL_CITATION {"citationItems":[{"id":"ITEM-1","itemData":{"DOI":"10.1007/s00198-005-0002-0","ISSN":"1433-2965","abstract":"The aim of the prospective study reported here was to develop a risk profile that can be used to identify community-dwelling elderly at a high risk of recurrent falling.","author":[{"dropping-particle":"","family":"Pluijm","given":"S M F","non-dropping-particle":"","parse-names":false,"suffix":""},{"dropping-particle":"","family":"Smit","given":"J H","non-dropping-particle":"","parse-names":false,"suffix":""},{"dropping-particle":"","family":"Tromp","given":"E A M","non-dropping-particle":"","parse-names":false,"suffix":""},{"dropping-particle":"","family":"Stel","given":"V S","non-dropping-particle":"","parse-names":false,"suffix":""},{"dropping-particle":"","family":"Deeg","given":"D J H","non-dropping-particle":"","parse-names":false,"suffix":""},{"dropping-particle":"","family":"Bouter","given":"L M","non-dropping-particle":"","parse-names":false,"suffix":""},{"dropping-particle":"","family":"Lips","given":"P","non-dropping-particle":"","parse-names":false,"suffix":""}],"container-title":"Osteoporosis International","id":"ITEM-1","issue":"3","issued":{"date-parts":[["2006"]]},"page":"417-425","title":"A risk profile for identifying community-dwelling elderly with a high risk of recurrent falling: results of a 3-year prospective study","type":"article-journal","volume":"17"},"uris":["http://www.mendeley.com/documents/?uuid=c35ac249-bc14-4a6f-9f28-146546c2da0b"]},{"id":"ITEM-2","itemData":{"DOI":"10.1007/s12439-012-0018-9","ISSN":"1875-6832","abstract":"In the Netherlands no detailed information about alcohol consumption among older persons (55 years and older) is available. Therefore we investigated the prevalence and determinants of alcohol consumption with data from the Longitudinal Aging Study Amsterdam. The results show that 13.4% of persons of 55 years and older are heavy drinkers (male &gt; 3 glasses per day, female &gt; 2 glasses per day). Most heavy drinkers are younger than 75 years of age, and in this age group more female (22.2%) than male (14.8%) are heavy drinkers. 13% of all participants frequently drinks 6 or more glasses in a short period of time (binge drinking). In the age group of 55-65 years alcohol consumption has considerably increased over a period of ten years. This increase is stronger among females than among males. When people grow older alcohol consumption decreases, which seems associated with a decline in physical or psychological health and/or cognitive decline. Heavy and binge drinking is associated with younger age, higher education and income, and may be strongly related to their social lifes.","author":[{"dropping-particle":"","family":"Comijs","given":"H. C.","non-dropping-particle":"","parse-names":false,"suffix":""},{"dropping-particle":"","family":"Aartsen","given":"M. J.","non-dropping-particle":"","parse-names":false,"suffix":""},{"dropping-particle":"","family":"Visser","given":"M.","non-dropping-particle":"","parse-names":false,"suffix":""},{"dropping-particle":"","family":"Deeg","given":"D. J. H.","non-dropping-particle":"","parse-names":false,"suffix":""}],"container-title":"Tijdschrift voor Gerontologie en Geriatrie","id":"ITEM-2","issue":"3","issued":{"date-parts":[["2012"]]},"page":"115-126","title":"Alcoholgebruik onder 55-plussers in Nederland","type":"article-journal","volume":"43"},"uris":["http://www.mendeley.com/documents/?uuid=9f71b7f5-361f-4298-87e3-b224bfad0c3a"]}],"mendeley":{"formattedCitation":"(Comijs et al., 2012; Pluijm et al., 2006)","manualFormatting":" (see for a similar approach Comijs, Aartsen, Visser, &amp; Deeg, 2012; Pluijm et al., 2006)","plainTextFormattedCitation":"(Comijs et al., 2012; Pluijm et al., 2006)","previouslyFormattedCitation":"(Comijs et al., 2012; Pluijm et al., 2006)"},"properties":{"noteIndex":0},"schema":"https://github.com/citation-style-language/schema/raw/master/csl-citation.json"}</w:instrText>
      </w:r>
      <w:r w:rsidR="0097578A">
        <w:fldChar w:fldCharType="separate"/>
      </w:r>
      <w:r w:rsidR="0097578A">
        <w:rPr>
          <w:noProof/>
        </w:rPr>
        <w:t xml:space="preserve"> </w:t>
      </w:r>
      <w:r w:rsidR="0097578A" w:rsidRPr="0097578A">
        <w:rPr>
          <w:noProof/>
        </w:rPr>
        <w:t>(</w:t>
      </w:r>
      <w:r w:rsidR="0097578A">
        <w:rPr>
          <w:noProof/>
        </w:rPr>
        <w:t xml:space="preserve">see for a similar approach </w:t>
      </w:r>
      <w:r w:rsidR="0097578A" w:rsidRPr="0097578A">
        <w:rPr>
          <w:noProof/>
        </w:rPr>
        <w:t>Comijs, Aartsen, Visser, &amp; Deeg, 2012; Pluijm et al., 2006)</w:t>
      </w:r>
      <w:r w:rsidR="0097578A">
        <w:fldChar w:fldCharType="end"/>
      </w:r>
      <w:r w:rsidR="0097578A">
        <w:t>.</w:t>
      </w:r>
      <w:r w:rsidR="0022380C">
        <w:t xml:space="preserve"> </w:t>
      </w:r>
      <w:r w:rsidR="0002624B" w:rsidRPr="0002624B">
        <w:t xml:space="preserve">Alcohol use is related to memory problems and can be targeted in interventions </w:t>
      </w:r>
      <w:r w:rsidR="0002624B" w:rsidRPr="0002624B">
        <w:fldChar w:fldCharType="begin" w:fldLock="1"/>
      </w:r>
      <w:r w:rsidR="0002624B" w:rsidRPr="0002624B">
        <w:instrText>ADDIN CSL_CITATION {"citationItems":[{"id":"ITEM-1","itemData":{"DOI":"10.1136/bmjopen-2016-011473","ISSN":"20446055","PMID":"27515753","abstract":"METHODS: We searched MEDLINE, EMBASE, PsycINFO; CINAHL, Social Science Citation Index, Cochrane Library and Global Health up to January 2015 for randomised controlled trials that measured effectiveness of ABIs on alcohol consumption. We grouped outcomes into measures of quantity and frequency indices. We used multilevel meta-analysis to estimate pooled effect sizes and tested for the effect of moderators through a multiparameter Wald test. Stratified analysis of a subset of quantity and frequency outcomes was conducted as a sensitivity check. RESULTS: 52 trials were included contributing data on 29 891 individuals. ABIs reduced the quantity of alcohol consumed by 0.15 SDs. While neither the setting nor content appeared to significantly moderate intervention effectiveness, the provider did in some analyses. Interventions delivered by nurses had the most effect in reducing quantity (d=-0.23, 95% CI (-0.33 to -0.13)) but not frequency of alcohol consumption. All content groups had statistically significant mean effects, brief advice was the most effective in reducing quantity consumed (d=-0.20, 95% CI (-0.30 to -0.09)). Effects were maintained in the stratified sensitivity analysis at the first and last assessment time. CONCLUSIONS: ABIs play a small but significant role in reducing alcohol consumption. Findings show the positive role of nurses in delivering interventions. The lack of evidence on the impact of content of intervention reinforces advice that services should select the ABI tool that best suits their needs. BACKGROUND: While the efficacy and effectiveness of brief interventions for alcohol (ABI) have been demonstrated in primary care, there is weaker evidence in other settings and reviews do not consider differences in content. We conducted a systematic review to measure the effect of ABIs on alcohol consumption and how it differs by the setting, practitioner group and content of intervention.","author":[{"dropping-particle":"","family":"Platt","given":"Lucy","non-dropping-particle":"","parse-names":false,"suffix":""},{"dropping-particle":"","family":"Melendez-Torres","given":"G. J.","non-dropping-particle":"","parse-names":false,"suffix":""},{"dropping-particle":"","family":"O'Donnell","given":"Amy","non-dropping-particle":"","parse-names":false,"suffix":""},{"dropping-particle":"","family":"Bradley","given":"Jennifer","non-dropping-particle":"","parse-names":false,"suffix":""},{"dropping-particle":"","family":"Newbury-Birch","given":"Dorothy","non-dropping-particle":"","parse-names":false,"suffix":""},{"dropping-particle":"","family":"Kaner","given":"Eileen","non-dropping-particle":"","parse-names":false,"suffix":""},{"dropping-particle":"","family":"Ashton","given":"Charlotte","non-dropping-particle":"","parse-names":false,"suffix":""}],"container-title":"BMJ open","id":"ITEM-1","issue":"8","issued":{"date-parts":[["2016"]]},"page":"e011473","title":"How effective are brief interventions in reducing alcohol consumption: do the setting, practitioner group and content matter? Findings from a systematic review and metaregression analysis","type":"article-journal","volume":"6"},"uris":["http://www.mendeley.com/documents/?uuid=5788fed2-fd5c-41a0-a1ca-9dd0644cb96e"]},{"id":"ITEM-2","itemData":{"DOI":"10.2174/1874473710801010036","author":[{"dropping-particle":"","family":"Heffernan","given":"T.M.","non-dropping-particle":"","parse-names":false,"suffix":""}],"container-title":"Current Drug Abuse Reviews","id":"ITEM-2","issue":"1","issued":{"date-parts":[["2008"]]},"page":"36-41","title":"The impact of excessive alcohol use on prospective memory: A brief review","type":"article-journal","volume":"1"},"uris":["http://www.mendeley.com/documents/?uuid=b0e1ee1c-a7fa-48ec-ac53-d690794b4c41"]},{"id":"ITEM-3","itemData":{"DOI":"10.1515/IJDHD.2007.6.4.397","author":[{"dropping-particle":"","family":"Mintzer","given":"M. Z.","non-dropping-particle":"","parse-names":false,"suffix":""}],"container-title":"International Journal on Disability and Human Development","id":"ITEM-3","issue":"4","issued":{"date-parts":[["2007"]]},"page":"397-403","title":"The acute effects of alcohol on memory: A review of laboratory studies in healthy adults","type":"article-journal","volume":"6"},"uris":["http://www.mendeley.com/documents/?uuid=9a8122e8-cb5a-46e4-89eb-6bec29ea0540"]}],"mendeley":{"formattedCitation":"(Heffernan, 2008; Mintzer, 2007; Platt et al., 2016)","plainTextFormattedCitation":"(Heffernan, 2008; Mintzer, 2007; Platt et al., 2016)","previouslyFormattedCitation":"(Heffernan, 2008; Mintzer, 2007; Platt et al., 2016)"},"properties":{"noteIndex":0},"schema":"https://github.com/citation-style-language/schema/raw/master/csl-citation.json"}</w:instrText>
      </w:r>
      <w:r w:rsidR="0002624B" w:rsidRPr="0002624B">
        <w:fldChar w:fldCharType="separate"/>
      </w:r>
      <w:r w:rsidR="0002624B" w:rsidRPr="0002624B">
        <w:rPr>
          <w:noProof/>
        </w:rPr>
        <w:t>(Heffernan, 2008; Mintzer, 2007; Platt et al., 2016)</w:t>
      </w:r>
      <w:r w:rsidR="0002624B" w:rsidRPr="0002624B">
        <w:fldChar w:fldCharType="end"/>
      </w:r>
      <w:r w:rsidR="0002624B" w:rsidRPr="0002624B">
        <w:t>.</w:t>
      </w:r>
    </w:p>
    <w:p w14:paraId="0B2319E3" w14:textId="77777777" w:rsidR="007435C5" w:rsidRDefault="007435C5" w:rsidP="00DD18FE"/>
    <w:p w14:paraId="5CA4DC73" w14:textId="77777777" w:rsidR="007435C5" w:rsidRPr="00B87E6D" w:rsidRDefault="007435C5" w:rsidP="00DD18FE">
      <w:pPr>
        <w:rPr>
          <w:b/>
          <w:bCs/>
          <w:i/>
        </w:rPr>
      </w:pPr>
      <w:r w:rsidRPr="00B87E6D">
        <w:rPr>
          <w:b/>
          <w:bCs/>
          <w:i/>
        </w:rPr>
        <w:lastRenderedPageBreak/>
        <w:t>Physical activity</w:t>
      </w:r>
    </w:p>
    <w:p w14:paraId="3BAA1074" w14:textId="69D4B9A7" w:rsidR="007435C5" w:rsidRPr="00A06386" w:rsidRDefault="007435C5" w:rsidP="00DD18FE">
      <w:pPr>
        <w:jc w:val="both"/>
      </w:pPr>
      <w:r w:rsidRPr="001E6505">
        <w:t>Physical activity was assessed during an interview using the LASA Physical Activity Qu</w:t>
      </w:r>
      <w:r>
        <w:t xml:space="preserve">estionnaire (LAPAQ) </w:t>
      </w:r>
      <w:r>
        <w:fldChar w:fldCharType="begin" w:fldLock="1"/>
      </w:r>
      <w:r w:rsidR="00E22E45">
        <w:instrText>ADDIN CSL_CITATION {"citationItems":[{"id":"ITEM-1","itemData":{"DOI":"https://doi.org/10.1016/j.jclinepi.2003.07.008","ISSN":"0895-4356","abstract":"Objective First, to validate the LASA Physical Activity Questionnaire (LAPAQ) by a 7-day diary and a pedometer in older persons. Second, to assess the repeatability of the LAPAQ. Third, to compare the feasibility of these methods. Study design and setting The study was performed in a subsample (n=439, aged 69–92 years) of the Longitudinal Aging Study Amsterdam (LASA). The LAPAQ was completed twice (1998/1999, 1999/2000). Respondents completed a 7-day activity diary and wore a pedometer for 7 days (1999/2000). Results The LAPAQ was highly correlated with the 7-day diary (r=0.68, P&lt;.001), and moderately with the pedometer (r=0.56, P&lt;.001). The repeatability of the LAPAQ was reasonably good (weighted kappa: 0.65–0.75). The LAPAQ was completed in 5.7±2.7 min, and 0.5% of the respondents had missing values. Conclusion The LAPAQ appears to be a valid and reliable instrument for classifying physical activity in older people. The LAPAQ was easier to use than the 7-day diary and pedometer.","author":[{"dropping-particle":"","family":"Stel","given":"Vianda S","non-dropping-particle":"","parse-names":false,"suffix":""},{"dropping-particle":"","family":"Smit","given":"Johannes H","non-dropping-particle":"","parse-names":false,"suffix":""},{"dropping-particle":"","family":"Pluijm","given":"Saskia.M.F","non-dropping-particle":"","parse-names":false,"suffix":""},{"dropping-particle":"","family":"Visser","given":"Marjolein","non-dropping-particle":"","parse-names":false,"suffix":""},{"dropping-particle":"","family":"Deeg","given":"Dorly J H","non-dropping-particle":"","parse-names":false,"suffix":""},{"dropping-particle":"","family":"Lips","given":"Paul","non-dropping-particle":"","parse-names":false,"suffix":""}],"container-title":"Journal of Clinical Epidemiology","id":"ITEM-1","issue":"3","issued":{"date-parts":[["2004"]]},"page":"252-258","title":"Comparison of the LASA physical activity questionnaire with a 7-day diary and pedometer","type":"article-journal","volume":"57"},"uris":["http://www.mendeley.com/documents/?uuid=65ebf324-b8cb-4ae5-9cd2-b1f2f14a0241"]}],"mendeley":{"formattedCitation":"(Stel et al., 2004)","plainTextFormattedCitation":"(Stel et al., 2004)","previouslyFormattedCitation":"(Stel et al., 2004)"},"properties":{"noteIndex":0},"schema":"https://github.com/citation-style-language/schema/raw/master/csl-citation.json"}</w:instrText>
      </w:r>
      <w:r>
        <w:fldChar w:fldCharType="separate"/>
      </w:r>
      <w:r w:rsidRPr="0023245D">
        <w:rPr>
          <w:noProof/>
        </w:rPr>
        <w:t>(Stel et al., 2004)</w:t>
      </w:r>
      <w:r>
        <w:fldChar w:fldCharType="end"/>
      </w:r>
      <w:r w:rsidRPr="001E6505">
        <w:t xml:space="preserve">. Participants reported how often and for how long they performed certain physical activities during the two weeks prior to the interview. These activities included walking outdoors, biking, gardening, light household activities and the two sport activities that were most frequently performed by the respondent. We calculated the total time (in minutes) during which a </w:t>
      </w:r>
      <w:r w:rsidRPr="00B63E10">
        <w:t>respondent was physically active during the past two weeks.</w:t>
      </w:r>
      <w:r w:rsidR="0018075B" w:rsidRPr="00B63E10">
        <w:t xml:space="preserve"> In LASA, MET scores are often used to obtain an intensity-weighted total physical activity score</w:t>
      </w:r>
      <w:r w:rsidR="00AA13B0" w:rsidRPr="00B63E10">
        <w:t xml:space="preserve"> </w:t>
      </w:r>
      <w:r w:rsidR="00AA13B0" w:rsidRPr="00B63E10">
        <w:fldChar w:fldCharType="begin" w:fldLock="1"/>
      </w:r>
      <w:r w:rsidR="0002624B">
        <w:instrText>ADDIN CSL_CITATION {"citationItems":[{"id":"ITEM-1","itemData":{"author":[{"dropping-particle":"","family":"Caspersen","given":"C. J.","non-dropping-particle":"","parse-names":false,"suffix":""},{"dropping-particle":"","family":"Bloemberg","given":"B. P. M.","non-dropping-particle":"","parse-names":false,"suffix":""},{"dropping-particle":"","family":"Saris","given":"W. H. M.","non-dropping-particle":"","parse-names":false,"suffix":""},{"dropping-particle":"","family":"Merritt","given":"R. K.","non-dropping-particle":"","parse-names":false,"suffix":""},{"dropping-particle":"","family":"Kromhout","given":"D.","non-dropping-particle":"","parse-names":false,"suffix":""}],"container-title":"American Journal of Epidemiology","id":"ITEM-1","issue":"11","issued":{"date-parts":[["1991"]]},"page":"1078-1092","title":"The prevalence of selected physical activities and their relation with coronary heart disease risk factors in elderly men: The Zutphen Study, 1985.","type":"article-journal","volume":"133"},"uris":["http://www.mendeley.com/documents/?uuid=b208b613-0092-4790-ba5e-813b8d35bb2e"]}],"mendeley":{"formattedCitation":"(Caspersen et al., 1991)","plainTextFormattedCitation":"(Caspersen et al., 1991)","previouslyFormattedCitation":"(Caspersen et al., 1991)"},"properties":{"noteIndex":0},"schema":"https://github.com/citation-style-language/schema/raw/master/csl-citation.json"}</w:instrText>
      </w:r>
      <w:r w:rsidR="00AA13B0" w:rsidRPr="00B63E10">
        <w:fldChar w:fldCharType="separate"/>
      </w:r>
      <w:r w:rsidR="0022380C" w:rsidRPr="0022380C">
        <w:rPr>
          <w:noProof/>
        </w:rPr>
        <w:t>(Caspersen et al., 1991)</w:t>
      </w:r>
      <w:r w:rsidR="00AA13B0" w:rsidRPr="00B63E10">
        <w:fldChar w:fldCharType="end"/>
      </w:r>
      <w:r w:rsidR="0018075B" w:rsidRPr="00B63E10">
        <w:t>. MET scores are calculated by including the type of activity, activity duration, but also a person’</w:t>
      </w:r>
      <w:r w:rsidR="00063DD7" w:rsidRPr="00B63E10">
        <w:t>s body weight</w:t>
      </w:r>
      <w:r w:rsidR="001739C2" w:rsidRPr="00B63E10">
        <w:t xml:space="preserve"> and biological sex</w:t>
      </w:r>
      <w:r w:rsidR="0018075B" w:rsidRPr="00B63E10">
        <w:t xml:space="preserve">. In the current study, we </w:t>
      </w:r>
      <w:r w:rsidR="00063DD7" w:rsidRPr="00B63E10">
        <w:t>aim to reduce the influence of external variables on the variables we include for clustering. Therefore, we decided to include total physical activity in minutes rather than MET scores.</w:t>
      </w:r>
      <w:r w:rsidR="0022380C">
        <w:t xml:space="preserve"> </w:t>
      </w:r>
      <w:r w:rsidR="0022380C" w:rsidRPr="0002624B">
        <w:t xml:space="preserve">Physical activity is associated with less cognitive decline and predicts wellbeing in older adults </w:t>
      </w:r>
      <w:r w:rsidR="0022380C" w:rsidRPr="0002624B">
        <w:rPr>
          <w:lang w:val="nl-NL"/>
        </w:rPr>
        <w:fldChar w:fldCharType="begin" w:fldLock="1"/>
      </w:r>
      <w:r w:rsidR="0022380C" w:rsidRPr="0002624B">
        <w:instrText xml:space="preserve">ADDIN CSL_CITATION {"citationItems":[{"id":"ITEM-1","itemData":{"DOI":"10.1186/1471-2458-14-643","ISSN":"14712458","abstract":"Background: Cognitive impairment, including dementia, is a major health concern with the increasing aging population. Preventive measures to delay cognitive decline are of utmost importance. Alzheimer's disease (AD) is the most frequent cause of dementia, increasing in prevalence from &lt; 1% below the age of 60 years to &gt; 40% above 85 years of age. Methods. We systematically reviewed selected modifiable factors such as education, smoking, alcohol, physical activity, caffeine, antioxidants, homocysteine (Hcy), n-3 fatty acids that were studied in relation to various cognitive health outcomes, including incident AD. We searched MEDLINE for published literature (January 1990 through October 2012), including cross-sectional and cohort studies (sample sizes &gt; 300). Analyses compared study finding consistency across factors, study designs and study-level characteristics. Selecting studies of incident AD, our meta-analysis estimated pooled risk ratios (RR), population attributable risk percent (PAR%) and assessed publication bias. Results: In total, 247 studies were retrieved for systematic review. Consistency analysis for each risk factor suggested positive findings ranging from </w:instrText>
      </w:r>
      <w:r w:rsidR="0022380C" w:rsidRPr="0002624B">
        <w:rPr>
          <w:rFonts w:ascii="Cambria Math" w:hAnsi="Cambria Math" w:cs="Cambria Math"/>
        </w:rPr>
        <w:instrText>∼</w:instrText>
      </w:r>
      <w:r w:rsidR="0022380C" w:rsidRPr="0002624B">
        <w:instrText xml:space="preserve">38.9% for caffeine to </w:instrText>
      </w:r>
      <w:r w:rsidR="0022380C" w:rsidRPr="0002624B">
        <w:rPr>
          <w:rFonts w:ascii="Cambria Math" w:hAnsi="Cambria Math" w:cs="Cambria Math"/>
        </w:rPr>
        <w:instrText>∼</w:instrText>
      </w:r>
      <w:r w:rsidR="0022380C" w:rsidRPr="0002624B">
        <w:instrText xml:space="preserve">89% for physical activity. Education also had a significantly higher propensity for \"a positive finding\" compared to caffeine, smoking and antioxidant-related studies. Meta-analysis of 31 studies with incident AD yielded pooled RR for low education (RR = 1.99; 95% CI: 1.30-3.04), high Hcy (RR = 1.93; 95% CI: 1.50-2.49), and current/ever smoking status (RR = 1.37; 95% CI: 1.23-1.52) while indicating protective effects of higher physical activity and n-3 fatty acids. Estimated PAR% were particularly high for physical activity (PAR% = 31.9; 95% CI: 22.7-41.2) and smoking (PAR%=31.09%; 95% CI: 17.9-44.3). Overall, no significant publication bias was found. Conclusions: Higher Hcy levels, lower educational attainment, and decreased physical activity were particularly strong predictors of incident AD. Further studies are needed to support other potential modifiable protective factors, such as caffeine. © 2014 Beydoun et al.; licensee BioMed Central Ltd.","author":[{"dropping-particle":"","family":"Beydoun","given":"May A.","non-dropping-particle":"","parse-names":false,"suffix":""},{"dropping-particle":"","family":"Beydoun","given":"Hind A.","non-dropping-particle":"","parse-names":false,"suffix":""},{"dropping-particle":"","family":"Gamaldo","given":"Alyssa A.","non-dropping-particle":"","parse-names":false,"suffix":""},{"dropping-particle":"","family":"Teel","given":"Alison","non-dropping-particle":"","parse-names":false,"suffix":""},{"dropping-particle":"","family":"Zonderman","given":"Alan B.","non-dropping-particle":"","parse-names":false,"suffix":""},{"dropping-particle":"","family":"Wang","given":"Youfa","non-dropping-particle":"","parse-names":false,"suffix":""}],"container-title":"BMC Public Health","id":"ITEM-1","issue":"1","issued":{"date-parts":[["2014"]]},"page":"1-33","title":"Epidemiologic studies of modifiable factors associated with cognition and dementia: Systematic review and meta-analysis","type":"article-journal","volume":"14"},"uris":["http://www.mendeley.com/documents/?uuid=b3923613-b9fc-4ba4-8495-550eb70081f8"]},{"id":"ITEM-2","itemData":{"DOI":"10.1006/pmed.2000.0740","ISSN":"00917435","PMID":"11071843","abstract":"Background. A randomized controlled trial was conducted to examine: (a) the effect of two physical activity modes on changes in subjective well-being (SWB) over the course of a 12-month period in older, formerly sedentary adults (N = 174, M age = 65.5 years) and (b) the role played by physical activity participation and social support in changes in SWB over time. Method. Participants were randomized into either an aerobic activity group or a stretching and toning group. Structural equation modeling was employed to conduct multiple sample latent growth curve analyses of individual growth in measures of SWB (happiness, satisfaction with life, and loneliness) over time. Results. A curvilinear growth pattern was revealed with well-being significantly improving over the course of the intervention followed by significant declines at the 6-month follow-up. Subsequent structural analyses were conducted showing that frequency of exercise participation was a significant predictor of improvement in satisfaction with life, whereas social relations were related to increases in satisfaction with life and reductions in loneliness. Improvements in social relations and exercise frequency also helped to buffer the declines in satisfaction with life at follow-up. Conclusions. It appears that social relations integral to the exercise environment are significant determinants of subjective well-being in older adults. Findings are discussed in terms of how physical activity environments might be structured to maximize improvements in more global well-being constructs such as satisfaction with life. (C) 2000 American Health Foundation and Academic Press.","author":[{"dropping-particle":"","family":"McAuley","given":"Edward","non-dropping-particle":"","parse-names":false,"suffix":""},{"dropping-particle":"","family":"Blissmer","given":"Bryan","non-dropping-particle":"","parse-names":false,"suffix":""},{"dropping-particle":"","family":"Marquez","given":"David X.","non-dropping-particle":"","parse-names":false,"suffix":""},{"dropping-particle":"","family":"Jerome","given":"Gerald J.","non-dropping-particle":"","parse-names":false,"suffix":""},{"dropping-particle":"","family":"Kramer","given":"Arthur F.","non-dropping-particle":"","parse-names":false,"suffix":""},{"dropping-particle":"","family":"Katula","given":"Jeffrey","non-dropping-particle":"","parse-names":false,"suffix":""}],"container-title":"Preventive Medicine","id":"ITEM-2","issue":"5","issued":{"date-parts":[["2000"]]},"page":"608-617","title":"Social relations, physical activity, and well-being in older adults","type":"article-journal","volume":"31"},"uris":["http://www.mendeley.com/documents/?uuid=6a262313-7a94-4e5e-acd2-0a377ad130ce"]},{"id":"ITEM-3","itemData":{"DOI":"10.1155/2019/6752182","ISSN":"23146141","PMID":"31886239","abstract":"Background. Physical activity is believed to enhance body functions and sense of wellbeing in general population. Objectives. This study aimed to explore physical activity measures; and the association between those measures, and mental wellbeing among older adults in South and Southeast Asia. Methods. A systematic search was made in CINHAL, EMBASE, PubMed, and PsycINFO. Articles published between 2008 and 2018 were selected with participants aged 60 years and above, living at home, community, supported housing, or residential care homes, with no diagnosed/limiting illness. Results. Five observational and four interventional studies on physical activity were analysed. Depression and sleep quality were the </w:instrText>
      </w:r>
      <w:r w:rsidR="0022380C" w:rsidRPr="00A06386">
        <w:instrText>commonest outcome variables. Exercise frequency, regularity, and duration were found to positively impact mental wellbeing. Conclusion. Physical activity was generally found protecting against depression and improved sleep quality of older adults from South and Southeast Asia. Future studies should focus on more objective measures of physical activity.","author":[{"dropping-particle":"","family":"Kadariya","given":"Shanti","non-dropping-particle":"","parse-names":false,"suffix":""},{"dropping-particle":"","family":"Gautam","given":"Rupesh","non-dropping-particle":"","parse-names":false,"suffix":""},{"dropping-particle":"","family":"Aro","given":"Arja R.","non-dropping-particle":"","parse-names":false,"suffix":""}],"container-title":"BioMed Research International","id":"ITEM-3","issued":{"date-parts":[["2019"]]},"title":"Physical Activity, Mental Health, and Wellbeing among Older Adults in South and Southeast Asia: A Scoping Review","type":"article-journal","volume":"2019"},"uris":["http://www.mendeley.com/documents/?uuid=f4389563-a9e6-4195-8282-0e0800e0cea9"]}],"mendeley":{"formattedCitation":"(Beydoun et al., 2014; Kadariya et al., 2019; McAuley et al., 2000)","plainTextFormattedCitation":"(Beydoun et al., 2014; Kadariya et al., 2019; McAuley et al., 2000)","previouslyFormattedCitation":"(Beydoun et al., 2014; Kadariya et al., 2019; McAuley et al., 2000)"},"properties":{"noteIndex":0},"schema":"https://github.com/citation-style-language/schema/raw/master/csl-citation.json"}</w:instrText>
      </w:r>
      <w:r w:rsidR="0022380C" w:rsidRPr="0002624B">
        <w:rPr>
          <w:lang w:val="nl-NL"/>
        </w:rPr>
        <w:fldChar w:fldCharType="separate"/>
      </w:r>
      <w:r w:rsidR="0022380C" w:rsidRPr="00A06386">
        <w:rPr>
          <w:noProof/>
        </w:rPr>
        <w:t>(Beydoun et al., 2014; Kadariya et al., 2019; McAuley et al., 2000)</w:t>
      </w:r>
      <w:r w:rsidR="0022380C" w:rsidRPr="0002624B">
        <w:rPr>
          <w:lang w:val="nl-NL"/>
        </w:rPr>
        <w:fldChar w:fldCharType="end"/>
      </w:r>
      <w:r w:rsidR="0022380C" w:rsidRPr="00A06386">
        <w:t xml:space="preserve"> .</w:t>
      </w:r>
      <w:r w:rsidR="0002624B" w:rsidRPr="0002624B">
        <w:t xml:space="preserve"> Also, physical activity levels can be increased through interventions </w:t>
      </w:r>
      <w:r w:rsidR="0002624B" w:rsidRPr="0002624B">
        <w:rPr>
          <w:lang w:val="nl-NL"/>
        </w:rPr>
        <w:fldChar w:fldCharType="begin" w:fldLock="1"/>
      </w:r>
      <w:r w:rsidR="0002624B" w:rsidRPr="0002624B">
        <w:instrText>ADDIN CSL_CITATION {"citationItems":[{"id":"ITEM-1","itemData":{"DOI":"10.1016/j.ypmed.2008.07.006","ISSN":"00917435","PMID":"18675845","abstract":"Background: This systematic review aims to evaluate the long-term effectiveness of physical activity interventions targeted at healthy adults and to identify effective intervention components. Methods: The systematic search in Pubmed, Embase, the Cochrane Library and Psycinfo identified literature published in English and German between January 2001 and June 2007. We included randomised controlled trials investigating physical activity interventions for healthy adults with a minimum study duration of 12 months. Two researchers independently assessed publications according to pre-defined inclusion criteria and methodological quality was rated according to the SIGN criteria. Study characteristics and outcome measures were extracted, and pooled effect estimates with 95% confidence intervals calculated. Results: Of 5508 identified publications 25 studies met the inclusion criteria. There was substantial heterogeneity in study quality, intervention strategies and intervention effects. Compared to no-intervention and minimal-intervention control, gains in weekly energy expenditure and physical fitness of up to 975 kcal and 11% were achieved, respectively. Booster interventions were used in 16 studies. Conclusions: There is evidence for long-term increases in physical</w:instrText>
      </w:r>
      <w:r w:rsidR="0002624B" w:rsidRPr="0002624B">
        <w:rPr>
          <w:lang w:val="nl-NL"/>
        </w:rPr>
        <w:instrText xml:space="preserve"> activity behaviour and physical fitness. To improve uptake of physical activity additional tailored exercise prescription strategies seem promising. Booster interventions such as phone, mail or internet can help to facilitate long-term effectiveness. © 2008 Elsevier Inc. All rights reserved.","author":[{"dropping-particle":"","family":"Müller-Riemenschneider","given":"Falk","non-dropping-particle":"","parse-names":false,"suffix":""},{"dropping-particle":"","family":"Reinhold","given":"Thomas","non-dropping-particle":"","parse-names":false,"suffix":""},{"dropping-particle":"","family":"Nocon","given":"Marc","non-dropping-particle":"","parse-names":false,"suffix":""},{"dropping-particle":"","family":"Willich","given":"Stefan N.","non-dropping-particle":"","parse-names":false,"suffix":""}],"container-title":"Preventive Medicine","id":"ITEM-1","issue":"4","issued":{"date-parts":[["2008"]]},"page":"354-368","title":"Long-term effectiveness of interventions promoting physical activity: A systematic review","type":"article-journal","volume":"47"},"uris":["http://www.mendeley.com/documents/?uuid=a695afe3-6f2e-4599-b50f-b4797bfe44fa"]},{"id":"ITEM-2","itemData":{"DOI":"10.1186/1471-2458-11-119","ISSN":"14712458","PMID":"21333011","abstract":"Background: To develop more efficient programmes for promoting dietary and/or physical activity change (in order to prevent type 2 diabetes) it is critical to ensure that the intervention components and characteristics most strongly associated with effectiveness are included. The aim of this systematic review of reviews was to identify intervention components that are associated with increased change in diet and/or physical activity in individuals at risk of type 2 diabetes. Methods. MEDLINE, EMBASE, CINAHL, PsycInfo, and the Cochrane Library were searched for systematic reviews of interventions targeting diet and/or physical activity in adults at risk of developing type 2 diabetes from 1998 to 2008. Two reviewers independently selected reviews and rated methodological quality. Individual analyses from reviews relating effectiveness to intervention components were extracted, graded for evidence quality and summarised. Results: Of 3856 identified articles, 30 met the inclusion criteria and 129 analyses related intervention components to effectiveness. These included causal analyses (based on randomisation of participants to different intervention conditions) and associative analyses (e.g. meta-regression). Overall, interventions produced clinically meaningful weight loss (3-5 kg at 12 months; 2-3 kg at 36 months) and increased physical activity (30-60 mins/week of moderate activity at 12-18 months). Based on causal analyses, intervention effectiveness was increased by engaging social support, targeting both diet and physical activity, and using well-defined/established behaviour change techniques. Increased effectiveness was also associated with increased contact frequency and using a specific cluster of \"self-regulatory\" behaviour change techniques (e.g. goal-setting, self-monitoring). No clear relationships were found between effectiveness and intervention setting, delivery mode, study population or delivery provider. Evidence on long-term effectiveness suggested the need for greater consideration of behaviour maintenance strategies. Conclusions: This comprehensive review of reviews identifies specific components which are associated with increased effectiveness in interventions to promote change in diet and/or physical activity. To maximise the efficiency of programmes for diabetes prevention, practitioners and commissioning organisations should consider including these components. © 2011 Greaves et al; licensee BioMed Central Ltd.","author":[{"dropping-particle":"","family":"Greaves","given":"Colin J.","non-dropping-particle":"","parse-names":false,"suf</w:instrText>
      </w:r>
      <w:r w:rsidR="0002624B" w:rsidRPr="0002624B">
        <w:instrText>fix":""},{"dropping-particle":"","family":"Sheppard","given":"Kate E.","non-dropping-particle":"","parse-names":false,"suffix":""},{"dropping-particle":"","family":"Abraham","given":"Charles","non-dropping-particle":"","parse-names":false,"suffix":""},{"dropping-particle":"","family":"Hardeman","given":"Wendy","non-dropping-particle":"","parse-names":false,"suffix":""},{"dropping-particle":"","family":"Roden","given":"Michael","non-dropping-particle":"","parse-names":false,"suffix":""},{"dropping-particle":"","family":"Evans","given":"Philip H.","non-dropping-particle":"","parse-names":false,"suffix":""},{"dropping-particle":"","family":"Schwarz","given":"Peter","non-dropping-particle":"","parse-names":false,"suffix":""}],"container-title":"BMC Public Health","id":"ITEM-2","issued":{"date-parts":[["2011"]]},"title":"Systematic review of reviews of intervention components associated with increased effectiveness in dietary and physical activity interventions","type":"article-journal","volume":"11"},"uris":["http://www.mendeley.com/documents/?uuid=4252cbfc-32f6-45d2-8c1f-31ad3f6f1d6b"]}],"mendeley":{"formattedCitation":"(Greaves et al., 2011; Müller-Riemenschneider et al., 2008)","plainTextFormattedCitation":"(Greaves et al., 2011; Müller-Riemenschneider et al., 2008)","previouslyFormattedCitation":"(Greaves et al., 2011; Müller-Riemenschneider et al., 2008)"},"properties":{"noteIndex":0},"schema":"https://github.com/citation-style-language/schema/raw/master/csl-citation.json"}</w:instrText>
      </w:r>
      <w:r w:rsidR="0002624B" w:rsidRPr="0002624B">
        <w:rPr>
          <w:lang w:val="nl-NL"/>
        </w:rPr>
        <w:fldChar w:fldCharType="separate"/>
      </w:r>
      <w:r w:rsidR="0002624B" w:rsidRPr="0002624B">
        <w:rPr>
          <w:noProof/>
        </w:rPr>
        <w:t>(Greaves et al., 2011; Müller-Riemenschneider et al., 2008)</w:t>
      </w:r>
      <w:r w:rsidR="0002624B" w:rsidRPr="0002624B">
        <w:rPr>
          <w:lang w:val="nl-NL"/>
        </w:rPr>
        <w:fldChar w:fldCharType="end"/>
      </w:r>
      <w:r w:rsidR="0002624B" w:rsidRPr="0002624B">
        <w:t>.</w:t>
      </w:r>
    </w:p>
    <w:p w14:paraId="06460278" w14:textId="5FD13A62" w:rsidR="007435C5" w:rsidRDefault="007435C5" w:rsidP="00DD18FE"/>
    <w:p w14:paraId="78B9B955" w14:textId="77777777" w:rsidR="00DD0CB8" w:rsidRPr="00A06386" w:rsidRDefault="00DD0CB8" w:rsidP="00DD18FE"/>
    <w:p w14:paraId="46D95E48" w14:textId="77777777" w:rsidR="007435C5" w:rsidRPr="00A06386" w:rsidRDefault="007435C5" w:rsidP="00DD18FE">
      <w:pPr>
        <w:rPr>
          <w:b/>
          <w:bCs/>
        </w:rPr>
      </w:pPr>
      <w:r w:rsidRPr="00A06386">
        <w:rPr>
          <w:b/>
          <w:bCs/>
          <w:i/>
        </w:rPr>
        <w:t>Sense of mastery</w:t>
      </w:r>
    </w:p>
    <w:p w14:paraId="1C02BBD6" w14:textId="68E71208" w:rsidR="007435C5" w:rsidRPr="00B63E10" w:rsidRDefault="007435C5" w:rsidP="00DD18FE">
      <w:r w:rsidRPr="00FB4C8A">
        <w:t>Mastery refers to the extent to which respondents view themselves as being in control of the for</w:t>
      </w:r>
      <w:r>
        <w:t>ces</w:t>
      </w:r>
      <w:r w:rsidRPr="00FB4C8A">
        <w:t xml:space="preserve"> that affect their </w:t>
      </w:r>
      <w:proofErr w:type="spellStart"/>
      <w:r w:rsidRPr="00FB4C8A">
        <w:t>lifes</w:t>
      </w:r>
      <w:proofErr w:type="spellEnd"/>
      <w:r w:rsidRPr="00FB4C8A">
        <w:t xml:space="preserve"> in important ways</w:t>
      </w:r>
      <w:r w:rsidR="00DD19AB">
        <w:t xml:space="preserve"> </w:t>
      </w:r>
      <w:r w:rsidR="00DD19AB">
        <w:fldChar w:fldCharType="begin" w:fldLock="1"/>
      </w:r>
      <w:r w:rsidR="00E22E45">
        <w:instrText>ADDIN CSL_CITATION {"citationItems":[{"id":"ITEM-1","itemData":{"DOI":"10.2307/2136676","abstract":"This study uses longitudinal data to observe how life events, chronic life strains, self concepts, coping, and social supports come together to form a process of stress. It takes involuntary job disruptions as illustrating life events and shows how they adversely affect enduring role strains, economic strains in particular. These exacerbated strains, in turn, erode positive concepts of self, such as self-esteem and mastery. The diminished self-concepts then leave one especially vulnerable to experiencing symptoms of stress, of which depression is of special interest to this analysis. The interventions of coping and social supports are mainly indirect; that is, they do not act directly to buffer depression. Instead, they minimize the elevation of depression by dampening the antecedent process.","author":[{"dropping-particle":"","family":"Pearlin","given":"Leonard I","non-dropping-particle":"","parse-names":false,"suffix":""},{"dropping-particle":"","family":"Menaghan","given":"Elizabeth G","non-dropping-particle":"","parse-names":false,"suffix":""},{"dropping-particle":"","family":"Lieberman","given":"Morton A","non-dropping-particle":"","parse-names":false,"suffix":""},{"dropping-particle":"","family":"Joseph","given":"T","non-dropping-particle":"","parse-names":false,"suffix":""},{"dropping-particle":"","family":"Lieberman","given":"Morton A","non-dropping-particle":"","parse-names":false,"suffix":""},{"dropping-particle":"","family":"Mullan","given":"Joseph T","non-dropping-particle":"","parse-names":false,"suffix":""}],"container-title":"Journal of Health and Social Behavior","id":"ITEM-1","issue":"4","issued":{"date-parts":[["1981"]]},"page":"337-356","title":"The stress process","type":"article-journal","volume":"22"},"uris":["http://www.mendeley.com/documents/?uuid=6e58ec80-6db9-4f36-8b0b-63d94869cd1c"]}],"mendeley":{"formattedCitation":"(Pearlin et al., 1981)","plainTextFormattedCitation":"(Pearlin et al., 1981)","previouslyFormattedCitation":"(Pearlin et al., 1981)"},"properties":{"noteIndex":0},"schema":"https://github.com/citation-style-language/schema/raw/master/csl-citation.json"}</w:instrText>
      </w:r>
      <w:r w:rsidR="00DD19AB">
        <w:fldChar w:fldCharType="separate"/>
      </w:r>
      <w:r w:rsidR="00DD19AB" w:rsidRPr="00DD19AB">
        <w:rPr>
          <w:noProof/>
        </w:rPr>
        <w:t>(Pearlin et al., 1981)</w:t>
      </w:r>
      <w:r w:rsidR="00DD19AB">
        <w:fldChar w:fldCharType="end"/>
      </w:r>
      <w:r w:rsidRPr="00FB4C8A">
        <w:t xml:space="preserve">. Mastery was assessed by the </w:t>
      </w:r>
      <w:proofErr w:type="spellStart"/>
      <w:r w:rsidRPr="00FB4C8A">
        <w:t>Pearlin</w:t>
      </w:r>
      <w:proofErr w:type="spellEnd"/>
      <w:r w:rsidRPr="00FB4C8A">
        <w:t xml:space="preserve"> Mastery Scale, which consists of seven items that were rated on a five-point scale that ranged from </w:t>
      </w:r>
      <w:r w:rsidR="003A3964">
        <w:t>‘</w:t>
      </w:r>
      <w:r w:rsidRPr="00FB4C8A">
        <w:t>strongly disagree</w:t>
      </w:r>
      <w:r w:rsidR="003A3964">
        <w:t>’</w:t>
      </w:r>
      <w:r w:rsidRPr="00FB4C8A">
        <w:t xml:space="preserve"> to </w:t>
      </w:r>
      <w:r w:rsidR="003A3964">
        <w:t>‘</w:t>
      </w:r>
      <w:r w:rsidRPr="00FB4C8A">
        <w:t>strongly agree</w:t>
      </w:r>
      <w:r w:rsidR="003A3964">
        <w:t>’</w:t>
      </w:r>
      <w:r w:rsidR="00DD19AB">
        <w:t xml:space="preserve"> </w:t>
      </w:r>
      <w:r w:rsidR="00DD19AB">
        <w:fldChar w:fldCharType="begin" w:fldLock="1"/>
      </w:r>
      <w:r w:rsidR="00E22E45">
        <w:instrText>ADDIN CSL_CITATION {"citationItems":[{"id":"ITEM-1","itemData":{"DOI":"10.2307/2136319","author":[{"dropping-particle":"","family":"Pearlin","given":"Leonard I","non-dropping-particle":"","parse-names":false,"suffix":""},{"dropping-particle":"","family":"Schooler","given":"C.","non-dropping-particle":"","parse-names":false,"suffix":""}],"container-title":"Journal of Health and Social Behavior","id":"ITEM-1","issue":"1","issued":{"date-parts":[["1978"]]},"page":"2-21","title":"The structure of coping","type":"article-journal","volume":"19"},"uris":["http://www.mendeley.com/documents/?uuid=c4e51b8d-d15d-46d9-a84f-19360c84fb14"]}],"mendeley":{"formattedCitation":"(Pearlin &amp; Schooler, 1978)","plainTextFormattedCitation":"(Pearlin &amp; Schooler, 1978)","previouslyFormattedCitation":"(Pearlin &amp; Schooler, 1978)"},"properties":{"noteIndex":0},"schema":"https://github.com/citation-style-language/schema/raw/master/csl-citation.json"}</w:instrText>
      </w:r>
      <w:r w:rsidR="00DD19AB">
        <w:fldChar w:fldCharType="separate"/>
      </w:r>
      <w:r w:rsidR="00DD19AB" w:rsidRPr="00DD19AB">
        <w:rPr>
          <w:noProof/>
        </w:rPr>
        <w:t>(Pearlin &amp; Schooler, 1978)</w:t>
      </w:r>
      <w:r w:rsidR="00DD19AB">
        <w:fldChar w:fldCharType="end"/>
      </w:r>
      <w:r w:rsidRPr="00FB4C8A">
        <w:t xml:space="preserve">. The instrument contains five questions that are negatively </w:t>
      </w:r>
      <w:r w:rsidRPr="00B63E10">
        <w:t xml:space="preserve">phrased and two positively phrased items. The negatively phrased items were reverse coded. We created a sum score that varied between 7 and 35, such that higher ratings corresponded to more feelings of mastery. The instrument’s reliability has shown to be reasonable to high with Cronbach’s </w:t>
      </w:r>
      <w:r w:rsidRPr="00B63E10">
        <w:sym w:font="Symbol" w:char="F061"/>
      </w:r>
      <w:r w:rsidRPr="00B63E10">
        <w:t xml:space="preserve"> between 0.67 and 0.80</w:t>
      </w:r>
      <w:r w:rsidR="00DD19AB" w:rsidRPr="00B63E10">
        <w:t xml:space="preserve"> </w:t>
      </w:r>
      <w:r w:rsidR="00207090" w:rsidRPr="00B63E10">
        <w:fldChar w:fldCharType="begin" w:fldLock="1"/>
      </w:r>
      <w:r w:rsidR="008D0E38" w:rsidRPr="00B63E10">
        <w:instrText>ADDIN CSL_CITATION {"citationItems":[{"id":"ITEM-1","itemData":{"DOI":"10.1093/oxfordjournals.aje.a009305","ISSN":"0002-9262","author":[{"dropping-particle":"","family":"Penninx","given":"Brenda W. J. H.","non-dropping-particle":"","parse-names":false,"suffix":""},{"dropping-particle":"","family":"Kriegsman","given":"Didi M. W.","non-dropping-particle":"","parse-names":false,"suffix":""},{"dropping-particle":"","family":"Boeke","given":"A. Joan P.","non-dropping-particle":"","parse-names":false,"suffix":""},{"dropping-particle":"","family":"Eijk","given":"Jacques Th. M.","non-dropping-particle":"Van","parse-names":false,"suffix":""},{"dropping-particle":"","family":"Tilburg","given":"Theo","non-dropping-particle":"Van","parse-names":false,"suffix":""},{"dropping-particle":"","family":"Deeg","given":"Dorly J. H.","non-dropping-particle":"","parse-names":false,"suffix":""}],"container-title":"American Journal of Epidemiology","id":"ITEM-1","issue":"6","issued":{"date-parts":[["1997"]]},"page":"510-519","title":"Effects of social support and personal coping resources on mortality in older age: The longitudinal aging study Amsterdam","type":"article-journal","volume":"146"},"uris":["http://www.mendeley.com/documents/?uuid=a62ebb1c-536c-4053-8c86-617797481268"]},{"id":"ITEM-2","itemData":{"author":[{"dropping-particle":"","family":"Peterson","given":"C. L.","non-dropping-particle":"","parse-names":false,"suffix":""}],"id":"ITEM-2","issued":{"date-parts":[["1999"]]},"publisher":"CRC Press","publisher-place":"New York","title":"Stress at work. A sociological perspective","type":"book"},"uris":["http://www.mendeley.com/documents/?uuid=4eb5155d-4af0-4162-920e-7a1dbdbad7b6"]}],"mendeley":{"formattedCitation":"(Penninx et al., 1997; Peterson, 1999)","plainTextFormattedCitation":"(Penninx et al., 1997; Peterson, 1999)","previouslyFormattedCitation":"(Penninx et al., 1997; Peterson, 1999)"},"properties":{"noteIndex":0},"schema":"https://github.com/citation-style-language/schema/raw/master/csl-citation.json"}</w:instrText>
      </w:r>
      <w:r w:rsidR="00207090" w:rsidRPr="00B63E10">
        <w:fldChar w:fldCharType="separate"/>
      </w:r>
      <w:r w:rsidR="00207090" w:rsidRPr="00B63E10">
        <w:rPr>
          <w:noProof/>
        </w:rPr>
        <w:t>(Penninx et al., 1997; Peterson, 1999)</w:t>
      </w:r>
      <w:r w:rsidR="00207090" w:rsidRPr="00B63E10">
        <w:fldChar w:fldCharType="end"/>
      </w:r>
      <w:r w:rsidR="002C141C" w:rsidRPr="00B63E10">
        <w:t>.</w:t>
      </w:r>
      <w:r w:rsidR="00C42E3D" w:rsidRPr="00B63E10">
        <w:t xml:space="preserve"> In this study, the reliability was acceptable (</w:t>
      </w:r>
      <w:r w:rsidR="00C42E3D" w:rsidRPr="00B63E10">
        <w:sym w:font="Symbol" w:char="F061"/>
      </w:r>
      <w:r w:rsidR="00C42E3D" w:rsidRPr="00B63E10">
        <w:t xml:space="preserve"> = 0.72</w:t>
      </w:r>
      <w:r w:rsidR="00C42E3D" w:rsidRPr="00B93761">
        <w:t>).</w:t>
      </w:r>
      <w:r w:rsidR="0022380C" w:rsidRPr="00B93761">
        <w:t xml:space="preserve"> A high level of mastery, or stronger internal locus of control, is related to a better memory performance and higher wellbeing </w:t>
      </w:r>
      <w:r w:rsidR="0022380C" w:rsidRPr="00B93761">
        <w:fldChar w:fldCharType="begin" w:fldLock="1"/>
      </w:r>
      <w:r w:rsidR="0022380C" w:rsidRPr="00B93761">
        <w:instrText>ADDIN CSL_CITATION {"citationItems":[{"id":"ITEM-1","itemData":{"DOI":"10.1080/00221309909595358","ISSN":"19400888","PMID":"10368941","abstract":"The authors investigated the relation of locus of control (LOC) to age differences in free-recall memory performance. Older and younger participants completed P. C. Duttweiler's (1984) Internal Control Index (ICI) and subsequently performed free-recall memory tasks. Compared with the younger participants, the older participants exhibited poorer recall with more intrusions and uncorrected repetition errors as well as reduced categorical clustering. For the older participants with less internal LOC, recall proportion and item-pair associative recall clustering were lower than for the older participants with more internal LOC. By contrast, the younger participants did not exhibit any LOC effects in their recall performance. The results suggest that a differential memory organization deficit may underlie the age differences in free recall among individuals varying in LOC when they are performing an intentional learning task. This deficit is discussed in terms of a reduced-inhibition account of cognitive aging. © 1999 Taylor &amp; Francis Group, LLC.","author":[{"dropping-particle":"","family":"Amrhein","given":"Paul C.","non-dropping-particle":"","parse-names":false,"suffix":""},{"dropping-particle":"","family":"Bond","given":"Judith K.","non-dropping-particle":"","parse-names":false,"suffix":""},{"dropping-particle":"","family":"Hamilton","given":"Derek A.","non-dropping-particle":"","parse-names":false,"suffix":""}],"container-title":"Journal of General Psychology","id":"ITEM-1","issue":"2","issued":{"date-parts":[["1999"]]},"page":"149-164","title":"Locus of control and the age difference in free recall from episodic memory","type":"article-journal","volume":"126"},"uris":["http://www.mendeley.com/documents/?uuid=a94fe229-148c-4dd5-a70f-02f215b512bf"]},{"id":"ITEM-2","itemData":{"DOI":"10.1093/geront/40.5.540","ISSN":"00169013","PMID":"11037932","abstract":"A study on memory complaints (as measured by selected subscales of the Metamemory in Adulthood Questionnaire) and its context was conducted on 179 older adults. A path analysis showed that memory complaints influence coping behavior through memory-related anxiety and perceived seriousness of complaints and that both memory complaints and coping influence well-being. Locus of control was found to be the most important antecedent variable in the model.","author":[{"dropping-particle":"","family":"Verhaeghen","given":"Paul","non-dropping-particle":"","parse-names":false,"suffix":""},{"dropping-particle":"","family":"Geraerts","given":"Nathalie","non-dropping-particle":"","parse-names":false,"suffix":""},{"dropping-particle":"","family":"Marcoen","given":"Alfons","non-dropping-particle":"","parse-names":false,"suffix":""}],"container-title":"Gerontologist","id":"ITEM-2","issue":"5","issued":{"date-parts":[["2000"]]},"page":"540-548","title":"Memory complaints, coping, and well-being in old age: A systemic approach","type":"article-journal","volume":"40"},"uris":["http://www.mendeley.com/documents/?uuid=ac6c4bf7-bb27-4623-a856-5d0a123757d5"]},{"id":"ITEM-3","itemData":{"DOI":"10.1159/000468540","ISSN":"14230003","PMID":"28391279","abstract":"This brief review on perceived control and aging is organized according to 3 perspectives of research involving description, explanation, and modification. An extensive body of literature has utilized cross-sectional and correlational methods to describe the sociodemographic variations and outcomes associated with perceived control. This work has focused on differences in perceived control as a function of age, sex, education, socioeconomic status, and culture and has identified positive associations with many aging-related outcomes involving health and well-being. With growing evidence regarding the health benefits of perceived control in the context of a declining sense of control with aging, there has been an increased effort to uncover the mechanisms involved, with the hopes of developing methods to maintain and/or promote adaptive control beliefs throughout adulthood. Through longitudinal and experimental work, researchers are beginning to clarify the directionality and elucidate the mechanisms to explain the associations. Recent evidence from longitudinal studies shows that control beliefs have an impact on subsequent changes in health. Yet, the findings suggest that it is not a unidirectional relationship. A conceptual model suggesting an ongoing reciprocal relationship between perceived control and health and well-being is discussed. Research examining the mechanisms that link perceived control to aging-related outcomes can help to inform and to develop effective interventions that are tailored to the individual's specific barriers and goals. We consider new directions for research, including more attention to intraindividual variability and reactivity to daily challenges, such as stress, with the goal of advancing our understanding of how perceived control contributes to aging-related outcomes. More work is needed to develop strategies to enhance control beliefs in later life. Although it will not always be possible to modify control beliefs, researchers can take these beliefs into account when developing interventions. A personalized approach is recommended as a way to tailor interventions that are compatible with individuals' beliefs about control to facilitate adaptive behavior change. Conclusions focus on selected issues and considerations for future research.","author":[{"dropping-particle":"","family":"Robinson","given":"Stephanie A.","non-dropping-particle":"","parse-names":false,"suffix":""},{"dropping-particle":"","family":"Lachman","given":"Margie E.","non-dropping-particle":"","parse-names":false,"suffix":""}],"container-title":"Gerontology","id":"ITEM-3","issue":"5","issued":{"date-parts":[["2017"]]},"page":"435-442","title":"Perceived Control and Aging: A Mini-Review and Directions for Future Research","type":"article-journal","volume":"63"},"uris":["http://www.mendeley.com/documents/?uuid=c3531d25-7534-4cdb-9e45-a94010c531f4"]}],"mendeley":{"formattedCitation":"(Amrhein et al., 1999; Robinson &amp; Lachman, 2017; Verhaeghen et al., 2000)","plainTextFormattedCitation":"(Amrhein et al., 1999; Robinson &amp; Lachman, 2017; Verhaeghen et al., 2000)","previouslyFormattedCitation":"(Amrhein et al., 1999; Robinson &amp; Lachman, 2017; Verhaeghen et al., 2000)"},"properties":{"noteIndex":0},"schema":"https://github.com/citation-style-language/schema/raw/master/csl-citation.json"}</w:instrText>
      </w:r>
      <w:r w:rsidR="0022380C" w:rsidRPr="00B93761">
        <w:fldChar w:fldCharType="separate"/>
      </w:r>
      <w:r w:rsidR="0022380C" w:rsidRPr="00B93761">
        <w:rPr>
          <w:noProof/>
        </w:rPr>
        <w:t>(Amrhein et al., 1999; Robinson &amp; Lachman, 2017; Verhaeghen et al., 2000)</w:t>
      </w:r>
      <w:r w:rsidR="0022380C" w:rsidRPr="00B93761">
        <w:fldChar w:fldCharType="end"/>
      </w:r>
      <w:r w:rsidR="0022380C" w:rsidRPr="00B93761">
        <w:t>.</w:t>
      </w:r>
    </w:p>
    <w:p w14:paraId="572821E8" w14:textId="77777777" w:rsidR="000753C8" w:rsidRPr="00B63E10" w:rsidRDefault="000753C8" w:rsidP="00DD18FE"/>
    <w:p w14:paraId="35A8C047" w14:textId="77777777" w:rsidR="000753C8" w:rsidRPr="00B87E6D" w:rsidRDefault="000753C8" w:rsidP="00DD18FE">
      <w:pPr>
        <w:jc w:val="both"/>
        <w:rPr>
          <w:b/>
          <w:bCs/>
          <w:color w:val="000000" w:themeColor="text1"/>
        </w:rPr>
      </w:pPr>
      <w:r w:rsidRPr="00B87E6D">
        <w:rPr>
          <w:b/>
          <w:bCs/>
          <w:i/>
          <w:color w:val="000000" w:themeColor="text1"/>
        </w:rPr>
        <w:t>Emotional and instrumental support received</w:t>
      </w:r>
    </w:p>
    <w:p w14:paraId="0784812A" w14:textId="77777777" w:rsidR="00CC6229" w:rsidRDefault="000753C8" w:rsidP="00DD18FE">
      <w:pPr>
        <w:pStyle w:val="CommentText"/>
        <w:rPr>
          <w:color w:val="000000" w:themeColor="text1"/>
          <w:sz w:val="24"/>
          <w:szCs w:val="24"/>
          <w:shd w:val="clear" w:color="auto" w:fill="FFFFFF"/>
        </w:rPr>
      </w:pPr>
      <w:r w:rsidRPr="00B63E10">
        <w:rPr>
          <w:color w:val="000000" w:themeColor="text1"/>
          <w:sz w:val="24"/>
          <w:szCs w:val="24"/>
          <w:shd w:val="clear" w:color="auto" w:fill="FFFFFF"/>
        </w:rPr>
        <w:t xml:space="preserve">A domain-specific network delineation is employed that encompasses a detailed classification of personal relationships: household members, children and their partners, other family members, neighbors, contacts through work and school, members of associations, and other </w:t>
      </w:r>
      <w:proofErr w:type="spellStart"/>
      <w:r w:rsidRPr="00B63E10">
        <w:rPr>
          <w:color w:val="000000" w:themeColor="text1"/>
          <w:sz w:val="24"/>
          <w:szCs w:val="24"/>
          <w:shd w:val="clear" w:color="auto" w:fill="FFFFFF"/>
        </w:rPr>
        <w:t>nonkin</w:t>
      </w:r>
      <w:proofErr w:type="spellEnd"/>
      <w:r w:rsidRPr="00B63E10">
        <w:rPr>
          <w:color w:val="000000" w:themeColor="text1"/>
          <w:sz w:val="24"/>
          <w:szCs w:val="24"/>
          <w:shd w:val="clear" w:color="auto" w:fill="FFFFFF"/>
        </w:rPr>
        <w:t xml:space="preserve"> relationships</w:t>
      </w:r>
      <w:r w:rsidR="00463E3F" w:rsidRPr="00B63E10">
        <w:rPr>
          <w:color w:val="000000" w:themeColor="text1"/>
          <w:sz w:val="24"/>
          <w:szCs w:val="24"/>
          <w:shd w:val="clear" w:color="auto" w:fill="FFFFFF"/>
        </w:rPr>
        <w:t xml:space="preserve"> </w:t>
      </w:r>
      <w:r w:rsidR="00463E3F" w:rsidRPr="00B63E10">
        <w:rPr>
          <w:color w:val="000000" w:themeColor="text1"/>
          <w:sz w:val="24"/>
          <w:szCs w:val="24"/>
          <w:shd w:val="clear" w:color="auto" w:fill="FFFFFF"/>
        </w:rPr>
        <w:fldChar w:fldCharType="begin" w:fldLock="1"/>
      </w:r>
      <w:r w:rsidR="00E22E45" w:rsidRPr="00B63E10">
        <w:rPr>
          <w:color w:val="000000" w:themeColor="text1"/>
          <w:sz w:val="24"/>
          <w:szCs w:val="24"/>
          <w:shd w:val="clear" w:color="auto" w:fill="FFFFFF"/>
        </w:rPr>
        <w:instrText>ADDIN CSL_CITATION {"citationItems":[{"id":"ITEM-1","itemData":{"DOI":"10.1093/geronb/53B.6.S313","ISSN":"10795014","PMID":"9826973","abstract":"Objectives. Previous studies have shown that most older people have a significant number of relationships. However, the question of whether the aging of old people produces losses in their personal networks remains open for discussion. This study models the individual variability of the changes affecting multiple personal network characteristics. Methods. Personal interviews were conducted with 2,903 older Dutch adults (aged 55-85) in three waves of a four-year longitudinal study. Results. A stable total network size was observed, with an increasing number of close relatives and a decreasing number of friends. Contact frequency decreased in relationships, and the instrumental support received and emotional support given increased. Age moderated the effect of time for some of the network characteristics, and for many of them, effects of regression towards the mean were detected. Furthermore, major variations in the direction and the speed of the changes were detected among individual respondents, and nonlinear trends were observed. Discussion. The widely varying patterns of losses and gains among the respondents squares with the focus on the heterogeneity of developments among aging people. The instability of the network composition might reflect the natural circulation in the membership of networks.","author":[{"dropping-particle":"","family":"Tilburg","given":"Theo","non-dropping-particle":"Van","parse-names":false,"suffix":""}],"container-title":"Journals of Gerontology - Series B Psychological Sciences and Social Sciences","id":"ITEM-1","issue":"6","issued":{"date-parts":[["1998"]]},"page":"313-323","title":"Losing and gaining in old age: Changes in personal network size and social support in a four-year longitudinal study","type":"article-journal","volume":"53"},"uris":["http://www.mendeley.com/documents/?uuid=056adefd-d711-489c-9ac1-e48db08b01ae"]}],"mendeley":{"formattedCitation":"(Van Tilburg, 1998)","plainTextFormattedCitation":"(Van Tilburg, 1998)","previouslyFormattedCitation":"(Van Tilburg, 1998)"},"properties":{"noteIndex":0},"schema":"https://github.com/citation-style-language/schema/raw/master/csl-citation.json"}</w:instrText>
      </w:r>
      <w:r w:rsidR="00463E3F" w:rsidRPr="00B63E10">
        <w:rPr>
          <w:color w:val="000000" w:themeColor="text1"/>
          <w:sz w:val="24"/>
          <w:szCs w:val="24"/>
          <w:shd w:val="clear" w:color="auto" w:fill="FFFFFF"/>
        </w:rPr>
        <w:fldChar w:fldCharType="separate"/>
      </w:r>
      <w:r w:rsidR="00463E3F" w:rsidRPr="00B63E10">
        <w:rPr>
          <w:noProof/>
          <w:color w:val="000000" w:themeColor="text1"/>
          <w:sz w:val="24"/>
          <w:szCs w:val="24"/>
          <w:shd w:val="clear" w:color="auto" w:fill="FFFFFF"/>
        </w:rPr>
        <w:t>(Van Tilburg, 1998)</w:t>
      </w:r>
      <w:r w:rsidR="00463E3F" w:rsidRPr="00B63E10">
        <w:rPr>
          <w:color w:val="000000" w:themeColor="text1"/>
          <w:sz w:val="24"/>
          <w:szCs w:val="24"/>
          <w:shd w:val="clear" w:color="auto" w:fill="FFFFFF"/>
        </w:rPr>
        <w:fldChar w:fldCharType="end"/>
      </w:r>
      <w:r w:rsidRPr="00B63E10">
        <w:rPr>
          <w:color w:val="000000" w:themeColor="text1"/>
          <w:sz w:val="24"/>
          <w:szCs w:val="24"/>
          <w:shd w:val="clear" w:color="auto" w:fill="FFFFFF"/>
        </w:rPr>
        <w:t xml:space="preserve">. For each of these domains, respondents were asked to </w:t>
      </w:r>
      <w:r w:rsidR="00CC6229">
        <w:rPr>
          <w:color w:val="000000" w:themeColor="text1"/>
          <w:sz w:val="24"/>
          <w:szCs w:val="24"/>
          <w:shd w:val="clear" w:color="auto" w:fill="FFFFFF"/>
        </w:rPr>
        <w:t>‘</w:t>
      </w:r>
      <w:r w:rsidRPr="00B63E10">
        <w:rPr>
          <w:color w:val="000000" w:themeColor="text1"/>
          <w:sz w:val="24"/>
          <w:szCs w:val="24"/>
          <w:shd w:val="clear" w:color="auto" w:fill="FFFFFF"/>
        </w:rPr>
        <w:t>Name the people you have frequent contact with and who are also important to you</w:t>
      </w:r>
      <w:r w:rsidR="00CC6229">
        <w:rPr>
          <w:color w:val="000000" w:themeColor="text1"/>
          <w:sz w:val="24"/>
          <w:szCs w:val="24"/>
          <w:shd w:val="clear" w:color="auto" w:fill="FFFFFF"/>
        </w:rPr>
        <w:t>’.</w:t>
      </w:r>
    </w:p>
    <w:p w14:paraId="6639D27F" w14:textId="50FFE2B6" w:rsidR="000753C8" w:rsidRPr="0022380C" w:rsidRDefault="000753C8" w:rsidP="00DD18FE">
      <w:pPr>
        <w:pStyle w:val="CommentText"/>
        <w:rPr>
          <w:color w:val="000000" w:themeColor="text1"/>
          <w:sz w:val="24"/>
          <w:szCs w:val="24"/>
          <w:shd w:val="clear" w:color="auto" w:fill="FFFFFF"/>
        </w:rPr>
      </w:pPr>
      <w:r w:rsidRPr="00CC6229">
        <w:rPr>
          <w:color w:val="000000" w:themeColor="text1"/>
          <w:sz w:val="24"/>
          <w:szCs w:val="24"/>
          <w:shd w:val="clear" w:color="auto" w:fill="FFFFFF"/>
        </w:rPr>
        <w:t xml:space="preserve">For the nine relationships with the highest contact frequency, four questions about support exchanges were asked. The question for emotional support given was </w:t>
      </w:r>
      <w:r w:rsidR="00CC6229" w:rsidRPr="00CC6229">
        <w:rPr>
          <w:color w:val="000000" w:themeColor="text1"/>
          <w:sz w:val="24"/>
          <w:szCs w:val="24"/>
          <w:shd w:val="clear" w:color="auto" w:fill="FFFFFF"/>
        </w:rPr>
        <w:t>‘</w:t>
      </w:r>
      <w:r w:rsidRPr="00CC6229">
        <w:rPr>
          <w:color w:val="000000" w:themeColor="text1"/>
          <w:sz w:val="24"/>
          <w:szCs w:val="24"/>
          <w:shd w:val="clear" w:color="auto" w:fill="FFFFFF"/>
        </w:rPr>
        <w:t>How often in the last year did…tell you about his/her personal experiences and feelings?</w:t>
      </w:r>
      <w:r w:rsidR="00CC6229" w:rsidRPr="00CC6229">
        <w:rPr>
          <w:color w:val="000000" w:themeColor="text1"/>
          <w:sz w:val="24"/>
          <w:szCs w:val="24"/>
          <w:shd w:val="clear" w:color="auto" w:fill="FFFFFF"/>
        </w:rPr>
        <w:t>’</w:t>
      </w:r>
      <w:r w:rsidRPr="00CC6229">
        <w:rPr>
          <w:color w:val="000000" w:themeColor="text1"/>
          <w:sz w:val="24"/>
          <w:szCs w:val="24"/>
          <w:shd w:val="clear" w:color="auto" w:fill="FFFFFF"/>
        </w:rPr>
        <w:t xml:space="preserve"> The question on received emotional support was </w:t>
      </w:r>
      <w:r w:rsidR="00CC6229" w:rsidRPr="00CC6229">
        <w:rPr>
          <w:color w:val="000000" w:themeColor="text1"/>
          <w:sz w:val="24"/>
          <w:szCs w:val="24"/>
          <w:shd w:val="clear" w:color="auto" w:fill="FFFFFF"/>
        </w:rPr>
        <w:t>‘</w:t>
      </w:r>
      <w:r w:rsidRPr="00CC6229">
        <w:rPr>
          <w:color w:val="000000" w:themeColor="text1"/>
          <w:sz w:val="24"/>
          <w:szCs w:val="24"/>
          <w:shd w:val="clear" w:color="auto" w:fill="FFFFFF"/>
        </w:rPr>
        <w:t>…did you tell…about your personal experiences and feelings?</w:t>
      </w:r>
      <w:r w:rsidR="00CC6229" w:rsidRPr="00CC6229">
        <w:rPr>
          <w:color w:val="000000" w:themeColor="text1"/>
          <w:sz w:val="24"/>
          <w:szCs w:val="24"/>
          <w:shd w:val="clear" w:color="auto" w:fill="FFFFFF"/>
        </w:rPr>
        <w:t>’</w:t>
      </w:r>
      <w:r w:rsidRPr="00CC6229">
        <w:rPr>
          <w:color w:val="000000" w:themeColor="text1"/>
          <w:sz w:val="24"/>
          <w:szCs w:val="24"/>
          <w:shd w:val="clear" w:color="auto" w:fill="FFFFFF"/>
        </w:rPr>
        <w:t xml:space="preserve"> For instrumental support, the question was about help with daily chores in and around the house, such as preparing meals, cleaning the house, transportation, small repairs, and filling out </w:t>
      </w:r>
      <w:r w:rsidR="00CC6229" w:rsidRPr="00CC6229">
        <w:rPr>
          <w:color w:val="000000" w:themeColor="text1"/>
          <w:sz w:val="24"/>
          <w:szCs w:val="24"/>
          <w:shd w:val="clear" w:color="auto" w:fill="FFFFFF"/>
        </w:rPr>
        <w:t>forms</w:t>
      </w:r>
      <w:r w:rsidR="00CC6229">
        <w:rPr>
          <w:color w:val="000000" w:themeColor="text1"/>
          <w:sz w:val="24"/>
          <w:szCs w:val="24"/>
          <w:shd w:val="clear" w:color="auto" w:fill="FFFFFF"/>
        </w:rPr>
        <w:t>.</w:t>
      </w:r>
      <w:r w:rsidRPr="00CC6229">
        <w:rPr>
          <w:color w:val="000000" w:themeColor="text1"/>
          <w:sz w:val="24"/>
          <w:szCs w:val="24"/>
          <w:shd w:val="clear" w:color="auto" w:fill="FFFFFF"/>
        </w:rPr>
        <w:t xml:space="preserve"> The answer categories were </w:t>
      </w:r>
      <w:r w:rsidR="00CC6229">
        <w:rPr>
          <w:color w:val="000000" w:themeColor="text1"/>
          <w:sz w:val="24"/>
          <w:szCs w:val="24"/>
          <w:shd w:val="clear" w:color="auto" w:fill="FFFFFF"/>
        </w:rPr>
        <w:t>‘</w:t>
      </w:r>
      <w:r w:rsidRPr="00CC6229">
        <w:rPr>
          <w:color w:val="000000" w:themeColor="text1"/>
          <w:sz w:val="24"/>
          <w:szCs w:val="24"/>
          <w:shd w:val="clear" w:color="auto" w:fill="FFFFFF"/>
        </w:rPr>
        <w:t>never,</w:t>
      </w:r>
      <w:r w:rsidR="00CC6229">
        <w:rPr>
          <w:color w:val="000000" w:themeColor="text1"/>
          <w:sz w:val="24"/>
          <w:szCs w:val="24"/>
          <w:shd w:val="clear" w:color="auto" w:fill="FFFFFF"/>
        </w:rPr>
        <w:t>’</w:t>
      </w:r>
      <w:r w:rsidRPr="00CC6229">
        <w:rPr>
          <w:color w:val="000000" w:themeColor="text1"/>
          <w:sz w:val="24"/>
          <w:szCs w:val="24"/>
          <w:shd w:val="clear" w:color="auto" w:fill="FFFFFF"/>
        </w:rPr>
        <w:t xml:space="preserve"> </w:t>
      </w:r>
      <w:r w:rsidR="00CC6229">
        <w:rPr>
          <w:color w:val="000000" w:themeColor="text1"/>
          <w:sz w:val="24"/>
          <w:szCs w:val="24"/>
          <w:shd w:val="clear" w:color="auto" w:fill="FFFFFF"/>
        </w:rPr>
        <w:t>‘</w:t>
      </w:r>
      <w:r w:rsidRPr="00CC6229">
        <w:rPr>
          <w:color w:val="000000" w:themeColor="text1"/>
          <w:sz w:val="24"/>
          <w:szCs w:val="24"/>
          <w:shd w:val="clear" w:color="auto" w:fill="FFFFFF"/>
        </w:rPr>
        <w:t>seldom,</w:t>
      </w:r>
      <w:r w:rsidR="00CC6229">
        <w:rPr>
          <w:color w:val="000000" w:themeColor="text1"/>
          <w:sz w:val="24"/>
          <w:szCs w:val="24"/>
          <w:shd w:val="clear" w:color="auto" w:fill="FFFFFF"/>
        </w:rPr>
        <w:t>’</w:t>
      </w:r>
      <w:r w:rsidRPr="00CC6229">
        <w:rPr>
          <w:color w:val="000000" w:themeColor="text1"/>
          <w:sz w:val="24"/>
          <w:szCs w:val="24"/>
          <w:shd w:val="clear" w:color="auto" w:fill="FFFFFF"/>
        </w:rPr>
        <w:t xml:space="preserve"> </w:t>
      </w:r>
      <w:r w:rsidR="00CC6229">
        <w:rPr>
          <w:color w:val="000000" w:themeColor="text1"/>
          <w:sz w:val="24"/>
          <w:szCs w:val="24"/>
          <w:shd w:val="clear" w:color="auto" w:fill="FFFFFF"/>
        </w:rPr>
        <w:t>‘</w:t>
      </w:r>
      <w:r w:rsidRPr="00CC6229">
        <w:rPr>
          <w:color w:val="000000" w:themeColor="text1"/>
          <w:sz w:val="24"/>
          <w:szCs w:val="24"/>
          <w:shd w:val="clear" w:color="auto" w:fill="FFFFFF"/>
        </w:rPr>
        <w:t>sometimes,</w:t>
      </w:r>
      <w:r w:rsidR="00CC6229">
        <w:rPr>
          <w:color w:val="000000" w:themeColor="text1"/>
          <w:sz w:val="24"/>
          <w:szCs w:val="24"/>
          <w:shd w:val="clear" w:color="auto" w:fill="FFFFFF"/>
        </w:rPr>
        <w:t>’</w:t>
      </w:r>
      <w:r w:rsidRPr="00CC6229">
        <w:rPr>
          <w:color w:val="000000" w:themeColor="text1"/>
          <w:sz w:val="24"/>
          <w:szCs w:val="24"/>
          <w:shd w:val="clear" w:color="auto" w:fill="FFFFFF"/>
        </w:rPr>
        <w:t xml:space="preserve"> or </w:t>
      </w:r>
      <w:r w:rsidR="00CC6229">
        <w:rPr>
          <w:color w:val="000000" w:themeColor="text1"/>
          <w:sz w:val="24"/>
          <w:szCs w:val="24"/>
          <w:shd w:val="clear" w:color="auto" w:fill="FFFFFF"/>
        </w:rPr>
        <w:t>‘</w:t>
      </w:r>
      <w:r w:rsidRPr="00CC6229">
        <w:rPr>
          <w:color w:val="000000" w:themeColor="text1"/>
          <w:sz w:val="24"/>
          <w:szCs w:val="24"/>
          <w:shd w:val="clear" w:color="auto" w:fill="FFFFFF"/>
        </w:rPr>
        <w:t>often</w:t>
      </w:r>
      <w:r w:rsidR="00CC6229">
        <w:rPr>
          <w:color w:val="000000" w:themeColor="text1"/>
          <w:sz w:val="24"/>
          <w:szCs w:val="24"/>
          <w:shd w:val="clear" w:color="auto" w:fill="FFFFFF"/>
        </w:rPr>
        <w:t>’.</w:t>
      </w:r>
      <w:r w:rsidRPr="00CC6229">
        <w:rPr>
          <w:color w:val="000000" w:themeColor="text1"/>
          <w:sz w:val="24"/>
          <w:szCs w:val="24"/>
          <w:shd w:val="clear" w:color="auto" w:fill="FFFFFF"/>
        </w:rPr>
        <w:t xml:space="preserve"> </w:t>
      </w:r>
      <w:r w:rsidRPr="00CC6229">
        <w:rPr>
          <w:color w:val="000000" w:themeColor="text1"/>
          <w:sz w:val="24"/>
          <w:szCs w:val="24"/>
        </w:rPr>
        <w:t xml:space="preserve">Sum scores for emotional support received and instrumental support </w:t>
      </w:r>
      <w:r w:rsidRPr="0002624B">
        <w:rPr>
          <w:color w:val="000000" w:themeColor="text1"/>
          <w:sz w:val="24"/>
          <w:szCs w:val="24"/>
        </w:rPr>
        <w:t xml:space="preserve">received were calculated that varied between 0 (low level of support) and 36 (high level of support). </w:t>
      </w:r>
      <w:r w:rsidR="0022380C" w:rsidRPr="0002624B">
        <w:rPr>
          <w:sz w:val="24"/>
          <w:szCs w:val="24"/>
        </w:rPr>
        <w:t xml:space="preserve">Leading a socially active life and receiving sufficient social support are related to a higher wellbeing later in life </w:t>
      </w:r>
      <w:r w:rsidR="0022380C" w:rsidRPr="0002624B">
        <w:rPr>
          <w:sz w:val="24"/>
          <w:szCs w:val="24"/>
        </w:rPr>
        <w:fldChar w:fldCharType="begin" w:fldLock="1"/>
      </w:r>
      <w:r w:rsidR="0022380C" w:rsidRPr="0002624B">
        <w:rPr>
          <w:sz w:val="24"/>
          <w:szCs w:val="24"/>
        </w:rPr>
        <w:instrText>ADDIN CSL_CITATION {"citationItems":[{"id":"ITEM-1","itemData":{"DOI":"10.1212/WNL.0b013e3181a92c36","ISSN":"1526632X","abstract":"BACKGROUND:: Although several risk factors for cognitive decline have been identified, much less is known about factors that predict maintenance of cognitive function in advanced age. METHODS:: We studied 2,509 well-functioning black and white elders enrolled in a prospective study. Cognitive function was measured using the Modified Mini-Mental State Examination at baseline and years 3, 5, and 8. Random effects models were used to classify participants as cognitive maintainers (cognitive change slope &lt;0), minor decliners (slope &lt;0 and &gt;1 SD below mean), or major decliners (slope &gt;1 SD below mean). Logistic regression was used to identify domain-specific factors associated with being a maintainer vs a minor decliner. RESULTS:: Over 8 years, 30% of the participants maintained cognitive function, 53% showed minor decline, and 16% had major cognitive decline. In the multivariate model, baseline variables significantly associated with being a maintainer vs a minor decliner were age (odds ratio [OR] ≤ 0.65, 95% confidence interval [CI] 0.55-0.77 per 5 years), white race (OR ≤ 1.72, 95% CI 1.30-2.28), high school education level or greater (OR ≤ 2.75, 95% CI 1.78-4.26), ninth grade literacy level or greater (OR ≤ 4.85, 95% CI 3.00-7.87), weekly moderate/vigorous exercise (OR ≤ 1.31, 95% CI 1.06-1.62), and not smoking (OR ≤ 1.84, 95% CI 1.14-2.97). Variables associated with major cognitive decline compared to minor cognitive decline are reported. CONCLUSION:: Elders who maintain cognitive function have a unique profile that differentiates them from those with minor decline. Importantly, some of these factors are modifiable and thus may be implemented in prevention programs to promote successful cognitive aging. Further, factors associated with maintenance may differ from factors associated with major cognitive decline, which may impact prevention vs treatment strategies. © 2009 by AAN Enterprises, Inc.","author":[{"dropping-particle":"","family":"Yaffe","given":"K.","non-dropping-particle":"","parse-names":false,"suffix":""},{"dropping-particle":"","family":"Fiocco","given":"A. J.","non-dropping-particle":"","parse-names":false,"suffix":""},{"dropping-particle":"","family":"Lindquist","given":"K.","non-dropping-particle":"","parse-names":false,"suffix":""},{"dropping-particle":"","family":"Vittinghoff","given":"E.","non-dropping-particle":"","parse-names":false,"suffix":""},{"dropping-particle":"","family":"Simonsick","given":"E. M.","non-dropping-particle":"","parse-names":false,"suffix":""},{"dropping-particle":"","family":"Newman","given":"A. B.","non-dropping-particle":"","parse-names":false,"suffix":""},{"dropping-particle":"","family":"Satterfield","given":"S.","non-dropping-particle":"","parse-names":false,"suffix":""},{"dropping-particle":"","family":"Rosano","given":"C.","non-dropping-particle":"","parse-names":false,"suffix":""},{"dropping-particle":"","family":"Rubin","given":"S. M.","non-dropping-particle":"","parse-names":false,"suffix":""},{"dropping-particle":"","family":"Ayonayon","given":"H. N.","non-dropping-particle":"","parse-names":false,"suffix":""},{"dropping-particle":"","family":"Harris","given":"T. B.","non-dropping-particle":"","parse-names":false,"suffix":""}],"container-title":"Neurology","id":"ITEM-1","issue":"23","issued":{"date-parts":[["2009"]]},"page":"2029-2035","title":"Predictors of maintaining cognitive function in older adults: The Health ABC Study","type":"article-journal","volume":"72"},"uris":["http://www.mendeley.com/documents/?uuid=eddf40d7-3208-43d1-ae83-77ed52bb72a4"]},{"id":"ITEM-2","itemData":{"DOI":"http://dx.doi.org/10.1037/pag0000072","author":[{"dropping-particle":"","family":"Gerstorf","given":"Denis","non-dropping-particle":"","parse-names":false,"suffix":""},{"dropping-particle":"","family":"Hoppmann","given":"Christiane A","non-dropping-particle":"","parse-names":false,"suffix":""},{"dropping-particle":"","family":"Löckenhoff","given":"Corinna E","non-dropping-particle":"","parse-names":false,"suffix":""},{"dropping-particle":"","family":"Infurna","given":"Frank J","non-dropping-particle":"","parse-names":false,"suffix":""},{"dropping-particle":"","family":"Wagner","given":"Gert G","non-dropping-particle":"","parse-names":false,"suffix":""},{"dropping-particle":"","family":"Ram","given":"Nilam","non-dropping-particle":"","parse-names":false,"suffix":""}],"container-title":"Psychology and Aging","id":"ITEM-2","issue":"2","issued":{"date-parts":[["2016"]]},"page":"149-165","title":"Terminal Decline in Well-Being: The Role of Social Orientation","type":"article-journal","volume":"31"},"uris":["http://www.mendeley.com/documents/?uuid=cbdd0997-0ac8-47b2-9752-795bff467e00"]}],"mendeley":{"formattedCitation":"(Gerstorf et al., 2016; Yaffe et al., 2009)","plainTextFormattedCitation":"(Gerstorf et al., 2016; Yaffe et al., 2009)","previouslyFormattedCitation":"(Gerstorf et al., 2016; Yaffe et al., 2009)"},"properties":{"noteIndex":0},"schema":"https://github.com/citation-style-language/schema/raw/master/csl-citation.json"}</w:instrText>
      </w:r>
      <w:r w:rsidR="0022380C" w:rsidRPr="0002624B">
        <w:rPr>
          <w:sz w:val="24"/>
          <w:szCs w:val="24"/>
        </w:rPr>
        <w:fldChar w:fldCharType="separate"/>
      </w:r>
      <w:r w:rsidR="0022380C" w:rsidRPr="0002624B">
        <w:rPr>
          <w:noProof/>
          <w:sz w:val="24"/>
          <w:szCs w:val="24"/>
        </w:rPr>
        <w:t xml:space="preserve">(Gerstorf </w:t>
      </w:r>
      <w:r w:rsidR="0022380C" w:rsidRPr="0002624B">
        <w:rPr>
          <w:noProof/>
          <w:sz w:val="24"/>
          <w:szCs w:val="24"/>
        </w:rPr>
        <w:lastRenderedPageBreak/>
        <w:t>et al., 2016; Yaffe et al., 2009)</w:t>
      </w:r>
      <w:r w:rsidR="0022380C" w:rsidRPr="0002624B">
        <w:rPr>
          <w:sz w:val="24"/>
          <w:szCs w:val="24"/>
        </w:rPr>
        <w:fldChar w:fldCharType="end"/>
      </w:r>
      <w:r w:rsidR="0022380C" w:rsidRPr="0002624B">
        <w:rPr>
          <w:sz w:val="24"/>
          <w:szCs w:val="24"/>
        </w:rPr>
        <w:t xml:space="preserve">. </w:t>
      </w:r>
      <w:r w:rsidR="0002624B" w:rsidRPr="0002624B">
        <w:rPr>
          <w:sz w:val="24"/>
          <w:szCs w:val="24"/>
        </w:rPr>
        <w:t xml:space="preserve">Interventions for social support can be effective in increasing one’s perceived level of social support </w:t>
      </w:r>
      <w:r w:rsidR="0002624B" w:rsidRPr="0002624B">
        <w:rPr>
          <w:sz w:val="24"/>
          <w:szCs w:val="24"/>
        </w:rPr>
        <w:fldChar w:fldCharType="begin" w:fldLock="1"/>
      </w:r>
      <w:r w:rsidR="0002624B" w:rsidRPr="0002624B">
        <w:rPr>
          <w:sz w:val="24"/>
          <w:szCs w:val="24"/>
        </w:rPr>
        <w:instrText>ADDIN CSL_CITATION {"citationItems":[{"id":"ITEM-1","itemData":{"DOI":"10.1016/S0272-7358(01)00102-7","author":[{"dropping-particle":"","family":"Hogan","given":"B.","non-dropping-particle":"","parse-names":false,"suffix":""},{"dropping-particle":"","family":"Linden","given":"W.","non-dropping-particle":"","parse-names":false,"suffix":""},{"dropping-particle":"","family":"Najarian","given":"B.","non-dropping-particle":"","parse-names":false,"suffix":""}],"container-title":"Clinical Psychology Review","id":"ITEM-1","issued":{"date-parts":[["2002"]]},"page":"381-440","title":"Social support interventions: Do they work?","type":"article-journal","volume":"22"},"uris":["http://www.mendeley.com/documents/?uuid=9280f6a4-7e11-47d5-9abd-eb4d78be505a"]}],"mendeley":{"formattedCitation":"(Hogan et al., 2002)","plainTextFormattedCitation":"(Hogan et al., 2002)","previouslyFormattedCitation":"(Hogan et al., 2002)"},"properties":{"noteIndex":0},"schema":"https://github.com/citation-style-language/schema/raw/master/csl-citation.json"}</w:instrText>
      </w:r>
      <w:r w:rsidR="0002624B" w:rsidRPr="0002624B">
        <w:rPr>
          <w:sz w:val="24"/>
          <w:szCs w:val="24"/>
        </w:rPr>
        <w:fldChar w:fldCharType="separate"/>
      </w:r>
      <w:r w:rsidR="0002624B" w:rsidRPr="0002624B">
        <w:rPr>
          <w:noProof/>
          <w:sz w:val="24"/>
          <w:szCs w:val="24"/>
        </w:rPr>
        <w:t>(Hogan et al., 2002)</w:t>
      </w:r>
      <w:r w:rsidR="0002624B" w:rsidRPr="0002624B">
        <w:rPr>
          <w:sz w:val="24"/>
          <w:szCs w:val="24"/>
        </w:rPr>
        <w:fldChar w:fldCharType="end"/>
      </w:r>
      <w:r w:rsidR="0002624B" w:rsidRPr="0002624B">
        <w:rPr>
          <w:sz w:val="24"/>
          <w:szCs w:val="24"/>
        </w:rPr>
        <w:t>.</w:t>
      </w:r>
    </w:p>
    <w:p w14:paraId="2FECC5C1" w14:textId="77777777" w:rsidR="002C141C" w:rsidRPr="00FB4C8A" w:rsidRDefault="002C141C" w:rsidP="00DD18FE"/>
    <w:p w14:paraId="296B3BC1" w14:textId="77777777" w:rsidR="007435C5" w:rsidRPr="00B87E6D" w:rsidRDefault="007435C5" w:rsidP="00DD18FE">
      <w:pPr>
        <w:rPr>
          <w:b/>
          <w:bCs/>
        </w:rPr>
      </w:pPr>
      <w:r w:rsidRPr="00B87E6D">
        <w:rPr>
          <w:b/>
          <w:bCs/>
          <w:i/>
        </w:rPr>
        <w:t>Subjective wellbeing</w:t>
      </w:r>
    </w:p>
    <w:p w14:paraId="11E02F43" w14:textId="186B73A0" w:rsidR="007435C5" w:rsidRPr="00FB4C8A" w:rsidRDefault="007435C5" w:rsidP="00DD18FE">
      <w:r w:rsidRPr="00FB4C8A">
        <w:t xml:space="preserve">Subjective wellbeing is measured with three different questionnaires. First of all, satisfaction with life was measured by two questions defined by </w:t>
      </w:r>
      <w:r w:rsidR="008D0E38">
        <w:fldChar w:fldCharType="begin" w:fldLock="1"/>
      </w:r>
      <w:r w:rsidR="004F6131">
        <w:instrText>ADDIN CSL_CITATION {"citationItems":[{"id":"ITEM-1","itemData":{"author":[{"dropping-particle":"","family":"Zonneveld","given":"R. J.","non-dropping-particle":"Van","parse-names":false,"suffix":""}],"id":"ITEM-1","issued":{"date-parts":[["1961"]]},"publisher":"Van Gorcum","publisher-place":"Assen","title":"The health of the aged","type":"book"},"uris":["http://www.mendeley.com/documents/?uuid=20ff905c-1059-48cb-812d-a9a9360b975b"]}],"mendeley":{"formattedCitation":"(Van Zonneveld, 1961)","manualFormatting":"Van Zonneveld (1961)","plainTextFormattedCitation":"(Van Zonneveld, 1961)","previouslyFormattedCitation":"(Van Zonneveld, 1961)"},"properties":{"noteIndex":0},"schema":"https://github.com/citation-style-language/schema/raw/master/csl-citation.json"}</w:instrText>
      </w:r>
      <w:r w:rsidR="008D0E38">
        <w:fldChar w:fldCharType="separate"/>
      </w:r>
      <w:r w:rsidR="008D0E38">
        <w:rPr>
          <w:noProof/>
        </w:rPr>
        <w:t>Van Zonneveld</w:t>
      </w:r>
      <w:r w:rsidR="008D0E38" w:rsidRPr="008D0E38">
        <w:rPr>
          <w:noProof/>
        </w:rPr>
        <w:t xml:space="preserve"> </w:t>
      </w:r>
      <w:r w:rsidR="008D0E38">
        <w:rPr>
          <w:noProof/>
        </w:rPr>
        <w:t>(</w:t>
      </w:r>
      <w:r w:rsidR="008D0E38" w:rsidRPr="008D0E38">
        <w:rPr>
          <w:noProof/>
        </w:rPr>
        <w:t>1961)</w:t>
      </w:r>
      <w:r w:rsidR="008D0E38">
        <w:fldChar w:fldCharType="end"/>
      </w:r>
      <w:r w:rsidRPr="00FB4C8A">
        <w:t xml:space="preserve">. The first question asks participants about satisfaction with current life, and the second one about satisfaction with life as a whole. Both questions have five response categories that range from </w:t>
      </w:r>
      <w:r w:rsidR="00CC6229">
        <w:t>‘</w:t>
      </w:r>
      <w:r w:rsidRPr="00FB4C8A">
        <w:t>very dissatisfied</w:t>
      </w:r>
      <w:r w:rsidR="00CC6229">
        <w:t>’</w:t>
      </w:r>
      <w:r w:rsidRPr="00FB4C8A">
        <w:t xml:space="preserve"> to </w:t>
      </w:r>
      <w:r w:rsidR="00CC6229">
        <w:t>‘</w:t>
      </w:r>
      <w:r w:rsidRPr="00FB4C8A">
        <w:t>very satisfied</w:t>
      </w:r>
      <w:r w:rsidR="00CC6229">
        <w:t>’</w:t>
      </w:r>
      <w:r w:rsidRPr="00FB4C8A">
        <w:t>. A sum score was calculated that ranged from 2 (i.e. low satisfaction with life) to 10 (i.e. high satisfaction).</w:t>
      </w:r>
    </w:p>
    <w:p w14:paraId="6081D024" w14:textId="66F0D0A1" w:rsidR="007435C5" w:rsidRPr="00B63E10" w:rsidRDefault="007435C5" w:rsidP="00DD18FE">
      <w:pPr>
        <w:ind w:firstLine="720"/>
      </w:pPr>
      <w:r w:rsidRPr="00FB4C8A">
        <w:t xml:space="preserve">Second, the </w:t>
      </w:r>
      <w:proofErr w:type="spellStart"/>
      <w:r w:rsidRPr="00FB4C8A">
        <w:t>EuroQoL</w:t>
      </w:r>
      <w:proofErr w:type="spellEnd"/>
      <w:r w:rsidRPr="00FB4C8A">
        <w:t xml:space="preserve"> (EQ-5D) measures health-related quality of life</w:t>
      </w:r>
      <w:r w:rsidR="004F6131">
        <w:t xml:space="preserve"> </w:t>
      </w:r>
      <w:r w:rsidR="004F6131">
        <w:fldChar w:fldCharType="begin" w:fldLock="1"/>
      </w:r>
      <w:r w:rsidR="00582161">
        <w:instrText>ADDIN CSL_CITATION {"citationItems":[{"id":"ITEM-1","itemData":{"DOI":"https://doi.org/10.1016/0168-8510(96)00822-6","ISSN":"0168-8510","abstract":"The EuroQol Group first met in 1987 to test the feasibility of jointly developing a standardised non-disease-specific instrument for describing and valuing health-related quality of life. From the outset the Group has been multi-country, multi-centre, and multi-disciplinary. The EuroQol instrument is intended to complement other forms of quality of life measures, and it has been purposefully developed to generate a cardinal index of health, thus giving it considerable potential for use in economic evaluation. Considerable effort has been invested by the Group in the development and valuation aspects of health status measurement. Earlier work was reported upon in 1990; this paper is a second ‘corporate’ effort detailing subsequent developments. The concepts underlying the EuroQol framework are explored with particular reference to the generic nature of the instrument. The valuation task is reviewed and some evidence on the methodological requirements for measurement is presented. A number of special issues of considerable interest and concern to the Group are discussed: the modelling of data, the duration of health states and the problems surrounding the state ‘dead’. An outline of some of the applications of the EuroQol instrument is presented and a brief commentary on the Group's ongoing programme of work concludes the paper.","author":[{"dropping-particle":"","family":"Brooks","given":"Richard","non-dropping-particle":"","parse-names":false,"suffix":""}],"container-title":"Health Policy","id":"ITEM-1","issue":"1","issued":{"date-parts":[["1996"]]},"page":"53-72","title":"EuroQol: the current state of play","type":"article-journal","volume":"37"},"uris":["http://www.mendeley.com/documents/?uuid=513d07d2-745a-4be8-9ba3-4317f11a6887"]}],"mendeley":{"formattedCitation":"(Brooks, 1996)","plainTextFormattedCitation":"(Brooks, 1996)","previouslyFormattedCitation":"(Brooks, 1996)"},"properties":{"noteIndex":0},"schema":"https://github.com/citation-style-language/schema/raw/master/csl-citation.json"}</w:instrText>
      </w:r>
      <w:r w:rsidR="004F6131">
        <w:fldChar w:fldCharType="separate"/>
      </w:r>
      <w:r w:rsidR="004F6131" w:rsidRPr="004F6131">
        <w:rPr>
          <w:noProof/>
        </w:rPr>
        <w:t>(Brooks, 1996)</w:t>
      </w:r>
      <w:r w:rsidR="004F6131">
        <w:fldChar w:fldCharType="end"/>
      </w:r>
      <w:r w:rsidRPr="00FB4C8A">
        <w:t xml:space="preserve">. The questionnaire consists of five questions and a visual analog scale. Each question represents one the following domains: mobility, self-care, usual activities, pain/discomfort, and anxiety and depression. Response categories vary according to the specific question, but they can roughly be characterized as having </w:t>
      </w:r>
      <w:r w:rsidR="00C57970">
        <w:t>‘</w:t>
      </w:r>
      <w:r w:rsidRPr="00FB4C8A">
        <w:t>no problems</w:t>
      </w:r>
      <w:r w:rsidR="00C57970">
        <w:t>’</w:t>
      </w:r>
      <w:r w:rsidRPr="00FB4C8A">
        <w:t xml:space="preserve">, </w:t>
      </w:r>
      <w:r w:rsidR="00C57970">
        <w:t>‘</w:t>
      </w:r>
      <w:r w:rsidRPr="00FB4C8A">
        <w:t>some problems</w:t>
      </w:r>
      <w:r w:rsidR="00C57970">
        <w:t>’</w:t>
      </w:r>
      <w:r w:rsidRPr="00FB4C8A">
        <w:t xml:space="preserve">, and </w:t>
      </w:r>
      <w:r w:rsidR="00C57970">
        <w:t>‘</w:t>
      </w:r>
      <w:r w:rsidRPr="00FB4C8A">
        <w:t>extreme problems</w:t>
      </w:r>
      <w:r w:rsidR="00C57970">
        <w:t>’</w:t>
      </w:r>
      <w:r w:rsidRPr="00FB4C8A">
        <w:t>. The responses on these items were converted into a weighted health state index according to the Time Trade OFF method</w:t>
      </w:r>
      <w:r w:rsidR="00582161">
        <w:t xml:space="preserve"> </w:t>
      </w:r>
      <w:r w:rsidR="00582161">
        <w:fldChar w:fldCharType="begin" w:fldLock="1"/>
      </w:r>
      <w:r w:rsidR="0087680D">
        <w:instrText>ADDIN CSL_CITATION {"citationItems":[{"id":"ITEM-1","itemData":{"DOI":"10.1097/00005650-199711000-00002","author":[{"dropping-particle":"","family":"Dolan","given":"Paul","non-dropping-particle":"","parse-names":false,"suffix":""}],"container-title":"Medical Care","id":"ITEM-1","issue":"11","issued":{"date-parts":[["1997"]]},"page":"1095-1108","title":"Modeling valuations for EuroQol health states","type":"article-journal","volume":"35"},"uris":["http://www.mendeley.com/documents/?uuid=bfa0f469-ecb4-4181-abfe-6efeede0e1d6"]}],"mendeley":{"formattedCitation":"(Dolan, 1997)","plainTextFormattedCitation":"(Dolan, 1997)","previouslyFormattedCitation":"(Dolan, 1997)"},"properties":{"noteIndex":0},"schema":"https://github.com/citation-style-language/schema/raw/master/csl-citation.json"}</w:instrText>
      </w:r>
      <w:r w:rsidR="00582161">
        <w:fldChar w:fldCharType="separate"/>
      </w:r>
      <w:r w:rsidR="00582161" w:rsidRPr="00582161">
        <w:rPr>
          <w:noProof/>
        </w:rPr>
        <w:t>(Dolan, 1997)</w:t>
      </w:r>
      <w:r w:rsidR="00582161">
        <w:fldChar w:fldCharType="end"/>
      </w:r>
      <w:r w:rsidRPr="00FB4C8A">
        <w:t xml:space="preserve">. An index score of 0 indicates death and a score of 1 indicates perfect health. The internal consistency of the EQ-5D is acceptable with Cronbach’s </w:t>
      </w:r>
      <w:r w:rsidR="00143372" w:rsidRPr="00143372">
        <w:rPr>
          <w:i/>
        </w:rPr>
        <w:sym w:font="Symbol" w:char="F061"/>
      </w:r>
      <w:r w:rsidR="00143372" w:rsidRPr="00FB4C8A">
        <w:t xml:space="preserve"> </w:t>
      </w:r>
      <w:r w:rsidRPr="00FB4C8A">
        <w:t>ranging between 0.63 and 0.73</w:t>
      </w:r>
      <w:r w:rsidR="000A16CF">
        <w:t xml:space="preserve"> </w:t>
      </w:r>
      <w:r w:rsidR="000A16CF" w:rsidRPr="00B63E10">
        <w:fldChar w:fldCharType="begin" w:fldLock="1"/>
      </w:r>
      <w:r w:rsidR="0002624B">
        <w:instrText>ADDIN CSL_CITATION {"citationItems":[{"id":"ITEM-1","itemData":{"DOI":"10.1007/s11136-013-0423-8","ISSN":"09629343, 15732649","abstract":"[Purpose This study aimed to ascertain the psychometric properties of EuroQol Five Dimensional Questionnaire (EQ-5D-3L) in primary caregivers of children with autism. The convergent validity, discriminant validity, known-groups validity, internal consistency reliability, and floor and ceiling effects of EQ-5D-3L were analyzed. Methods A cross-sectional design was used for study purposes. Through an online survey, relevant study information was collected from 316 primary caregivers of children with autism. Study participants were from families of children with autism living in the United States who were registered with the Interactive Autism Network. Convergent validity of the EQ-5D-3L was assessed through its correlation with other measures of similar constructs. Discriminant validity was assessed by observing the correlation of EQ-5D-3L domains with theoretically unrelated constructs. Known-groups validity was tested by comparing EQ-5D-3L index and visual analog scale (VAS) scores across levels of autism severity among the care recipients. Internal consistency reliability of EQ-5D-3L was tested. Lastly, floor and ceiling effects of EQ-5D-3L were assessed. Results More than 60 % of participants reported problems of 'anxiety/depression.' Convergent and discriminant validity of the EQ-5D-3L was good. Significant correlation (convergent validity) was observed among EQ-5D-3L index and VAS and (SF-12v2) physical component summary and mental component summary scores. Caregivers' EQ-5D-3L index and VAS scores varied by levels of autism severity among care recipients, providing evidence of known-groups validity. Reliability assessed through Cronbach's alpha was less than satisfactory; however, corrected item-total correlations were adequate. Conclusions The EQ-5D-3L is a psychometrically sound tool to elicit health state preferences among caregivers of children with autism.]","author":[{"dropping-particle":"","family":"Khanna","given":"Rahul","non-dropping-particle":"","parse-names":false,"suffix":""},{"dropping-particle":"","family":"Jariwala","given":"Krutika","non-dropping-particle":"","parse-names":false,"suffix":""},{"dropping-particle":"","family":"Bentley","given":"John P","non-dropping-particle":"","parse-names":false,"suffix":""}],"container-title":"Quality of Life Research","id":"ITEM-1","issue":"10","issued":{"date-parts":[["2013","5","11"]]},"page":"2909-2920","publisher":"Springer","title":"Psychometric properties of the EuroQol Five Dimensional Questionnaire (EQ-5D-3L) in caregivers of autistic children","type":"article-journal","volume":"22"},"uris":["http://www.mendeley.com/documents/?uuid=747ec626-93c4-4c35-9ea3-af3edd12e4f6"]},{"id":"ITEM-2","itemData":{"DOI":"https://doi.org/10.1016/j.ijcard.2012.06.025","ISSN":"0167-5273","abstract":"Objective To investigate the validity and reliability of the EuroQol‐5D (EQ-5D), the 12‐item Short‐Form Health Survey (SF-12v2), and the Hospital Anxiety and Depression Scale (HADS) in a stable coronary population. Study design Cross-sectional study EUROASPIRE III. Setting Quality of life data (QoL) were available on 8745 patients hospitalized for coronary artery bypass graft (CABG), percutaneous coronary intervention (PCI), acute myocardial infarction (AMI), or myocardial ischemia. They were interviewed and examined at least 6months after their hospital admission. Reliability and validity of the 3 instruments were tested. Internal consistency, and discriminative, convergent, criterion and construct validity were assessed. Results Cronbach's alpha indicated good internal consistency for all measures (0.73 to 0.87). Discriminative validity analyses confirmed significant QoL differences between known groups: age, gender, educational level. In addition, all hypothesized correlations between QoL constructs (convergent validity) and items (criterion validity) were confirmed with significant correlations. Confirmatory factor analyses indicated good construct validity for HADS and SF-12v2. On country-specific level, results were roughly similar. Conclusion The EQ-5D as well as the SF-12v2 and the HADS are reliable and valid instruments for use in a stable coronary population, both on aggregate European level and on country-specific level. However, our results must be generalized with caution, because EUROASPIRE III patients might not be representative for all patients with stable coronary heart disease.","author":[{"dropping-particle":"","family":"Smedt","given":"Delphine","non-dropping-particle":"De","parse-names":false,"suffix":""},{"dropping-particle":"","family":"Clays","given":"Els","non-dropping-particle":"","parse-names":false,"suffix":""},{"dropping-particle":"","family":"Doyle","given":"Frank","non-dropping-particle":"","parse-names":false,"suffix":""},{"dropping-particle":"","family":"Kotseva","given":"Kornelia","non-dropping-particle":"","parse-names":false,"suffix":""},{"dropping-particle":"","family":"Prugger","given":"Christof","non-dropping-particle":"","parse-names":false,"suffix":""},{"dropping-particle":"","family":"Pająk","given":"Andrzej","non-dropping-particle":"","parse-names":false,"suffix":""},{"dropping-particle":"","family":"Jennings","given":"Catriona","non-dropping-particle":"","parse-names":false,"suffix":""},{"dropping-particle":"","family":"Wood","given":"David","non-dropping-particle":"","parse-names":false,"suffix":""},{"dropping-particle":"","family":"Bacquer","given":"Dirk","non-dropping-particle":"De","parse-names":false,"suffix":""}],"container-title":"International Journal of Cardiology","id":"ITEM-2","issue":"5","issued":{"date-parts":[["2013"]]},"page":"2294-2299","title":"Validity and reliability of three commonly used quality of life measures in a large European population of coronary heart disease patients","type":"article-journal","volume":"167"},"uris":["http://www.mendeley.com/documents/?uuid=f0f149ef-0a32-48e0-ba8b-9121e68fa0ee"]}],"mendeley":{"formattedCitation":"(De Smedt et al., 2013; Khanna et al., 2013)","plainTextFormattedCitation":"(De Smedt et al., 2013; Khanna et al., 2013)","previouslyFormattedCitation":"(De Smedt et al., 2013; Khanna et al., 2013)"},"properties":{"noteIndex":0},"schema":"https://github.com/citation-style-language/schema/raw/master/csl-citation.json"}</w:instrText>
      </w:r>
      <w:r w:rsidR="000A16CF" w:rsidRPr="00B63E10">
        <w:fldChar w:fldCharType="separate"/>
      </w:r>
      <w:r w:rsidR="0022380C" w:rsidRPr="0022380C">
        <w:rPr>
          <w:noProof/>
        </w:rPr>
        <w:t>(De Smedt et al., 2013; Khanna et al., 2013)</w:t>
      </w:r>
      <w:r w:rsidR="000A16CF" w:rsidRPr="00B63E10">
        <w:fldChar w:fldCharType="end"/>
      </w:r>
      <w:r w:rsidR="000A16CF" w:rsidRPr="00B63E10">
        <w:t xml:space="preserve">, </w:t>
      </w:r>
      <w:r w:rsidRPr="00B63E10">
        <w:t>and the test-retest reliability is moderate (intraclass correlation coefficient =</w:t>
      </w:r>
      <w:r w:rsidR="00412656" w:rsidRPr="00B63E10">
        <w:t xml:space="preserve"> </w:t>
      </w:r>
      <w:r w:rsidRPr="00B63E10">
        <w:t>0.6)</w:t>
      </w:r>
      <w:r w:rsidR="000A16CF" w:rsidRPr="00B63E10">
        <w:t xml:space="preserve"> </w:t>
      </w:r>
      <w:r w:rsidR="000A16CF" w:rsidRPr="00B63E10">
        <w:fldChar w:fldCharType="begin" w:fldLock="1"/>
      </w:r>
      <w:r w:rsidR="00187431" w:rsidRPr="00B63E10">
        <w:instrText>ADDIN CSL_CITATION {"citationItems":[{"id":"ITEM-1","itemData":{"DOI":"10.1186/1477-7525-11-215","ISSN":"14777525","abstract":"The aim of the study was to analyse the psychometric properties of the EQ-5D in patients with social phobia. We used a sample of 445 patients with social phobia with five measurement points over a 30 month period. The discriminative ability of the EQ-5D was analysed by comparing the patients' responses with the general population and between different disease severity levels. For test-retest reliability we assessed the level of agreement in patients' responses over time, when there was no change in the Liebowitz Social Anxiety Scale (LSAS). Construct validity was analysed by identifying correlations of the EQ-5D with more specific instruments. For responsiveness we compared the means of EQ VAS/EQ-5D index anchored on improved (deteriorated) health status and computed effect sizes as well as a receiver operating characteristic (ROC) curve. Compared to the general population, patients with social phobia reported more problems in the dimensions \"usual activities\", \"pain/discomfort\", and \"anxiety/depression\" and less problems in \"mobility\" and \"self-care\". The EQ-5D was able to distinguish between different disease severity levels. The test-retest reliability was moderate (intraclass correlation coefficient &gt; 0.6). Correlations between the EQ-5D and other instruments were mostly small except for correlations with Beck Depression Inventory. The EQ-5D index seemed to be more responsive than the EQ VAS, but with only medium effect sizes (0.5 &lt; effect size &lt; 0.8) in the British EQ-5D index and only significant in patients with improved health status. The ROC analysis revealed no significant results. The EQ-5D was moderately reliable and responsive in patients with improved health status. Construct validity was limited. Current controlled trials ISRCTN53517394.","author":[{"dropping-particle":"","family":"Sonntag","given":"Michael","non-dropping-particle":"","parse-names":false,"suffix":""},{"dropping-particle":"","family":"Konnopka","given":"Alexander","non-dropping-particle":"","parse-names":false,"suffix":""},{"dropping-particle":"","family":"Leichsenring","given":"Falk","non-dropping-particle":"","parse-names":false,"suffix":""},{"dropping-particle":"","family":"Salzer","given":"Simone","non-dropping-particle":"","parse-names":false,"suffix":""},{"dropping-particle":"","family":"Beutel","given":"Manfred E.","non-dropping-particle":"","parse-names":false,"suffix":""},{"dropping-particle":"","family":"Herpertz","given":"Stephan","non-dropping-particle":"","parse-names":false,"suffix":""},{"dropping-particle":"","family":"Hiller","given":"Wolfgang","non-dropping-particle":"","parse-names":false,"suffix":""},{"dropping-particle":"","family":"Hoyer","given":"Jürgen","non-dropping-particle":"","parse-names":false,"suffix":""},{"dropping-particle":"","family":"Joraschky","given":"Peter","non-dropping-particle":"","parse-names":false,"suffix":""},{"dropping-particle":"","family":"Nolting","given":"Björn","non-dropping-particle":"","parse-names":false,"suffix":""},{"dropping-particle":"","family":"Pöhlmann","given":"Karin","non-dropping-particle":"","parse-names":false,"suffix":""},{"dropping-particle":"","family":"Stangier","given":"Ulrich","non-dropping-particle":"","parse-names":false,"suffix":""},{"dropping-particle":"","family":"Strauss","given":"Bernhard","non-dropping-particle":"","parse-names":false,"suffix":""},{"dropping-particle":"","family":"Willutzki","given":"Ulrike","non-dropping-particle":"","parse-names":false,"suffix":""},{"dropping-particle":"","family":"Wiltink","given":"Jörg","non-dropping-particle":"","parse-names":false,"suffix":""},{"dropping-particle":"","family":"Leibing","given":"Eric","non-dropping-particle":"","parse-names":false,"suffix":""},{"dropping-particle":"","family":"König","given":"Hans Helmut","non-dropping-particle":"","parse-names":false,"suffix":""}],"container-title":"Health and quality of life outcomes","id":"ITEM-1","issued":{"date-parts":[["2013"]]},"page":"1-9","title":"Reliability, validity and responsiveness of the EQ-5D in assessing and valuing health status in patients with social phobia.","type":"article-journal","volume":"11"},"uris":["http://www.mendeley.com/documents/?uuid=58ca722b-a173-4109-b11a-b9f577aa6a51"]}],"mendeley":{"formattedCitation":"(Sonntag et al., 2013)","plainTextFormattedCitation":"(Sonntag et al., 2013)","previouslyFormattedCitation":"(Sonntag et al., 2013)"},"properties":{"noteIndex":0},"schema":"https://github.com/citation-style-language/schema/raw/master/csl-citation.json"}</w:instrText>
      </w:r>
      <w:r w:rsidR="000A16CF" w:rsidRPr="00B63E10">
        <w:fldChar w:fldCharType="separate"/>
      </w:r>
      <w:r w:rsidR="000A16CF" w:rsidRPr="00B63E10">
        <w:rPr>
          <w:noProof/>
        </w:rPr>
        <w:t>(Sonntag et al., 2013)</w:t>
      </w:r>
      <w:r w:rsidR="000A16CF" w:rsidRPr="00B63E10">
        <w:fldChar w:fldCharType="end"/>
      </w:r>
      <w:r w:rsidRPr="00B63E10">
        <w:t xml:space="preserve">. </w:t>
      </w:r>
      <w:r w:rsidR="00143372" w:rsidRPr="00B63E10">
        <w:t>In the current study, the internal consistency was acceptable (</w:t>
      </w:r>
      <w:r w:rsidR="00143372" w:rsidRPr="00B63E10">
        <w:rPr>
          <w:i/>
        </w:rPr>
        <w:sym w:font="Symbol" w:char="F061"/>
      </w:r>
      <w:r w:rsidR="00143372" w:rsidRPr="00B63E10">
        <w:t xml:space="preserve">  = 0.78).</w:t>
      </w:r>
    </w:p>
    <w:p w14:paraId="6F1AD4C2" w14:textId="126EF7C9" w:rsidR="007435C5" w:rsidRPr="00FB4C8A" w:rsidRDefault="007435C5" w:rsidP="00DD18FE">
      <w:pPr>
        <w:ind w:firstLine="720"/>
      </w:pPr>
      <w:r w:rsidRPr="00B63E10">
        <w:rPr>
          <w:bCs/>
        </w:rPr>
        <w:t>Third,</w:t>
      </w:r>
      <w:r w:rsidRPr="00B63E10">
        <w:rPr>
          <w:b/>
        </w:rPr>
        <w:t xml:space="preserve"> </w:t>
      </w:r>
      <w:r w:rsidRPr="00B63E10">
        <w:t>we measured functional health and wellbeing by the Short Form 12 (SF-12) health survey, which is a subset of the larger SF-36</w:t>
      </w:r>
      <w:r w:rsidR="00B74B8C" w:rsidRPr="00B63E10">
        <w:t xml:space="preserve"> </w:t>
      </w:r>
      <w:r w:rsidR="00B74B8C" w:rsidRPr="00B63E10">
        <w:fldChar w:fldCharType="begin" w:fldLock="1"/>
      </w:r>
      <w:r w:rsidR="0002624B">
        <w:instrText>ADDIN CSL_CITATION {"citationItems":[{"id":"ITEM-1","itemData":{"DOI":"10.1097/00005650-199603000-00003","ISSN":"0025-7079","abstract":"Regression methods were used to select and score 12 items from the Medical Outcomes Study 36-Item Short-Form Health Survey (SF-36) to reproduce the Physical Component Summary and Mental Component Summary scales in the general US population (n = 2,333). The resulting 12-item short-form (SF-12) achieved multiple R squares of 0.911 and 0.918 in predictions of the SF-36 Physical Component Summary and SF-36 Mental Component Summary scores, respectively. Scoring algorithms from the general population used to score 12-item versions of the two components (Physical Component Summary and Mental Component Summary) achieved R squares of 0.905 with the SF-36 Physical Component Summary and 0.938 with the SF-36 Mental Component Summary when cross-validated in the Medical Outcomes Study. Test-retest (2-week) correlations of 0.89 and 0.76 were observed for the 12-item Physical Component Summary and the 12-item Mental Component Summary, respectively, in the general US population (n = 232). Twenty cross-sectional and longitudinal tests of empirical validity previously published for the 36-item short-form scales and summary measures were replicated for the 12-item Physical Component Summary and the 12-item Mental Component Summary, including comparisons between patient groups known to differ or to change in terms of the presence and seriousness of physical and mental conditions, acute symptoms, age and aging, self-reported 1-year changes in health, and recovery from depression. In 14 validity tests involving physical criteria, relative validity estimates for the 12-item Physical Component Summary ranged from 0.43 to 0.93 (median = 0.67) in comparison with the best 36-item short-form scale. Relative validity estimates for the 12-item Mental Component Summary in 6 tests involving mental criteria ranged from 0.60 to 1.07 (median = 0.97) in relation to the best 36-item short-form scale. Average scores for the 2 summary measures, and those for most scales in the 8-scale profile based on the 12-item short-form, closely mirrored those for the 36-item short-form, although standard errors were nearly always larger for the 12-item short-form.","author":[{"dropping-particle":"","family":"Ware","given":"John E","non-dropping-particle":"","parse-names":false,"suffix":""},{"dropping-particle":"","family":"Kosinski","given":"Mark","non-dropping-particle":"","parse-names":false,"suffix":""},{"dropping-particle":"","family":"Keller","given":"Susan D","non-dropping-particle":"","parse-names":false,"suffix":""}],"container-title":"Medical Care","id":"ITEM-1","issue":"3","issued":{"date-parts":[["1996"]]},"page":"220-233","title":"A 12-Item short-form health survey: Construction of scales and preliminary tests of reliability and validity","type":"article-journal","volume":"34"},"uris":["http://www.mendeley.com/documents/?uuid=09062925-9cbb-4e57-ba53-8859f2dd9be9"]}],"mendeley":{"formattedCitation":"(Ware et al., 1996)","plainTextFormattedCitation":"(Ware et al., 1996)","previouslyFormattedCitation":"(Ware et al., 1996)"},"properties":{"noteIndex":0},"schema":"https://github.com/citation-style-language/schema/raw/master/csl-citation.json"}</w:instrText>
      </w:r>
      <w:r w:rsidR="00B74B8C" w:rsidRPr="00B63E10">
        <w:fldChar w:fldCharType="separate"/>
      </w:r>
      <w:r w:rsidR="0022380C" w:rsidRPr="0022380C">
        <w:rPr>
          <w:noProof/>
        </w:rPr>
        <w:t>(Ware et al., 1996)</w:t>
      </w:r>
      <w:r w:rsidR="00B74B8C" w:rsidRPr="00B63E10">
        <w:fldChar w:fldCharType="end"/>
      </w:r>
      <w:r w:rsidRPr="00B63E10">
        <w:t>. This instrument was used to measure the following eight health aspects: physical functioning, role limitations due to physical health problems, bodily pain, general health, vitality, social functioning, role limitations due to emotiona</w:t>
      </w:r>
      <w:r w:rsidR="001A5F9A" w:rsidRPr="00B63E10">
        <w:t>l problems, and mental health. Sum s</w:t>
      </w:r>
      <w:r w:rsidRPr="00B63E10">
        <w:t xml:space="preserve">cores were calculated for two summary scales of the SF-12, the Physical Component Summary (PCS) and the Mental Component Summary (MCS). These summary scales have a mean value of 50 and a standard deviation of 10. The test-retest reliability of the instrument is high, with </w:t>
      </w:r>
      <w:r w:rsidRPr="00B63E10">
        <w:rPr>
          <w:i/>
        </w:rPr>
        <w:t xml:space="preserve">r </w:t>
      </w:r>
      <w:r w:rsidRPr="00B63E10">
        <w:t xml:space="preserve">= 0.760 to 0.864, and the internal </w:t>
      </w:r>
      <w:r w:rsidR="00412656" w:rsidRPr="00B63E10">
        <w:t xml:space="preserve">consistencies </w:t>
      </w:r>
      <w:r w:rsidRPr="00B63E10">
        <w:t xml:space="preserve">of the MSC and PCS are high with Cronbach’s </w:t>
      </w:r>
      <w:r w:rsidRPr="00B63E10">
        <w:rPr>
          <w:i/>
        </w:rPr>
        <w:sym w:font="Symbol" w:char="F061"/>
      </w:r>
      <w:r w:rsidRPr="00B63E10">
        <w:t xml:space="preserve"> higher than 0.80</w:t>
      </w:r>
      <w:r w:rsidR="00CD62D1" w:rsidRPr="00B63E10">
        <w:t xml:space="preserve"> </w:t>
      </w:r>
      <w:r w:rsidR="00CD62D1" w:rsidRPr="00B63E10">
        <w:fldChar w:fldCharType="begin" w:fldLock="1"/>
      </w:r>
      <w:r w:rsidR="0002624B">
        <w:instrText>ADDIN CSL_CITATION {"citationItems":[{"id":"ITEM-1","itemData":{"DOI":"10.3390/healthcare5020022","author":[{"dropping-particle":"","family":"Hayes","given":"C. J.","non-dropping-particle":"","parse-names":false,"suffix":""},{"dropping-particle":"","family":"Bhandari","given":"N. R.","non-dropping-particle":"","parse-names":false,"suffix":""},{"dropping-particle":"","family":"Kathe","given":"N.","non-dropping-particle":"","parse-names":false,"suffix":""},{"dropping-particle":"","family":"Payakachat","given":"N.","non-dropping-particle":"","parse-names":false,"suffix":""}],"container-title":"Healthcare","id":"ITEM-1","issue":"2","issued":{"date-parts":[["2017"]]},"page":"1-12","title":"Reliability and validity of the medical outcomes study short form-12 version 2 (SF-12v2) in adults with non-cancer pain","type":"article-journal","volume":"5"},"uris":["http://www.mendeley.com/documents/?uuid=abf434c3-d34f-4703-b384-a869626dc47a"]}],"mendeley":{"formattedCitation":"(Hayes et al., 2017)","plainTextFormattedCitation":"(Hayes et al., 2017)","previouslyFormattedCitation":"(Hayes et al., 2017)"},"properties":{"noteIndex":0},"schema":"https://github.com/citation-style-language/schema/raw/master/csl-citation.json"}</w:instrText>
      </w:r>
      <w:r w:rsidR="00CD62D1" w:rsidRPr="00B63E10">
        <w:fldChar w:fldCharType="separate"/>
      </w:r>
      <w:r w:rsidR="0022380C" w:rsidRPr="0022380C">
        <w:rPr>
          <w:noProof/>
        </w:rPr>
        <w:t>(Hayes et al., 2017)</w:t>
      </w:r>
      <w:r w:rsidR="00CD62D1" w:rsidRPr="00B63E10">
        <w:fldChar w:fldCharType="end"/>
      </w:r>
      <w:r w:rsidRPr="00B63E10">
        <w:t>.</w:t>
      </w:r>
      <w:r w:rsidR="00AA7759" w:rsidRPr="00B63E10">
        <w:t xml:space="preserve"> In the current study, the internal consistency of MSC and PCS </w:t>
      </w:r>
      <w:r w:rsidR="00386D70" w:rsidRPr="00B63E10">
        <w:t>was</w:t>
      </w:r>
      <w:r w:rsidR="00AA7759" w:rsidRPr="00B63E10">
        <w:t xml:space="preserve"> </w:t>
      </w:r>
      <w:r w:rsidR="00763CFB" w:rsidRPr="00B63E10">
        <w:t>questionable</w:t>
      </w:r>
      <w:r w:rsidR="00AA7759" w:rsidRPr="00B63E10">
        <w:t xml:space="preserve"> (</w:t>
      </w:r>
      <w:r w:rsidR="00AA7759" w:rsidRPr="00B63E10">
        <w:rPr>
          <w:i/>
        </w:rPr>
        <w:sym w:font="Symbol" w:char="F061"/>
      </w:r>
      <w:r w:rsidR="00763CFB" w:rsidRPr="00B63E10">
        <w:t xml:space="preserve"> = 0.55</w:t>
      </w:r>
      <w:r w:rsidR="00AA7759" w:rsidRPr="00B63E10">
        <w:t>).</w:t>
      </w:r>
    </w:p>
    <w:p w14:paraId="736114F4" w14:textId="77777777" w:rsidR="007435C5" w:rsidRPr="00FB4C8A" w:rsidRDefault="007435C5" w:rsidP="00DD18FE"/>
    <w:p w14:paraId="6E6DC5DB" w14:textId="4F7F8A20" w:rsidR="007435C5" w:rsidRPr="00FB4C8A" w:rsidRDefault="007435C5" w:rsidP="00DD18FE">
      <w:pPr>
        <w:rPr>
          <w:b/>
        </w:rPr>
      </w:pPr>
      <w:r w:rsidRPr="00FB4C8A">
        <w:rPr>
          <w:b/>
        </w:rPr>
        <w:t>S</w:t>
      </w:r>
      <w:r w:rsidR="005D276E">
        <w:rPr>
          <w:b/>
        </w:rPr>
        <w:t>3</w:t>
      </w:r>
      <w:r w:rsidRPr="00FB4C8A">
        <w:rPr>
          <w:b/>
        </w:rPr>
        <w:t xml:space="preserve">) </w:t>
      </w:r>
      <w:r w:rsidR="00A92396">
        <w:rPr>
          <w:b/>
        </w:rPr>
        <w:t>Measurement instruments and corresponding d</w:t>
      </w:r>
      <w:r w:rsidRPr="00FB4C8A">
        <w:rPr>
          <w:b/>
        </w:rPr>
        <w:t>escriptive analyses of subgroups identified by community detection analysis</w:t>
      </w:r>
    </w:p>
    <w:p w14:paraId="044C4E16" w14:textId="35AA521E" w:rsidR="003C18B1" w:rsidRDefault="003C18B1" w:rsidP="00DD18FE">
      <w:r w:rsidRPr="00B87E6D">
        <w:rPr>
          <w:b/>
          <w:bCs/>
          <w:i/>
        </w:rPr>
        <w:t>Age</w:t>
      </w:r>
      <w:r>
        <w:t xml:space="preserve">: </w:t>
      </w:r>
      <w:r w:rsidR="007435C5" w:rsidRPr="003C18B1">
        <w:t>In</w:t>
      </w:r>
      <w:r w:rsidR="007435C5" w:rsidRPr="00FB4C8A">
        <w:t xml:space="preserve"> order to better characterize the identified subgroups, we checked whether there was a significant mean age difference between the subgroups by performing an ANOVA with subgroup membership as </w:t>
      </w:r>
      <w:r w:rsidR="00412656">
        <w:t xml:space="preserve">the </w:t>
      </w:r>
      <w:r w:rsidR="007435C5" w:rsidRPr="00FB4C8A">
        <w:t xml:space="preserve">independent variable and age as </w:t>
      </w:r>
      <w:r w:rsidR="00412656">
        <w:t xml:space="preserve">the </w:t>
      </w:r>
      <w:r w:rsidR="007435C5" w:rsidRPr="00FB4C8A">
        <w:t xml:space="preserve">dependent variable. </w:t>
      </w:r>
    </w:p>
    <w:p w14:paraId="7E5C4847" w14:textId="77777777" w:rsidR="003C18B1" w:rsidRDefault="003C18B1" w:rsidP="00DD18FE">
      <w:r w:rsidRPr="00B87E6D">
        <w:rPr>
          <w:b/>
          <w:bCs/>
          <w:i/>
        </w:rPr>
        <w:t>Gender</w:t>
      </w:r>
      <w:r>
        <w:rPr>
          <w:i/>
        </w:rPr>
        <w:t xml:space="preserve">: </w:t>
      </w:r>
      <w:r w:rsidR="007435C5" w:rsidRPr="00FB4C8A">
        <w:t xml:space="preserve">To investigate whether the distribution of males and females differed across subgroups, we used a Pearson’s chi-square test with gender (two categories) and subgroup membership as categorical variables. </w:t>
      </w:r>
    </w:p>
    <w:p w14:paraId="354DC507" w14:textId="1C7FBBC4" w:rsidR="003C18B1" w:rsidRDefault="003C18B1" w:rsidP="00DD18FE">
      <w:r w:rsidRPr="00B87E6D">
        <w:rPr>
          <w:b/>
          <w:bCs/>
          <w:i/>
        </w:rPr>
        <w:t>Country of origin</w:t>
      </w:r>
      <w:r>
        <w:rPr>
          <w:i/>
        </w:rPr>
        <w:t xml:space="preserve">: </w:t>
      </w:r>
      <w:r w:rsidR="007435C5" w:rsidRPr="00FB4C8A">
        <w:t xml:space="preserve">Differences in country of origin across subgroups were also investigated by means of a Pearson’s chi-square test with </w:t>
      </w:r>
      <w:r w:rsidR="00CA4427">
        <w:t>country of origin</w:t>
      </w:r>
      <w:r w:rsidR="007435C5" w:rsidRPr="00FB4C8A">
        <w:t xml:space="preserve"> (Netherlands versus </w:t>
      </w:r>
      <w:r w:rsidR="00C57970">
        <w:t>‘</w:t>
      </w:r>
      <w:r w:rsidR="007435C5" w:rsidRPr="00FB4C8A">
        <w:t>other</w:t>
      </w:r>
      <w:r w:rsidR="00C57970">
        <w:t>’</w:t>
      </w:r>
      <w:r w:rsidR="007435C5" w:rsidRPr="00FB4C8A">
        <w:t xml:space="preserve">) and subgroup membership as categorical variables. </w:t>
      </w:r>
    </w:p>
    <w:p w14:paraId="038C737D" w14:textId="03E200D0" w:rsidR="003C18B1" w:rsidRDefault="003C18B1" w:rsidP="00DD18FE">
      <w:r w:rsidRPr="00B87E6D">
        <w:rPr>
          <w:b/>
          <w:bCs/>
          <w:i/>
        </w:rPr>
        <w:t>Medication use:</w:t>
      </w:r>
      <w:r>
        <w:rPr>
          <w:i/>
        </w:rPr>
        <w:t xml:space="preserve"> </w:t>
      </w:r>
      <w:r w:rsidR="007435C5" w:rsidRPr="00FB4C8A">
        <w:t xml:space="preserve">Differences between subgroups in the number of individuals who use medication was investigated by a Pearson’s chi-square test in which medication use (i.e. yes or no) and subgroup membership were entered as variables. Furthermore, differences in medication use were analyzed by an ANOVA in which the number of medicines used was the dependent variable and subgroup membership the independent variable. </w:t>
      </w:r>
    </w:p>
    <w:p w14:paraId="3E374300" w14:textId="77777777" w:rsidR="003C18B1" w:rsidRPr="00B63E10" w:rsidRDefault="003C18B1" w:rsidP="00DD18FE">
      <w:r w:rsidRPr="00B87E6D">
        <w:rPr>
          <w:b/>
          <w:bCs/>
          <w:i/>
        </w:rPr>
        <w:lastRenderedPageBreak/>
        <w:t>Marital status</w:t>
      </w:r>
      <w:r>
        <w:rPr>
          <w:i/>
        </w:rPr>
        <w:t xml:space="preserve">: </w:t>
      </w:r>
      <w:r w:rsidR="007435C5" w:rsidRPr="00FB4C8A">
        <w:t xml:space="preserve">We checked whether subgroups differed in marital status by a Pearson’s chi-square test with marital status (i.e. unmarried, married, divorced, widowed) and subgroup membership as categorical </w:t>
      </w:r>
      <w:r w:rsidR="007435C5" w:rsidRPr="00B63E10">
        <w:t xml:space="preserve">variables. </w:t>
      </w:r>
    </w:p>
    <w:p w14:paraId="69122081" w14:textId="77777777" w:rsidR="003C18B1" w:rsidRPr="00B63E10" w:rsidRDefault="003C18B1" w:rsidP="00DD18FE">
      <w:r w:rsidRPr="00B87E6D">
        <w:rPr>
          <w:b/>
          <w:bCs/>
          <w:i/>
        </w:rPr>
        <w:t>Household composition</w:t>
      </w:r>
      <w:r w:rsidRPr="00B63E10">
        <w:rPr>
          <w:i/>
        </w:rPr>
        <w:t xml:space="preserve">: </w:t>
      </w:r>
      <w:r w:rsidR="007435C5" w:rsidRPr="00B63E10">
        <w:t xml:space="preserve">To assess whether household composition (i.e. number of other persons in household) differed across subgroups, we performed an ANOVA with subgroup membership as independent variable. </w:t>
      </w:r>
    </w:p>
    <w:p w14:paraId="7775D5F8" w14:textId="4D43410D" w:rsidR="003C18B1" w:rsidRPr="00B63E10" w:rsidRDefault="003C18B1" w:rsidP="00DD18FE">
      <w:r w:rsidRPr="00B87E6D">
        <w:rPr>
          <w:b/>
          <w:bCs/>
          <w:i/>
        </w:rPr>
        <w:t>Depression diagnosis:</w:t>
      </w:r>
      <w:r w:rsidR="0032433F" w:rsidRPr="00B63E10">
        <w:rPr>
          <w:i/>
        </w:rPr>
        <w:t xml:space="preserve"> </w:t>
      </w:r>
      <w:r w:rsidR="00BA7855" w:rsidRPr="00B63E10">
        <w:t>T</w:t>
      </w:r>
      <w:r w:rsidR="00DA725C" w:rsidRPr="00B63E10">
        <w:t xml:space="preserve">he </w:t>
      </w:r>
      <w:r w:rsidR="0032433F" w:rsidRPr="00B63E10">
        <w:t xml:space="preserve">Composite International Diagnostic Interview (CIDI) </w:t>
      </w:r>
      <w:r w:rsidR="00DA725C" w:rsidRPr="00B63E10">
        <w:fldChar w:fldCharType="begin" w:fldLock="1"/>
      </w:r>
      <w:r w:rsidR="00BA7855" w:rsidRPr="00B63E10">
        <w:instrText>ADDIN CSL_CITATION {"citationItems":[{"id":"ITEM-1","itemData":{"DOI":"10.1001/archpsyc.1988.01800360017003","author":[{"dropping-particle":"","family":"Robins","given":"L. N.","non-dropping-particle":"","parse-names":false,"suffix":""},{"dropping-particle":"","family":"Wing","given":"J.","non-dropping-particle":"","parse-names":false,"suffix":""},{"dropping-particle":"","family":"Wittchen","given":"H. U.","non-dropping-particle":"","parse-names":false,"suffix":""},{"dropping-particle":"","family":"Helzer","given":"J. E.","non-dropping-particle":"","parse-names":false,"suffix":""},{"dropping-particle":"","family":"Babor","given":"T. F.","non-dropping-particle":"","parse-names":false,"suffix":""},{"dropping-particle":"","family":"Burke","given":"J.","non-dropping-particle":"","parse-names":false,"suffix":""},{"dropping-particle":"","family":"Farmer","given":"A.","non-dropping-particle":"","parse-names":false,"suffix":""},{"dropping-particle":"","family":"Jablenski","given":"A.","non-dropping-particle":"","parse-names":false,"suffix":""},{"dropping-particle":"","family":"Pickens","given":"R.","non-dropping-particle":"","parse-names":false,"suffix":""},{"dropping-particle":"","family":"Regier","given":"D. A.","non-dropping-particle":"","parse-names":false,"suffix":""}],"container-title":"Archives of general psychiatry","id":"ITEM-1","issue":"12","issued":{"date-parts":[["1988"]]},"page":"1069-1077","title":"The Composite International Diagnostic Interview. An epidemiologic Instrument suitable for use in conjunction with different diagnostic systems and in different cultures.","type":"article-journal","volume":"45"},"uris":["http://www.mendeley.com/documents/?uuid=9cde4ee0-2661-4041-8294-3683cc242c71"]}],"mendeley":{"formattedCitation":"(Robins et al., 1988)","plainTextFormattedCitation":"(Robins et al., 1988)","previouslyFormattedCitation":"(Robins et al., 1988)"},"properties":{"noteIndex":0},"schema":"https://github.com/citation-style-language/schema/raw/master/csl-citation.json"}</w:instrText>
      </w:r>
      <w:r w:rsidR="00DA725C" w:rsidRPr="00B63E10">
        <w:fldChar w:fldCharType="separate"/>
      </w:r>
      <w:r w:rsidR="00DA725C" w:rsidRPr="00B63E10">
        <w:rPr>
          <w:noProof/>
        </w:rPr>
        <w:t>(Robins et al., 1988)</w:t>
      </w:r>
      <w:r w:rsidR="00DA725C" w:rsidRPr="00B63E10">
        <w:fldChar w:fldCharType="end"/>
      </w:r>
      <w:r w:rsidR="00BA7855" w:rsidRPr="00B63E10">
        <w:t xml:space="preserve"> </w:t>
      </w:r>
      <w:r w:rsidR="0032433F" w:rsidRPr="00B63E10">
        <w:t xml:space="preserve">was used to assess diagnoses of mental disorders based on Diagnostic and Statistical Manual of Mental Disorders-IV </w:t>
      </w:r>
      <w:r w:rsidR="0032433F" w:rsidRPr="00B63E10">
        <w:fldChar w:fldCharType="begin" w:fldLock="1"/>
      </w:r>
      <w:r w:rsidR="0087680D" w:rsidRPr="00B63E10">
        <w:instrText>ADDIN CSL_CITATION {"citationItems":[{"id":"ITEM-1","itemData":{"author":[{"dropping-particle":"","family":"American Psychiatric Association","given":"","non-dropping-particle":"","parse-names":false,"suffix":""}],"edition":"4","id":"ITEM-1","issued":{"date-parts":[["2000"]]},"publisher":"Author","publisher-place":"Washington, DC","title":"Diagnostic and statistical manual of mental disorders","type":"article"},"uris":["http://www.mendeley.com/documents/?uuid=5665afa5-1071-4676-8858-581df920beac"]}],"mendeley":{"formattedCitation":"(American Psychiatric Association, 2000)","plainTextFormattedCitation":"(American Psychiatric Association, 2000)","previouslyFormattedCitation":"(American Psychiatric Association, 2000)"},"properties":{"noteIndex":0},"schema":"https://github.com/citation-style-language/schema/raw/master/csl-citation.json"}</w:instrText>
      </w:r>
      <w:r w:rsidR="0032433F" w:rsidRPr="00B63E10">
        <w:fldChar w:fldCharType="separate"/>
      </w:r>
      <w:r w:rsidR="0032433F" w:rsidRPr="00B63E10">
        <w:rPr>
          <w:noProof/>
        </w:rPr>
        <w:t>(American Psychiatric Association, 2000)</w:t>
      </w:r>
      <w:r w:rsidR="0032433F" w:rsidRPr="00B63E10">
        <w:fldChar w:fldCharType="end"/>
      </w:r>
      <w:r w:rsidR="0032433F" w:rsidRPr="00B63E10">
        <w:t>.</w:t>
      </w:r>
      <w:r w:rsidR="00581EAD" w:rsidRPr="00B63E10">
        <w:t xml:space="preserve"> </w:t>
      </w:r>
      <w:r w:rsidR="0015195E" w:rsidRPr="00B63E10">
        <w:t>S</w:t>
      </w:r>
      <w:r w:rsidR="00BA7855" w:rsidRPr="00B63E10">
        <w:t>ubgroup differences in depression diagnosis were investigated by a Pearson’s chi-square test.</w:t>
      </w:r>
      <w:r w:rsidRPr="00B63E10">
        <w:rPr>
          <w:i/>
        </w:rPr>
        <w:t xml:space="preserve"> </w:t>
      </w:r>
      <w:r w:rsidR="007435C5" w:rsidRPr="00B63E10">
        <w:t xml:space="preserve">Differences in depression or anxiety diagnoses were investigated by two Pearson’s chi-square tests. </w:t>
      </w:r>
      <w:r w:rsidR="0015195E" w:rsidRPr="00B63E10">
        <w:t xml:space="preserve">It should be noted that the CIDI was only administered to a subsample of participants (N=266), which caused a relatively high number of missing values in these analyses.  </w:t>
      </w:r>
    </w:p>
    <w:p w14:paraId="7E9E7484" w14:textId="640A2B5C" w:rsidR="003C18B1" w:rsidRPr="00B63E10" w:rsidRDefault="003C18B1" w:rsidP="00DD18FE">
      <w:r w:rsidRPr="00B87E6D">
        <w:rPr>
          <w:b/>
          <w:bCs/>
          <w:i/>
        </w:rPr>
        <w:t>Anxiety diagnosis</w:t>
      </w:r>
      <w:r w:rsidRPr="00B63E10">
        <w:rPr>
          <w:i/>
        </w:rPr>
        <w:t xml:space="preserve">: </w:t>
      </w:r>
      <w:r w:rsidR="00BA7855" w:rsidRPr="00B63E10">
        <w:t xml:space="preserve">Anxiety diagnosis was also assessed by the CIDI </w:t>
      </w:r>
      <w:r w:rsidR="00BA7855" w:rsidRPr="00B63E10">
        <w:fldChar w:fldCharType="begin" w:fldLock="1"/>
      </w:r>
      <w:r w:rsidR="007E7143" w:rsidRPr="00B63E10">
        <w:instrText>ADDIN CSL_CITATION {"citationItems":[{"id":"ITEM-1","itemData":{"DOI":"10.1001/archpsyc.1988.01800360017003","author":[{"dropping-particle":"","family":"Robins","given":"L. N.","non-dropping-particle":"","parse-names":false,"suffix":""},{"dropping-particle":"","family":"Wing","given":"J.","non-dropping-particle":"","parse-names":false,"suffix":""},{"dropping-particle":"","family":"Wittchen","given":"H. U.","non-dropping-particle":"","parse-names":false,"suffix":""},{"dropping-particle":"","family":"Helzer","given":"J. E.","non-dropping-particle":"","parse-names":false,"suffix":""},{"dropping-particle":"","family":"Babor","given":"T. F.","non-dropping-particle":"","parse-names":false,"suffix":""},{"dropping-particle":"","family":"Burke","given":"J.","non-dropping-particle":"","parse-names":false,"suffix":""},{"dropping-particle":"","family":"Farmer","given":"A.","non-dropping-particle":"","parse-names":false,"suffix":""},{"dropping-particle":"","family":"Jablenski","given":"A.","non-dropping-particle":"","parse-names":false,"suffix":""},{"dropping-particle":"","family":"Pickens","given":"R.","non-dropping-particle":"","parse-names":false,"suffix":""},{"dropping-particle":"","family":"Regier","given":"D. A.","non-dropping-particle":"","parse-names":false,"suffix":""}],"container-title":"Archives of general psychiatry","id":"ITEM-1","issue":"12","issued":{"date-parts":[["1988"]]},"page":"1069-1077","title":"The Composite International Diagnostic Interview. An epidemiologic Instrument suitable for use in conjunction with different diagnostic systems and in different cultures.","type":"article-journal","volume":"45"},"uris":["http://www.mendeley.com/documents/?uuid=9cde4ee0-2661-4041-8294-3683cc242c71"]}],"mendeley":{"formattedCitation":"(Robins et al., 1988)","plainTextFormattedCitation":"(Robins et al., 1988)","previouslyFormattedCitation":"(Robins et al., 1988)"},"properties":{"noteIndex":0},"schema":"https://github.com/citation-style-language/schema/raw/master/csl-citation.json"}</w:instrText>
      </w:r>
      <w:r w:rsidR="00BA7855" w:rsidRPr="00B63E10">
        <w:fldChar w:fldCharType="separate"/>
      </w:r>
      <w:r w:rsidR="00BA7855" w:rsidRPr="00B63E10">
        <w:rPr>
          <w:noProof/>
        </w:rPr>
        <w:t>(Robins et al., 1988)</w:t>
      </w:r>
      <w:r w:rsidR="00BA7855" w:rsidRPr="00B63E10">
        <w:fldChar w:fldCharType="end"/>
      </w:r>
      <w:r w:rsidR="00BA7855" w:rsidRPr="00B63E10">
        <w:t>.  Subgroup differences in anxiety diagnoses were investigated by a Pearson’s chi-square test.</w:t>
      </w:r>
    </w:p>
    <w:p w14:paraId="1FE8DBAC" w14:textId="24523A26" w:rsidR="003C18B1" w:rsidRPr="00B63E10" w:rsidRDefault="003C18B1" w:rsidP="00DD18FE">
      <w:r w:rsidRPr="00B87E6D">
        <w:rPr>
          <w:b/>
          <w:bCs/>
          <w:i/>
        </w:rPr>
        <w:t>ADHD-score</w:t>
      </w:r>
      <w:r w:rsidRPr="00B63E10">
        <w:rPr>
          <w:i/>
        </w:rPr>
        <w:t xml:space="preserve">: </w:t>
      </w:r>
      <w:r w:rsidR="007E7143" w:rsidRPr="00B63E10">
        <w:t xml:space="preserve">ADHD symptoms were assessed by the ADHD screening list </w:t>
      </w:r>
      <w:r w:rsidR="007E7143" w:rsidRPr="00B63E10">
        <w:fldChar w:fldCharType="begin" w:fldLock="1"/>
      </w:r>
      <w:r w:rsidR="0002624B">
        <w:instrText>ADDIN CSL_CITATION {"citationItems":[{"id":"ITEM-1","itemData":{"author":[{"dropping-particle":"","family":"Barkley","given":"R. A.","non-dropping-particle":"","parse-names":false,"suffix":""},{"dropping-particle":"","family":"Murphy","given":"K. R.","non-dropping-particle":"","parse-names":false,"suffix":""},{"dropping-particle":"","family":"Fischer","given":"M.","non-dropping-particle":"","parse-names":false,"suffix":""}],"id":"ITEM-1","issued":{"date-parts":[["2007"]]},"publisher":"Guilford","publisher-place":"New York","title":"ADHD in adults: What the science says","type":"book"},"uris":["http://www.mendeley.com/documents/?uuid=6e5ad331-53ae-4a77-b697-a9f96acb6262"]}],"mendeley":{"formattedCitation":"(Barkley et al., 2007)","plainTextFormattedCitation":"(Barkley et al., 2007)","previouslyFormattedCitation":"(Barkley et al., 2007)"},"properties":{"noteIndex":0},"schema":"https://github.com/citation-style-language/schema/raw/master/csl-citation.json"}</w:instrText>
      </w:r>
      <w:r w:rsidR="007E7143" w:rsidRPr="00B63E10">
        <w:fldChar w:fldCharType="separate"/>
      </w:r>
      <w:r w:rsidR="0022380C" w:rsidRPr="0022380C">
        <w:rPr>
          <w:noProof/>
        </w:rPr>
        <w:t>(Barkley et al., 2007)</w:t>
      </w:r>
      <w:r w:rsidR="007E7143" w:rsidRPr="00B63E10">
        <w:fldChar w:fldCharType="end"/>
      </w:r>
      <w:r w:rsidR="007E7143" w:rsidRPr="00B63E10">
        <w:t xml:space="preserve">. This questionnaire consists of seven items with two response categories (i.e., ‘yes’ or ‘no’). </w:t>
      </w:r>
      <w:r w:rsidR="007435C5" w:rsidRPr="00B63E10">
        <w:t xml:space="preserve">We used an ANOVA to investigate differences in total scores on the ADHD screening list between subgroups. </w:t>
      </w:r>
    </w:p>
    <w:p w14:paraId="0F676035" w14:textId="4273A87D" w:rsidR="007435C5" w:rsidRDefault="008F07A6" w:rsidP="00DD18FE">
      <w:r>
        <w:rPr>
          <w:b/>
          <w:bCs/>
          <w:i/>
        </w:rPr>
        <w:t>Fluid intelligence</w:t>
      </w:r>
      <w:r w:rsidR="003C18B1" w:rsidRPr="00B87E6D">
        <w:rPr>
          <w:b/>
          <w:bCs/>
          <w:i/>
        </w:rPr>
        <w:t>:</w:t>
      </w:r>
      <w:r w:rsidR="00647436" w:rsidRPr="00B63E10">
        <w:rPr>
          <w:i/>
        </w:rPr>
        <w:t xml:space="preserve"> </w:t>
      </w:r>
      <w:r w:rsidR="00647436" w:rsidRPr="00B63E10">
        <w:t xml:space="preserve">The Raven </w:t>
      </w:r>
      <w:proofErr w:type="spellStart"/>
      <w:r w:rsidR="00647436" w:rsidRPr="00B63E10">
        <w:t>Coloured</w:t>
      </w:r>
      <w:proofErr w:type="spellEnd"/>
      <w:r w:rsidR="00647436" w:rsidRPr="00B63E10">
        <w:t xml:space="preserve"> Progressive Matrices</w:t>
      </w:r>
      <w:r w:rsidR="003F6B43" w:rsidRPr="00B63E10">
        <w:t xml:space="preserve"> (RCPM)</w:t>
      </w:r>
      <w:r w:rsidR="00647436" w:rsidRPr="00B63E10">
        <w:t xml:space="preserve"> </w:t>
      </w:r>
      <w:r w:rsidR="003F6B43" w:rsidRPr="00B63E10">
        <w:t>were used to assess fluid intelligence</w:t>
      </w:r>
      <w:r w:rsidR="00491A0B" w:rsidRPr="00B63E10">
        <w:t xml:space="preserve"> </w:t>
      </w:r>
      <w:r w:rsidR="00491A0B" w:rsidRPr="00B63E10">
        <w:fldChar w:fldCharType="begin" w:fldLock="1"/>
      </w:r>
      <w:r w:rsidR="00AA13B0" w:rsidRPr="00B63E10">
        <w:instrText>ADDIN CSL_CITATION {"citationItems":[{"id":"ITEM-1","itemData":{"author":[{"dropping-particle":"","family":"Raven","given":"J. C.","non-dropping-particle":"","parse-names":false,"suffix":""}],"id":"ITEM-1","issued":{"date-parts":[["1995"]]},"publisher":"NFRE-Nelson","publisher-place":"Windsor","title":"Manual for the Coloured Progressive Matrices (revised)","type":"book"},"uris":["http://www.mendeley.com/documents/?uuid=3c4b17a9-524c-4c89-bad2-43ea46ff3bbd"]}],"mendeley":{"formattedCitation":"(Raven, 1995)","plainTextFormattedCitation":"(Raven, 1995)","previouslyFormattedCitation":"(Raven, 1995)"},"properties":{"noteIndex":0},"schema":"https://github.com/citation-style-language/schema/raw/master/csl-citation.json"}</w:instrText>
      </w:r>
      <w:r w:rsidR="00491A0B" w:rsidRPr="00B63E10">
        <w:fldChar w:fldCharType="separate"/>
      </w:r>
      <w:r w:rsidR="00491A0B" w:rsidRPr="00B63E10">
        <w:rPr>
          <w:noProof/>
        </w:rPr>
        <w:t>(Raven, 1995)</w:t>
      </w:r>
      <w:r w:rsidR="00491A0B" w:rsidRPr="00B63E10">
        <w:fldChar w:fldCharType="end"/>
      </w:r>
      <w:r w:rsidR="003F6B43" w:rsidRPr="00B63E10">
        <w:t xml:space="preserve">. The RCPM consists of three sections, namely A, Ab and B. Each subset consists of 12 items. The items consist of a matrix from which one section is missing. The respondent has to select the missing section among six alternatives that are printed below the matrix. A correct response is </w:t>
      </w:r>
      <w:r w:rsidR="0072472B" w:rsidRPr="00B63E10">
        <w:t>scored as one point, which results in a score ranging between 0 and 12 per subset</w:t>
      </w:r>
      <w:r w:rsidR="003F6B43" w:rsidRPr="00B63E10">
        <w:t>. In LASA, only subset A and B were administered.</w:t>
      </w:r>
      <w:r w:rsidR="00647436" w:rsidRPr="00B63E10">
        <w:rPr>
          <w:i/>
        </w:rPr>
        <w:t xml:space="preserve"> </w:t>
      </w:r>
      <w:r w:rsidR="007435C5" w:rsidRPr="00B63E10">
        <w:t xml:space="preserve">Differences in </w:t>
      </w:r>
      <w:r>
        <w:t>fluid intelligence scores</w:t>
      </w:r>
      <w:r w:rsidR="007435C5" w:rsidRPr="00B63E10">
        <w:t xml:space="preserve"> across subgroups were analyzed by an ANOVA with Raven sum scores for subset A and B separately, as dependent variables and subgroup membership as independent variable.</w:t>
      </w:r>
    </w:p>
    <w:p w14:paraId="68ED2166" w14:textId="77777777" w:rsidR="003944CA" w:rsidRDefault="003944CA" w:rsidP="007435C5">
      <w:pPr>
        <w:spacing w:line="360" w:lineRule="auto"/>
        <w:rPr>
          <w:b/>
        </w:rPr>
      </w:pPr>
    </w:p>
    <w:p w14:paraId="0BE295AB" w14:textId="697281DE" w:rsidR="007435C5" w:rsidRDefault="007435C5" w:rsidP="00DD18FE">
      <w:r>
        <w:rPr>
          <w:b/>
        </w:rPr>
        <w:t>S</w:t>
      </w:r>
      <w:r w:rsidR="005D276E">
        <w:rPr>
          <w:b/>
        </w:rPr>
        <w:t>4</w:t>
      </w:r>
      <w:r>
        <w:rPr>
          <w:b/>
        </w:rPr>
        <w:t>) Attrition analyses</w:t>
      </w:r>
      <w:r>
        <w:br/>
        <w:t xml:space="preserve">The attrition from T1 to T2 is depicted in </w:t>
      </w:r>
      <w:proofErr w:type="spellStart"/>
      <w:r>
        <w:t>sFigure</w:t>
      </w:r>
      <w:proofErr w:type="spellEnd"/>
      <w:r>
        <w:t xml:space="preserve"> 1. We performed six ANOVAs and six Pearson’s chi-square tests on descriptive variables to compare differences between the group not analyzed at T2 (N=326) and the group analyzed at both T1 and T2 (N=1152). Results are presented in </w:t>
      </w:r>
      <w:proofErr w:type="spellStart"/>
      <w:r>
        <w:t>sTable</w:t>
      </w:r>
      <w:proofErr w:type="spellEnd"/>
      <w:r>
        <w:t xml:space="preserve"> 1. </w:t>
      </w:r>
    </w:p>
    <w:p w14:paraId="0E946E62" w14:textId="4FC9C183" w:rsidR="007435C5" w:rsidRDefault="007435C5" w:rsidP="00DD18FE">
      <w:pPr>
        <w:ind w:firstLine="720"/>
      </w:pPr>
      <w:r>
        <w:t>The group</w:t>
      </w:r>
      <w:r w:rsidR="00BD48A9">
        <w:t xml:space="preserve"> of participants who dropped out and were</w:t>
      </w:r>
      <w:r w:rsidR="00AA1792">
        <w:t>,</w:t>
      </w:r>
      <w:r w:rsidR="00BD48A9">
        <w:t xml:space="preserve"> therefore,</w:t>
      </w:r>
      <w:r>
        <w:t xml:space="preserve"> not analyzed at T2</w:t>
      </w:r>
      <w:r w:rsidR="00BD48A9">
        <w:t xml:space="preserve"> (i.e., attrition group)</w:t>
      </w:r>
      <w:r>
        <w:t>, was older than the group that was measured at T1 and T2</w:t>
      </w:r>
      <w:r w:rsidR="00BD48A9">
        <w:t xml:space="preserve"> (i.e., included group)</w:t>
      </w:r>
      <w:r>
        <w:t xml:space="preserve">. An explanation for </w:t>
      </w:r>
      <w:r w:rsidRPr="00B63E10">
        <w:t xml:space="preserve">this difference is that older age is more likely to be associated with drop-out due to fluctuating health status or death. The </w:t>
      </w:r>
      <w:r w:rsidR="00BD48A9" w:rsidRPr="00B63E10">
        <w:t xml:space="preserve">attrition </w:t>
      </w:r>
      <w:r w:rsidRPr="00B63E10">
        <w:t>group also had fewer household members, took a higher number of medicines and had lower scores both Raven subtests</w:t>
      </w:r>
      <w:r w:rsidR="00BD48A9" w:rsidRPr="00B63E10">
        <w:t xml:space="preserve"> as compared to the included group</w:t>
      </w:r>
      <w:r w:rsidRPr="00B63E10">
        <w:t xml:space="preserve">. Also, this </w:t>
      </w:r>
      <w:r w:rsidR="00BD48A9" w:rsidRPr="00B63E10">
        <w:t xml:space="preserve">attrition </w:t>
      </w:r>
      <w:r w:rsidRPr="00B63E10">
        <w:t xml:space="preserve">group reported more medication use, and had fewer married participants that the group who participated at both T1 and </w:t>
      </w:r>
      <w:r w:rsidRPr="00C44A6F">
        <w:t>T2. Furthermore, the</w:t>
      </w:r>
      <w:r w:rsidR="00BD48A9" w:rsidRPr="00C44A6F">
        <w:t xml:space="preserve"> attrition</w:t>
      </w:r>
      <w:r w:rsidRPr="00C44A6F">
        <w:t xml:space="preserve"> group, contained more </w:t>
      </w:r>
      <w:r w:rsidRPr="005C721F">
        <w:t xml:space="preserve">participants from </w:t>
      </w:r>
      <w:r w:rsidR="00631E21" w:rsidRPr="005C721F">
        <w:t>S</w:t>
      </w:r>
      <w:r w:rsidR="00D1463B" w:rsidRPr="005C721F">
        <w:t xml:space="preserve">ubgroup </w:t>
      </w:r>
      <w:r w:rsidR="00631E21" w:rsidRPr="005C721F">
        <w:t xml:space="preserve">C </w:t>
      </w:r>
      <w:r w:rsidR="00D1463B" w:rsidRPr="005C721F">
        <w:t>(45%)</w:t>
      </w:r>
      <w:r w:rsidR="00003909" w:rsidRPr="005C721F">
        <w:t xml:space="preserve">, and fewer participants from </w:t>
      </w:r>
      <w:r w:rsidR="00631E21" w:rsidRPr="005C721F">
        <w:t>Subgroup A</w:t>
      </w:r>
      <w:r w:rsidR="00003909" w:rsidRPr="005C721F">
        <w:t xml:space="preserve"> and </w:t>
      </w:r>
      <w:r w:rsidR="00631E21" w:rsidRPr="005C721F">
        <w:t>Subgroup B</w:t>
      </w:r>
      <w:r w:rsidR="00003909" w:rsidRPr="00C44A6F">
        <w:t xml:space="preserve"> (i.e., 26% and 29%, respectively).</w:t>
      </w:r>
      <w:r>
        <w:t xml:space="preserve"> </w:t>
      </w:r>
    </w:p>
    <w:p w14:paraId="6F5B4DFC" w14:textId="77777777" w:rsidR="007435C5" w:rsidRPr="00D45754" w:rsidRDefault="007435C5" w:rsidP="00DD18FE">
      <w:r>
        <w:t xml:space="preserve"> </w:t>
      </w:r>
    </w:p>
    <w:p w14:paraId="1CCBB915" w14:textId="77777777" w:rsidR="007435C5" w:rsidRDefault="007435C5" w:rsidP="00DD18FE">
      <w:r>
        <w:rPr>
          <w:noProof/>
        </w:rPr>
        <w:lastRenderedPageBreak/>
        <w:drawing>
          <wp:inline distT="0" distB="0" distL="0" distR="0" wp14:anchorId="478F813C" wp14:editId="675DBB01">
            <wp:extent cx="4623978" cy="266251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chart_LASA.png"/>
                    <pic:cNvPicPr/>
                  </pic:nvPicPr>
                  <pic:blipFill rotWithShape="1">
                    <a:blip r:embed="rId7"/>
                    <a:srcRect l="4695" t="9740" r="14543" b="7591"/>
                    <a:stretch/>
                  </pic:blipFill>
                  <pic:spPr bwMode="auto">
                    <a:xfrm>
                      <a:off x="0" y="0"/>
                      <a:ext cx="4625780" cy="2663556"/>
                    </a:xfrm>
                    <a:prstGeom prst="rect">
                      <a:avLst/>
                    </a:prstGeom>
                    <a:ln>
                      <a:noFill/>
                    </a:ln>
                    <a:extLst>
                      <a:ext uri="{53640926-AAD7-44D8-BBD7-CCE9431645EC}">
                        <a14:shadowObscured xmlns:a14="http://schemas.microsoft.com/office/drawing/2010/main"/>
                      </a:ext>
                    </a:extLst>
                  </pic:spPr>
                </pic:pic>
              </a:graphicData>
            </a:graphic>
          </wp:inline>
        </w:drawing>
      </w:r>
    </w:p>
    <w:p w14:paraId="4E8809E8" w14:textId="77777777" w:rsidR="007435C5" w:rsidRPr="001A378F" w:rsidRDefault="007435C5" w:rsidP="00DD18FE">
      <w:pPr>
        <w:rPr>
          <w:i/>
        </w:rPr>
      </w:pPr>
      <w:proofErr w:type="spellStart"/>
      <w:r w:rsidRPr="00F56646">
        <w:rPr>
          <w:i/>
        </w:rPr>
        <w:t>sFigure</w:t>
      </w:r>
      <w:proofErr w:type="spellEnd"/>
      <w:r w:rsidRPr="00F56646">
        <w:rPr>
          <w:i/>
        </w:rPr>
        <w:t xml:space="preserve"> 1.</w:t>
      </w:r>
      <w:r>
        <w:rPr>
          <w:b/>
        </w:rPr>
        <w:t xml:space="preserve"> </w:t>
      </w:r>
      <w:r w:rsidRPr="00F56646">
        <w:t>Attrition from T1 to T2</w:t>
      </w:r>
    </w:p>
    <w:p w14:paraId="53F0FAB9" w14:textId="77777777" w:rsidR="007435C5" w:rsidRDefault="007435C5" w:rsidP="00DD18FE">
      <w:r>
        <w:br w:type="page"/>
      </w:r>
    </w:p>
    <w:p w14:paraId="5ECF6532" w14:textId="073D3026" w:rsidR="007435C5" w:rsidRPr="00D45754" w:rsidRDefault="007435C5" w:rsidP="00DD18FE">
      <w:pPr>
        <w:rPr>
          <w:i/>
        </w:rPr>
      </w:pPr>
      <w:proofErr w:type="spellStart"/>
      <w:r>
        <w:lastRenderedPageBreak/>
        <w:t>sTable</w:t>
      </w:r>
      <w:proofErr w:type="spellEnd"/>
      <w:r>
        <w:t xml:space="preserve"> 1</w:t>
      </w:r>
      <w:r>
        <w:br/>
      </w:r>
      <w:r>
        <w:rPr>
          <w:i/>
        </w:rPr>
        <w:t>Raw scores on descriptive variables at T1 for the group that was not analyzed at T2 (</w:t>
      </w:r>
      <w:r w:rsidR="00BD48A9">
        <w:rPr>
          <w:i/>
        </w:rPr>
        <w:t xml:space="preserve">attrition group; </w:t>
      </w:r>
      <w:r>
        <w:rPr>
          <w:i/>
        </w:rPr>
        <w:t>N=326) and the group that was analyzed at both T1 and T2 (</w:t>
      </w:r>
      <w:r w:rsidR="00BD48A9">
        <w:rPr>
          <w:i/>
        </w:rPr>
        <w:t xml:space="preserve">included group; </w:t>
      </w:r>
      <w:r>
        <w:rPr>
          <w:i/>
        </w:rPr>
        <w:t>N=1152).</w:t>
      </w:r>
    </w:p>
    <w:tbl>
      <w:tblPr>
        <w:tblStyle w:val="TableGrid"/>
        <w:tblW w:w="9667" w:type="dxa"/>
        <w:tblLayout w:type="fixed"/>
        <w:tblLook w:val="04A0" w:firstRow="1" w:lastRow="0" w:firstColumn="1" w:lastColumn="0" w:noHBand="0" w:noVBand="1"/>
      </w:tblPr>
      <w:tblGrid>
        <w:gridCol w:w="3192"/>
        <w:gridCol w:w="1905"/>
        <w:gridCol w:w="2133"/>
        <w:gridCol w:w="2437"/>
      </w:tblGrid>
      <w:tr w:rsidR="007435C5" w:rsidRPr="00C250BB" w14:paraId="4E0F503B" w14:textId="77777777" w:rsidTr="00C525BC">
        <w:trPr>
          <w:trHeight w:val="230"/>
        </w:trPr>
        <w:tc>
          <w:tcPr>
            <w:tcW w:w="3192" w:type="dxa"/>
            <w:tcBorders>
              <w:left w:val="nil"/>
              <w:bottom w:val="nil"/>
              <w:right w:val="nil"/>
            </w:tcBorders>
          </w:tcPr>
          <w:p w14:paraId="556A0EC6" w14:textId="77777777" w:rsidR="007435C5" w:rsidRPr="00C250BB" w:rsidRDefault="007435C5" w:rsidP="00DD18FE">
            <w:pPr>
              <w:rPr>
                <w:b/>
                <w:sz w:val="20"/>
                <w:szCs w:val="20"/>
              </w:rPr>
            </w:pPr>
          </w:p>
        </w:tc>
        <w:tc>
          <w:tcPr>
            <w:tcW w:w="4038" w:type="dxa"/>
            <w:gridSpan w:val="2"/>
            <w:tcBorders>
              <w:left w:val="nil"/>
              <w:bottom w:val="nil"/>
              <w:right w:val="nil"/>
            </w:tcBorders>
          </w:tcPr>
          <w:p w14:paraId="60C59313" w14:textId="77777777" w:rsidR="007435C5" w:rsidRPr="00C250BB" w:rsidRDefault="007435C5" w:rsidP="00DD18FE">
            <w:pPr>
              <w:jc w:val="center"/>
              <w:rPr>
                <w:b/>
                <w:sz w:val="20"/>
                <w:szCs w:val="20"/>
              </w:rPr>
            </w:pPr>
            <w:r>
              <w:rPr>
                <w:b/>
                <w:sz w:val="20"/>
                <w:szCs w:val="20"/>
              </w:rPr>
              <w:t>Group</w:t>
            </w:r>
          </w:p>
        </w:tc>
        <w:tc>
          <w:tcPr>
            <w:tcW w:w="2437" w:type="dxa"/>
            <w:tcBorders>
              <w:left w:val="nil"/>
              <w:bottom w:val="nil"/>
              <w:right w:val="nil"/>
            </w:tcBorders>
          </w:tcPr>
          <w:p w14:paraId="16A8353E" w14:textId="77777777" w:rsidR="007435C5" w:rsidRPr="00C250BB" w:rsidRDefault="007435C5" w:rsidP="00DD18FE">
            <w:pPr>
              <w:rPr>
                <w:b/>
                <w:sz w:val="20"/>
                <w:szCs w:val="20"/>
              </w:rPr>
            </w:pPr>
          </w:p>
        </w:tc>
      </w:tr>
      <w:tr w:rsidR="007435C5" w:rsidRPr="00D45754" w14:paraId="31A3243B" w14:textId="77777777" w:rsidTr="00C525BC">
        <w:trPr>
          <w:trHeight w:val="475"/>
        </w:trPr>
        <w:tc>
          <w:tcPr>
            <w:tcW w:w="3192" w:type="dxa"/>
            <w:tcBorders>
              <w:top w:val="nil"/>
              <w:left w:val="nil"/>
              <w:bottom w:val="nil"/>
              <w:right w:val="nil"/>
            </w:tcBorders>
          </w:tcPr>
          <w:p w14:paraId="3C85D6ED" w14:textId="77777777" w:rsidR="007435C5" w:rsidRPr="00C250BB" w:rsidRDefault="007435C5" w:rsidP="00DD18FE">
            <w:pPr>
              <w:rPr>
                <w:sz w:val="20"/>
                <w:szCs w:val="20"/>
              </w:rPr>
            </w:pPr>
          </w:p>
        </w:tc>
        <w:tc>
          <w:tcPr>
            <w:tcW w:w="1905" w:type="dxa"/>
            <w:tcBorders>
              <w:top w:val="nil"/>
              <w:left w:val="nil"/>
              <w:bottom w:val="nil"/>
              <w:right w:val="nil"/>
            </w:tcBorders>
          </w:tcPr>
          <w:p w14:paraId="4E801060" w14:textId="77777777" w:rsidR="007435C5" w:rsidRDefault="007435C5" w:rsidP="00DD18FE">
            <w:pPr>
              <w:jc w:val="center"/>
              <w:rPr>
                <w:sz w:val="20"/>
                <w:szCs w:val="20"/>
              </w:rPr>
            </w:pPr>
            <w:r w:rsidRPr="00D45754">
              <w:rPr>
                <w:sz w:val="20"/>
                <w:szCs w:val="20"/>
              </w:rPr>
              <w:t>Not analyzed at T2</w:t>
            </w:r>
          </w:p>
          <w:p w14:paraId="759326B9" w14:textId="4DD22A19" w:rsidR="00BD48A9" w:rsidRPr="00D45754" w:rsidRDefault="00BD48A9" w:rsidP="00DD18FE">
            <w:pPr>
              <w:jc w:val="center"/>
              <w:rPr>
                <w:sz w:val="20"/>
                <w:szCs w:val="20"/>
              </w:rPr>
            </w:pPr>
            <w:r>
              <w:rPr>
                <w:sz w:val="20"/>
                <w:szCs w:val="20"/>
              </w:rPr>
              <w:t>(attrition)</w:t>
            </w:r>
          </w:p>
        </w:tc>
        <w:tc>
          <w:tcPr>
            <w:tcW w:w="2133" w:type="dxa"/>
            <w:tcBorders>
              <w:top w:val="nil"/>
              <w:left w:val="nil"/>
              <w:bottom w:val="nil"/>
              <w:right w:val="nil"/>
            </w:tcBorders>
          </w:tcPr>
          <w:p w14:paraId="7DE97721" w14:textId="77777777" w:rsidR="007435C5" w:rsidRDefault="007435C5" w:rsidP="00DD18FE">
            <w:pPr>
              <w:jc w:val="center"/>
              <w:rPr>
                <w:sz w:val="20"/>
                <w:szCs w:val="20"/>
              </w:rPr>
            </w:pPr>
            <w:r w:rsidRPr="00D45754">
              <w:rPr>
                <w:sz w:val="20"/>
                <w:szCs w:val="20"/>
              </w:rPr>
              <w:t>Analyzed at T1 and T2</w:t>
            </w:r>
          </w:p>
          <w:p w14:paraId="2941853D" w14:textId="18A923C5" w:rsidR="00BD48A9" w:rsidRPr="00D45754" w:rsidRDefault="00BD48A9" w:rsidP="00DD18FE">
            <w:pPr>
              <w:jc w:val="center"/>
              <w:rPr>
                <w:sz w:val="20"/>
                <w:szCs w:val="20"/>
              </w:rPr>
            </w:pPr>
            <w:r>
              <w:rPr>
                <w:sz w:val="20"/>
                <w:szCs w:val="20"/>
              </w:rPr>
              <w:t>(included)</w:t>
            </w:r>
          </w:p>
        </w:tc>
        <w:tc>
          <w:tcPr>
            <w:tcW w:w="2437" w:type="dxa"/>
            <w:tcBorders>
              <w:top w:val="nil"/>
              <w:left w:val="nil"/>
              <w:bottom w:val="nil"/>
              <w:right w:val="nil"/>
            </w:tcBorders>
          </w:tcPr>
          <w:p w14:paraId="51A13CB7" w14:textId="77777777" w:rsidR="007435C5" w:rsidRPr="00D45754" w:rsidRDefault="007435C5" w:rsidP="00DD18FE">
            <w:pPr>
              <w:rPr>
                <w:sz w:val="20"/>
                <w:szCs w:val="20"/>
              </w:rPr>
            </w:pPr>
            <w:r w:rsidRPr="00D45754">
              <w:rPr>
                <w:sz w:val="20"/>
                <w:szCs w:val="20"/>
              </w:rPr>
              <w:t xml:space="preserve"> </w:t>
            </w:r>
          </w:p>
        </w:tc>
      </w:tr>
      <w:tr w:rsidR="007435C5" w:rsidRPr="00D45754" w14:paraId="6FFF796D" w14:textId="77777777" w:rsidTr="00C525BC">
        <w:trPr>
          <w:trHeight w:val="72"/>
        </w:trPr>
        <w:tc>
          <w:tcPr>
            <w:tcW w:w="3192" w:type="dxa"/>
            <w:tcBorders>
              <w:left w:val="nil"/>
              <w:bottom w:val="single" w:sz="4" w:space="0" w:color="auto"/>
              <w:right w:val="nil"/>
            </w:tcBorders>
          </w:tcPr>
          <w:p w14:paraId="5AB1A68D" w14:textId="77777777" w:rsidR="007435C5" w:rsidRPr="00D45754" w:rsidRDefault="007435C5" w:rsidP="00DD18FE">
            <w:pPr>
              <w:rPr>
                <w:sz w:val="20"/>
                <w:szCs w:val="20"/>
              </w:rPr>
            </w:pPr>
            <w:r w:rsidRPr="00D45754">
              <w:rPr>
                <w:sz w:val="20"/>
                <w:szCs w:val="20"/>
              </w:rPr>
              <w:t>Variable</w:t>
            </w:r>
          </w:p>
        </w:tc>
        <w:tc>
          <w:tcPr>
            <w:tcW w:w="1905" w:type="dxa"/>
            <w:tcBorders>
              <w:left w:val="nil"/>
              <w:bottom w:val="single" w:sz="4" w:space="0" w:color="auto"/>
              <w:right w:val="nil"/>
            </w:tcBorders>
          </w:tcPr>
          <w:p w14:paraId="6C4F551F" w14:textId="77777777" w:rsidR="007435C5" w:rsidRPr="00D45754" w:rsidRDefault="007435C5" w:rsidP="00DD18FE">
            <w:pPr>
              <w:jc w:val="center"/>
              <w:rPr>
                <w:sz w:val="20"/>
                <w:szCs w:val="20"/>
              </w:rPr>
            </w:pPr>
            <w:r w:rsidRPr="00D45754">
              <w:rPr>
                <w:sz w:val="20"/>
                <w:szCs w:val="20"/>
              </w:rPr>
              <w:t>N = 326</w:t>
            </w:r>
          </w:p>
        </w:tc>
        <w:tc>
          <w:tcPr>
            <w:tcW w:w="2133" w:type="dxa"/>
            <w:tcBorders>
              <w:left w:val="nil"/>
              <w:bottom w:val="single" w:sz="4" w:space="0" w:color="auto"/>
              <w:right w:val="nil"/>
            </w:tcBorders>
          </w:tcPr>
          <w:p w14:paraId="3A8187AA" w14:textId="77777777" w:rsidR="007435C5" w:rsidRPr="00D45754" w:rsidRDefault="007435C5" w:rsidP="00DD18FE">
            <w:pPr>
              <w:jc w:val="center"/>
              <w:rPr>
                <w:sz w:val="20"/>
                <w:szCs w:val="20"/>
              </w:rPr>
            </w:pPr>
            <w:r w:rsidRPr="00D45754">
              <w:rPr>
                <w:sz w:val="20"/>
                <w:szCs w:val="20"/>
              </w:rPr>
              <w:t>N = 1152</w:t>
            </w:r>
          </w:p>
        </w:tc>
        <w:tc>
          <w:tcPr>
            <w:tcW w:w="2437" w:type="dxa"/>
            <w:tcBorders>
              <w:left w:val="nil"/>
              <w:bottom w:val="single" w:sz="4" w:space="0" w:color="auto"/>
              <w:right w:val="nil"/>
            </w:tcBorders>
          </w:tcPr>
          <w:p w14:paraId="163E52E9" w14:textId="77777777" w:rsidR="007435C5" w:rsidRPr="00D45754" w:rsidRDefault="007435C5" w:rsidP="00DD18FE">
            <w:pPr>
              <w:rPr>
                <w:sz w:val="20"/>
                <w:szCs w:val="20"/>
              </w:rPr>
            </w:pPr>
            <w:r w:rsidRPr="00D45754">
              <w:rPr>
                <w:sz w:val="20"/>
                <w:szCs w:val="20"/>
              </w:rPr>
              <w:t>test statistic(</w:t>
            </w:r>
            <w:r w:rsidRPr="00D45754">
              <w:rPr>
                <w:i/>
                <w:sz w:val="20"/>
                <w:szCs w:val="20"/>
              </w:rPr>
              <w:t>df</w:t>
            </w:r>
            <w:r w:rsidRPr="00D45754">
              <w:rPr>
                <w:sz w:val="20"/>
                <w:szCs w:val="20"/>
              </w:rPr>
              <w:t>)</w:t>
            </w:r>
          </w:p>
        </w:tc>
      </w:tr>
      <w:tr w:rsidR="007435C5" w:rsidRPr="00D45754" w14:paraId="18EACD4C" w14:textId="77777777" w:rsidTr="00C525BC">
        <w:trPr>
          <w:trHeight w:val="230"/>
        </w:trPr>
        <w:tc>
          <w:tcPr>
            <w:tcW w:w="3192" w:type="dxa"/>
            <w:tcBorders>
              <w:left w:val="nil"/>
              <w:bottom w:val="nil"/>
              <w:right w:val="nil"/>
            </w:tcBorders>
          </w:tcPr>
          <w:p w14:paraId="36E2410F" w14:textId="77777777" w:rsidR="007435C5" w:rsidRPr="00D45754" w:rsidRDefault="007435C5" w:rsidP="00DD18FE">
            <w:pPr>
              <w:rPr>
                <w:b/>
                <w:sz w:val="20"/>
                <w:szCs w:val="20"/>
              </w:rPr>
            </w:pPr>
            <w:r w:rsidRPr="00D45754">
              <w:rPr>
                <w:b/>
                <w:sz w:val="20"/>
                <w:szCs w:val="20"/>
              </w:rPr>
              <w:t>Descriptive variables</w:t>
            </w:r>
          </w:p>
        </w:tc>
        <w:tc>
          <w:tcPr>
            <w:tcW w:w="1905" w:type="dxa"/>
            <w:tcBorders>
              <w:left w:val="nil"/>
              <w:bottom w:val="nil"/>
              <w:right w:val="nil"/>
            </w:tcBorders>
          </w:tcPr>
          <w:p w14:paraId="20E6BD09" w14:textId="77777777" w:rsidR="007435C5" w:rsidRPr="00D45754" w:rsidRDefault="007435C5" w:rsidP="00DD18FE">
            <w:pPr>
              <w:jc w:val="center"/>
              <w:rPr>
                <w:sz w:val="20"/>
                <w:szCs w:val="20"/>
              </w:rPr>
            </w:pPr>
          </w:p>
        </w:tc>
        <w:tc>
          <w:tcPr>
            <w:tcW w:w="2133" w:type="dxa"/>
            <w:tcBorders>
              <w:left w:val="nil"/>
              <w:bottom w:val="nil"/>
              <w:right w:val="nil"/>
            </w:tcBorders>
          </w:tcPr>
          <w:p w14:paraId="4EEEBAEA" w14:textId="77777777" w:rsidR="007435C5" w:rsidRPr="00D45754" w:rsidRDefault="007435C5" w:rsidP="00DD18FE">
            <w:pPr>
              <w:jc w:val="center"/>
              <w:rPr>
                <w:sz w:val="20"/>
                <w:szCs w:val="20"/>
              </w:rPr>
            </w:pPr>
          </w:p>
        </w:tc>
        <w:tc>
          <w:tcPr>
            <w:tcW w:w="2437" w:type="dxa"/>
            <w:tcBorders>
              <w:left w:val="nil"/>
              <w:bottom w:val="nil"/>
              <w:right w:val="nil"/>
            </w:tcBorders>
          </w:tcPr>
          <w:p w14:paraId="37858923" w14:textId="77777777" w:rsidR="007435C5" w:rsidRPr="00D45754" w:rsidRDefault="007435C5" w:rsidP="00DD18FE">
            <w:pPr>
              <w:rPr>
                <w:sz w:val="20"/>
                <w:szCs w:val="20"/>
              </w:rPr>
            </w:pPr>
          </w:p>
        </w:tc>
      </w:tr>
      <w:tr w:rsidR="007435C5" w:rsidRPr="00D45754" w14:paraId="32C71B11" w14:textId="77777777" w:rsidTr="00C525BC">
        <w:trPr>
          <w:trHeight w:val="230"/>
        </w:trPr>
        <w:tc>
          <w:tcPr>
            <w:tcW w:w="3192" w:type="dxa"/>
            <w:tcBorders>
              <w:top w:val="nil"/>
              <w:left w:val="nil"/>
              <w:bottom w:val="nil"/>
              <w:right w:val="nil"/>
            </w:tcBorders>
          </w:tcPr>
          <w:p w14:paraId="02D29E53" w14:textId="77777777" w:rsidR="007435C5" w:rsidRPr="00D45754" w:rsidRDefault="007435C5" w:rsidP="00DD18FE">
            <w:pPr>
              <w:tabs>
                <w:tab w:val="left" w:pos="167"/>
              </w:tabs>
              <w:rPr>
                <w:sz w:val="20"/>
                <w:szCs w:val="20"/>
              </w:rPr>
            </w:pPr>
            <w:r w:rsidRPr="00D45754">
              <w:rPr>
                <w:sz w:val="20"/>
                <w:szCs w:val="20"/>
              </w:rPr>
              <w:t xml:space="preserve">Age </w:t>
            </w:r>
            <w:r w:rsidRPr="00D45754">
              <w:rPr>
                <w:i/>
                <w:sz w:val="20"/>
                <w:szCs w:val="20"/>
              </w:rPr>
              <w:t>M</w:t>
            </w:r>
            <w:r w:rsidRPr="00D45754">
              <w:rPr>
                <w:sz w:val="20"/>
                <w:szCs w:val="20"/>
              </w:rPr>
              <w:t>(</w:t>
            </w:r>
            <w:r w:rsidRPr="00D45754">
              <w:rPr>
                <w:i/>
                <w:sz w:val="20"/>
                <w:szCs w:val="20"/>
              </w:rPr>
              <w:t>SD</w:t>
            </w:r>
            <w:r w:rsidRPr="00D45754">
              <w:rPr>
                <w:sz w:val="20"/>
                <w:szCs w:val="20"/>
              </w:rPr>
              <w:t>)</w:t>
            </w:r>
          </w:p>
        </w:tc>
        <w:tc>
          <w:tcPr>
            <w:tcW w:w="1905" w:type="dxa"/>
            <w:tcBorders>
              <w:top w:val="nil"/>
              <w:left w:val="nil"/>
              <w:bottom w:val="nil"/>
              <w:right w:val="nil"/>
            </w:tcBorders>
          </w:tcPr>
          <w:p w14:paraId="65109517" w14:textId="77777777" w:rsidR="007435C5" w:rsidRPr="00D45754" w:rsidRDefault="007435C5" w:rsidP="00DD18FE">
            <w:pPr>
              <w:jc w:val="center"/>
              <w:rPr>
                <w:sz w:val="20"/>
                <w:szCs w:val="20"/>
              </w:rPr>
            </w:pPr>
            <w:r w:rsidRPr="00D45754">
              <w:rPr>
                <w:sz w:val="20"/>
                <w:szCs w:val="20"/>
              </w:rPr>
              <w:t>77.71 (9.06)</w:t>
            </w:r>
          </w:p>
        </w:tc>
        <w:tc>
          <w:tcPr>
            <w:tcW w:w="2133" w:type="dxa"/>
            <w:tcBorders>
              <w:top w:val="nil"/>
              <w:left w:val="nil"/>
              <w:bottom w:val="nil"/>
              <w:right w:val="nil"/>
            </w:tcBorders>
          </w:tcPr>
          <w:p w14:paraId="48348360" w14:textId="77777777" w:rsidR="007435C5" w:rsidRPr="00D45754" w:rsidRDefault="007435C5" w:rsidP="00DD18FE">
            <w:pPr>
              <w:jc w:val="center"/>
              <w:rPr>
                <w:sz w:val="20"/>
                <w:szCs w:val="20"/>
              </w:rPr>
            </w:pPr>
            <w:r w:rsidRPr="00D45754">
              <w:rPr>
                <w:sz w:val="20"/>
                <w:szCs w:val="20"/>
              </w:rPr>
              <w:t>71.50 (7.52)</w:t>
            </w:r>
          </w:p>
        </w:tc>
        <w:tc>
          <w:tcPr>
            <w:tcW w:w="2437" w:type="dxa"/>
            <w:tcBorders>
              <w:top w:val="nil"/>
              <w:left w:val="nil"/>
              <w:bottom w:val="nil"/>
              <w:right w:val="nil"/>
            </w:tcBorders>
          </w:tcPr>
          <w:p w14:paraId="21A0D990" w14:textId="77777777" w:rsidR="007435C5" w:rsidRPr="00D45754" w:rsidRDefault="007435C5" w:rsidP="00DD18FE">
            <w:pPr>
              <w:rPr>
                <w:sz w:val="20"/>
                <w:szCs w:val="20"/>
              </w:rPr>
            </w:pPr>
            <w:r w:rsidRPr="00D45754">
              <w:rPr>
                <w:i/>
                <w:sz w:val="20"/>
                <w:szCs w:val="20"/>
              </w:rPr>
              <w:t>F</w:t>
            </w:r>
            <w:r w:rsidRPr="00D45754">
              <w:rPr>
                <w:sz w:val="20"/>
                <w:szCs w:val="20"/>
              </w:rPr>
              <w:t>(1,1476)= 157.60***</w:t>
            </w:r>
          </w:p>
        </w:tc>
      </w:tr>
      <w:tr w:rsidR="007435C5" w:rsidRPr="00D45754" w14:paraId="72F1F129" w14:textId="77777777" w:rsidTr="00C525BC">
        <w:trPr>
          <w:trHeight w:val="461"/>
        </w:trPr>
        <w:tc>
          <w:tcPr>
            <w:tcW w:w="3192" w:type="dxa"/>
            <w:tcBorders>
              <w:top w:val="nil"/>
              <w:left w:val="nil"/>
              <w:bottom w:val="nil"/>
              <w:right w:val="nil"/>
            </w:tcBorders>
          </w:tcPr>
          <w:p w14:paraId="1B662608" w14:textId="77777777" w:rsidR="007435C5" w:rsidRPr="00D45754" w:rsidRDefault="007435C5" w:rsidP="00DD18FE">
            <w:pPr>
              <w:tabs>
                <w:tab w:val="left" w:pos="167"/>
              </w:tabs>
              <w:rPr>
                <w:sz w:val="20"/>
                <w:szCs w:val="20"/>
              </w:rPr>
            </w:pPr>
            <w:r w:rsidRPr="00D45754">
              <w:rPr>
                <w:sz w:val="20"/>
                <w:szCs w:val="20"/>
              </w:rPr>
              <w:t xml:space="preserve"># household members </w:t>
            </w:r>
            <w:r w:rsidRPr="00D45754">
              <w:rPr>
                <w:i/>
                <w:sz w:val="20"/>
                <w:szCs w:val="20"/>
              </w:rPr>
              <w:t>M</w:t>
            </w:r>
            <w:r w:rsidRPr="00D45754">
              <w:rPr>
                <w:sz w:val="20"/>
                <w:szCs w:val="20"/>
              </w:rPr>
              <w:t>(</w:t>
            </w:r>
            <w:r w:rsidRPr="00D45754">
              <w:rPr>
                <w:i/>
                <w:sz w:val="20"/>
                <w:szCs w:val="20"/>
              </w:rPr>
              <w:t>SD</w:t>
            </w:r>
            <w:r w:rsidRPr="00D45754">
              <w:rPr>
                <w:sz w:val="20"/>
                <w:szCs w:val="20"/>
              </w:rPr>
              <w:t>)</w:t>
            </w:r>
          </w:p>
        </w:tc>
        <w:tc>
          <w:tcPr>
            <w:tcW w:w="1905" w:type="dxa"/>
            <w:tcBorders>
              <w:top w:val="nil"/>
              <w:left w:val="nil"/>
              <w:bottom w:val="nil"/>
              <w:right w:val="nil"/>
            </w:tcBorders>
          </w:tcPr>
          <w:p w14:paraId="38CDC5FE" w14:textId="77777777" w:rsidR="007435C5" w:rsidRPr="00D45754" w:rsidRDefault="007435C5" w:rsidP="00DD18FE">
            <w:pPr>
              <w:jc w:val="center"/>
              <w:rPr>
                <w:sz w:val="20"/>
                <w:szCs w:val="20"/>
              </w:rPr>
            </w:pPr>
            <w:r w:rsidRPr="00D45754">
              <w:rPr>
                <w:sz w:val="20"/>
                <w:szCs w:val="20"/>
              </w:rPr>
              <w:t>0.61 (0.57)</w:t>
            </w:r>
          </w:p>
        </w:tc>
        <w:tc>
          <w:tcPr>
            <w:tcW w:w="2133" w:type="dxa"/>
            <w:tcBorders>
              <w:top w:val="nil"/>
              <w:left w:val="nil"/>
              <w:bottom w:val="nil"/>
              <w:right w:val="nil"/>
            </w:tcBorders>
          </w:tcPr>
          <w:p w14:paraId="493166E2" w14:textId="77777777" w:rsidR="007435C5" w:rsidRPr="00D45754" w:rsidRDefault="007435C5" w:rsidP="00DD18FE">
            <w:pPr>
              <w:jc w:val="center"/>
              <w:rPr>
                <w:sz w:val="20"/>
                <w:szCs w:val="20"/>
              </w:rPr>
            </w:pPr>
            <w:r w:rsidRPr="00D45754">
              <w:rPr>
                <w:sz w:val="20"/>
                <w:szCs w:val="20"/>
              </w:rPr>
              <w:t>0.77 (0.60)</w:t>
            </w:r>
          </w:p>
        </w:tc>
        <w:tc>
          <w:tcPr>
            <w:tcW w:w="2437" w:type="dxa"/>
            <w:tcBorders>
              <w:top w:val="nil"/>
              <w:left w:val="nil"/>
              <w:bottom w:val="nil"/>
              <w:right w:val="nil"/>
            </w:tcBorders>
          </w:tcPr>
          <w:p w14:paraId="0744BC21" w14:textId="77777777" w:rsidR="007435C5" w:rsidRPr="00D45754" w:rsidRDefault="007435C5" w:rsidP="00DD18FE">
            <w:pPr>
              <w:rPr>
                <w:sz w:val="20"/>
                <w:szCs w:val="20"/>
              </w:rPr>
            </w:pPr>
            <w:r w:rsidRPr="00D45754">
              <w:rPr>
                <w:i/>
                <w:sz w:val="20"/>
                <w:szCs w:val="20"/>
              </w:rPr>
              <w:t>F</w:t>
            </w:r>
            <w:r w:rsidRPr="00D45754">
              <w:rPr>
                <w:sz w:val="20"/>
                <w:szCs w:val="20"/>
              </w:rPr>
              <w:t>(1,1447)= 17.30***</w:t>
            </w:r>
          </w:p>
        </w:tc>
      </w:tr>
      <w:tr w:rsidR="007435C5" w:rsidRPr="00D45754" w14:paraId="2F9338B2" w14:textId="77777777" w:rsidTr="00C525BC">
        <w:trPr>
          <w:trHeight w:val="245"/>
        </w:trPr>
        <w:tc>
          <w:tcPr>
            <w:tcW w:w="3192" w:type="dxa"/>
            <w:tcBorders>
              <w:top w:val="nil"/>
              <w:left w:val="nil"/>
              <w:bottom w:val="nil"/>
              <w:right w:val="nil"/>
            </w:tcBorders>
          </w:tcPr>
          <w:p w14:paraId="46BDB46B" w14:textId="77777777" w:rsidR="007435C5" w:rsidRPr="00D45754" w:rsidRDefault="007435C5" w:rsidP="00DD18FE">
            <w:pPr>
              <w:tabs>
                <w:tab w:val="left" w:pos="167"/>
              </w:tabs>
              <w:rPr>
                <w:sz w:val="20"/>
                <w:szCs w:val="20"/>
              </w:rPr>
            </w:pPr>
            <w:r w:rsidRPr="00D45754">
              <w:rPr>
                <w:sz w:val="20"/>
                <w:szCs w:val="20"/>
              </w:rPr>
              <w:t xml:space="preserve"># medicines </w:t>
            </w:r>
            <w:r w:rsidRPr="00D45754">
              <w:rPr>
                <w:i/>
                <w:sz w:val="20"/>
                <w:szCs w:val="20"/>
              </w:rPr>
              <w:t>M</w:t>
            </w:r>
            <w:r w:rsidRPr="00D45754">
              <w:rPr>
                <w:sz w:val="20"/>
                <w:szCs w:val="20"/>
              </w:rPr>
              <w:t>(</w:t>
            </w:r>
            <w:r w:rsidRPr="00D45754">
              <w:rPr>
                <w:i/>
                <w:sz w:val="20"/>
                <w:szCs w:val="20"/>
              </w:rPr>
              <w:t>SD</w:t>
            </w:r>
            <w:r w:rsidRPr="00D45754">
              <w:rPr>
                <w:sz w:val="20"/>
                <w:szCs w:val="20"/>
              </w:rPr>
              <w:t>)</w:t>
            </w:r>
          </w:p>
        </w:tc>
        <w:tc>
          <w:tcPr>
            <w:tcW w:w="1905" w:type="dxa"/>
            <w:tcBorders>
              <w:top w:val="nil"/>
              <w:left w:val="nil"/>
              <w:bottom w:val="nil"/>
              <w:right w:val="nil"/>
            </w:tcBorders>
          </w:tcPr>
          <w:p w14:paraId="76BF56E4" w14:textId="77777777" w:rsidR="007435C5" w:rsidRPr="00D45754" w:rsidRDefault="007435C5" w:rsidP="00DD18FE">
            <w:pPr>
              <w:jc w:val="center"/>
              <w:rPr>
                <w:sz w:val="20"/>
                <w:szCs w:val="20"/>
              </w:rPr>
            </w:pPr>
            <w:r w:rsidRPr="00D45754">
              <w:rPr>
                <w:sz w:val="20"/>
                <w:szCs w:val="20"/>
              </w:rPr>
              <w:t>4.43 (3.20)</w:t>
            </w:r>
          </w:p>
        </w:tc>
        <w:tc>
          <w:tcPr>
            <w:tcW w:w="2133" w:type="dxa"/>
            <w:tcBorders>
              <w:top w:val="nil"/>
              <w:left w:val="nil"/>
              <w:bottom w:val="nil"/>
              <w:right w:val="nil"/>
            </w:tcBorders>
          </w:tcPr>
          <w:p w14:paraId="257569DB" w14:textId="77777777" w:rsidR="007435C5" w:rsidRPr="00D45754" w:rsidRDefault="007435C5" w:rsidP="00DD18FE">
            <w:pPr>
              <w:jc w:val="center"/>
              <w:rPr>
                <w:sz w:val="20"/>
                <w:szCs w:val="20"/>
              </w:rPr>
            </w:pPr>
            <w:r w:rsidRPr="00D45754">
              <w:rPr>
                <w:sz w:val="20"/>
                <w:szCs w:val="20"/>
              </w:rPr>
              <w:t>2.98 (2.76)</w:t>
            </w:r>
          </w:p>
        </w:tc>
        <w:tc>
          <w:tcPr>
            <w:tcW w:w="2437" w:type="dxa"/>
            <w:tcBorders>
              <w:top w:val="nil"/>
              <w:left w:val="nil"/>
              <w:bottom w:val="nil"/>
              <w:right w:val="nil"/>
            </w:tcBorders>
          </w:tcPr>
          <w:p w14:paraId="246AC84F" w14:textId="77777777" w:rsidR="007435C5" w:rsidRPr="00D45754" w:rsidRDefault="007435C5" w:rsidP="00DD18FE">
            <w:pPr>
              <w:rPr>
                <w:sz w:val="20"/>
                <w:szCs w:val="20"/>
              </w:rPr>
            </w:pPr>
            <w:r w:rsidRPr="00D45754">
              <w:rPr>
                <w:i/>
                <w:sz w:val="20"/>
                <w:szCs w:val="20"/>
              </w:rPr>
              <w:t>F</w:t>
            </w:r>
            <w:r w:rsidRPr="00D45754">
              <w:rPr>
                <w:sz w:val="20"/>
                <w:szCs w:val="20"/>
              </w:rPr>
              <w:t>(1,1415)= 59.89***</w:t>
            </w:r>
          </w:p>
        </w:tc>
      </w:tr>
      <w:tr w:rsidR="007435C5" w:rsidRPr="00D45754" w14:paraId="23D13187" w14:textId="77777777" w:rsidTr="00C525BC">
        <w:trPr>
          <w:trHeight w:val="230"/>
        </w:trPr>
        <w:tc>
          <w:tcPr>
            <w:tcW w:w="3192" w:type="dxa"/>
            <w:tcBorders>
              <w:top w:val="nil"/>
              <w:left w:val="nil"/>
              <w:bottom w:val="nil"/>
              <w:right w:val="nil"/>
            </w:tcBorders>
          </w:tcPr>
          <w:p w14:paraId="3DF2CEC5" w14:textId="77777777" w:rsidR="007435C5" w:rsidRPr="00D45754" w:rsidRDefault="007435C5" w:rsidP="00DD18FE">
            <w:pPr>
              <w:tabs>
                <w:tab w:val="left" w:pos="167"/>
              </w:tabs>
              <w:rPr>
                <w:sz w:val="20"/>
                <w:szCs w:val="20"/>
              </w:rPr>
            </w:pPr>
            <w:r w:rsidRPr="00D45754">
              <w:rPr>
                <w:sz w:val="20"/>
                <w:szCs w:val="20"/>
              </w:rPr>
              <w:t xml:space="preserve">Raven A-score </w:t>
            </w:r>
            <w:r w:rsidRPr="00D45754">
              <w:rPr>
                <w:i/>
                <w:sz w:val="20"/>
                <w:szCs w:val="20"/>
              </w:rPr>
              <w:t>M</w:t>
            </w:r>
            <w:r w:rsidRPr="00D45754">
              <w:rPr>
                <w:sz w:val="20"/>
                <w:szCs w:val="20"/>
              </w:rPr>
              <w:t>(</w:t>
            </w:r>
            <w:r w:rsidRPr="00D45754">
              <w:rPr>
                <w:i/>
                <w:sz w:val="20"/>
                <w:szCs w:val="20"/>
              </w:rPr>
              <w:t>SD</w:t>
            </w:r>
            <w:r w:rsidRPr="00D45754">
              <w:rPr>
                <w:sz w:val="20"/>
                <w:szCs w:val="20"/>
              </w:rPr>
              <w:t>)</w:t>
            </w:r>
          </w:p>
        </w:tc>
        <w:tc>
          <w:tcPr>
            <w:tcW w:w="1905" w:type="dxa"/>
            <w:tcBorders>
              <w:top w:val="nil"/>
              <w:left w:val="nil"/>
              <w:bottom w:val="nil"/>
              <w:right w:val="nil"/>
            </w:tcBorders>
          </w:tcPr>
          <w:p w14:paraId="26F327B2" w14:textId="77777777" w:rsidR="007435C5" w:rsidRPr="00D45754" w:rsidRDefault="007435C5" w:rsidP="00DD18FE">
            <w:pPr>
              <w:jc w:val="center"/>
              <w:rPr>
                <w:sz w:val="20"/>
                <w:szCs w:val="20"/>
              </w:rPr>
            </w:pPr>
            <w:r w:rsidRPr="00D45754">
              <w:rPr>
                <w:sz w:val="20"/>
                <w:szCs w:val="20"/>
              </w:rPr>
              <w:t>9.17 (3.02)</w:t>
            </w:r>
          </w:p>
        </w:tc>
        <w:tc>
          <w:tcPr>
            <w:tcW w:w="2133" w:type="dxa"/>
            <w:tcBorders>
              <w:top w:val="nil"/>
              <w:left w:val="nil"/>
              <w:bottom w:val="nil"/>
              <w:right w:val="nil"/>
            </w:tcBorders>
          </w:tcPr>
          <w:p w14:paraId="5946A01E" w14:textId="77777777" w:rsidR="007435C5" w:rsidRPr="00D45754" w:rsidRDefault="007435C5" w:rsidP="00DD18FE">
            <w:pPr>
              <w:jc w:val="center"/>
              <w:rPr>
                <w:sz w:val="20"/>
                <w:szCs w:val="20"/>
              </w:rPr>
            </w:pPr>
            <w:r w:rsidRPr="00D45754">
              <w:rPr>
                <w:sz w:val="20"/>
                <w:szCs w:val="20"/>
              </w:rPr>
              <w:t>10.40 (1.94)</w:t>
            </w:r>
          </w:p>
        </w:tc>
        <w:tc>
          <w:tcPr>
            <w:tcW w:w="2437" w:type="dxa"/>
            <w:tcBorders>
              <w:top w:val="nil"/>
              <w:left w:val="nil"/>
              <w:bottom w:val="nil"/>
              <w:right w:val="nil"/>
            </w:tcBorders>
          </w:tcPr>
          <w:p w14:paraId="0579918B" w14:textId="77777777" w:rsidR="007435C5" w:rsidRPr="00D45754" w:rsidRDefault="007435C5" w:rsidP="00DD18FE">
            <w:pPr>
              <w:rPr>
                <w:sz w:val="20"/>
                <w:szCs w:val="20"/>
              </w:rPr>
            </w:pPr>
            <w:r w:rsidRPr="00D45754">
              <w:rPr>
                <w:i/>
                <w:sz w:val="20"/>
                <w:szCs w:val="20"/>
              </w:rPr>
              <w:t>F</w:t>
            </w:r>
            <w:r w:rsidRPr="00D45754">
              <w:rPr>
                <w:sz w:val="20"/>
                <w:szCs w:val="20"/>
              </w:rPr>
              <w:t>(1,1415)= 72.36***</w:t>
            </w:r>
          </w:p>
        </w:tc>
      </w:tr>
      <w:tr w:rsidR="007435C5" w:rsidRPr="00D45754" w14:paraId="60D49591" w14:textId="77777777" w:rsidTr="00C525BC">
        <w:trPr>
          <w:trHeight w:val="230"/>
        </w:trPr>
        <w:tc>
          <w:tcPr>
            <w:tcW w:w="3192" w:type="dxa"/>
            <w:tcBorders>
              <w:top w:val="nil"/>
              <w:left w:val="nil"/>
              <w:bottom w:val="nil"/>
              <w:right w:val="nil"/>
            </w:tcBorders>
          </w:tcPr>
          <w:p w14:paraId="2B65CC14" w14:textId="77777777" w:rsidR="007435C5" w:rsidRPr="00D45754" w:rsidRDefault="007435C5" w:rsidP="00DD18FE">
            <w:pPr>
              <w:tabs>
                <w:tab w:val="left" w:pos="167"/>
              </w:tabs>
              <w:rPr>
                <w:sz w:val="20"/>
                <w:szCs w:val="20"/>
              </w:rPr>
            </w:pPr>
            <w:r w:rsidRPr="00D45754">
              <w:rPr>
                <w:sz w:val="20"/>
                <w:szCs w:val="20"/>
              </w:rPr>
              <w:t xml:space="preserve">Raven B-score </w:t>
            </w:r>
            <w:r w:rsidRPr="00D45754">
              <w:rPr>
                <w:i/>
                <w:sz w:val="20"/>
                <w:szCs w:val="20"/>
              </w:rPr>
              <w:t>M</w:t>
            </w:r>
            <w:r w:rsidRPr="00D45754">
              <w:rPr>
                <w:sz w:val="20"/>
                <w:szCs w:val="20"/>
              </w:rPr>
              <w:t>(</w:t>
            </w:r>
            <w:r w:rsidRPr="00D45754">
              <w:rPr>
                <w:i/>
                <w:sz w:val="20"/>
                <w:szCs w:val="20"/>
              </w:rPr>
              <w:t>SD</w:t>
            </w:r>
            <w:r w:rsidRPr="00D45754">
              <w:rPr>
                <w:sz w:val="20"/>
                <w:szCs w:val="20"/>
              </w:rPr>
              <w:t>)</w:t>
            </w:r>
          </w:p>
        </w:tc>
        <w:tc>
          <w:tcPr>
            <w:tcW w:w="1905" w:type="dxa"/>
            <w:tcBorders>
              <w:top w:val="nil"/>
              <w:left w:val="nil"/>
              <w:bottom w:val="nil"/>
              <w:right w:val="nil"/>
            </w:tcBorders>
          </w:tcPr>
          <w:p w14:paraId="7B52F267" w14:textId="77777777" w:rsidR="007435C5" w:rsidRPr="00D45754" w:rsidRDefault="007435C5" w:rsidP="00DD18FE">
            <w:pPr>
              <w:jc w:val="center"/>
              <w:rPr>
                <w:sz w:val="20"/>
                <w:szCs w:val="20"/>
              </w:rPr>
            </w:pPr>
            <w:r w:rsidRPr="00D45754">
              <w:rPr>
                <w:sz w:val="20"/>
                <w:szCs w:val="20"/>
              </w:rPr>
              <w:t>6.57 (3.40)</w:t>
            </w:r>
          </w:p>
        </w:tc>
        <w:tc>
          <w:tcPr>
            <w:tcW w:w="2133" w:type="dxa"/>
            <w:tcBorders>
              <w:top w:val="nil"/>
              <w:left w:val="nil"/>
              <w:bottom w:val="nil"/>
              <w:right w:val="nil"/>
            </w:tcBorders>
          </w:tcPr>
          <w:p w14:paraId="382A6323" w14:textId="77777777" w:rsidR="007435C5" w:rsidRPr="00D45754" w:rsidRDefault="007435C5" w:rsidP="00DD18FE">
            <w:pPr>
              <w:jc w:val="center"/>
              <w:rPr>
                <w:sz w:val="20"/>
                <w:szCs w:val="20"/>
              </w:rPr>
            </w:pPr>
            <w:r w:rsidRPr="00D45754">
              <w:rPr>
                <w:sz w:val="20"/>
                <w:szCs w:val="20"/>
              </w:rPr>
              <w:t>8.72 (2.73)</w:t>
            </w:r>
          </w:p>
        </w:tc>
        <w:tc>
          <w:tcPr>
            <w:tcW w:w="2437" w:type="dxa"/>
            <w:tcBorders>
              <w:top w:val="nil"/>
              <w:left w:val="nil"/>
              <w:bottom w:val="nil"/>
              <w:right w:val="nil"/>
            </w:tcBorders>
          </w:tcPr>
          <w:p w14:paraId="4D2A0A29" w14:textId="77777777" w:rsidR="007435C5" w:rsidRPr="00D45754" w:rsidRDefault="007435C5" w:rsidP="00DD18FE">
            <w:pPr>
              <w:rPr>
                <w:sz w:val="20"/>
                <w:szCs w:val="20"/>
              </w:rPr>
            </w:pPr>
            <w:r w:rsidRPr="00D45754">
              <w:rPr>
                <w:i/>
                <w:sz w:val="20"/>
                <w:szCs w:val="20"/>
              </w:rPr>
              <w:t>F</w:t>
            </w:r>
            <w:r w:rsidRPr="00D45754">
              <w:rPr>
                <w:sz w:val="20"/>
                <w:szCs w:val="20"/>
              </w:rPr>
              <w:t>(2,1415)= 129.10***</w:t>
            </w:r>
          </w:p>
        </w:tc>
      </w:tr>
      <w:tr w:rsidR="007435C5" w:rsidRPr="00D45754" w14:paraId="0081E1FF" w14:textId="77777777" w:rsidTr="00C525BC">
        <w:trPr>
          <w:trHeight w:val="245"/>
        </w:trPr>
        <w:tc>
          <w:tcPr>
            <w:tcW w:w="3192" w:type="dxa"/>
            <w:tcBorders>
              <w:top w:val="nil"/>
              <w:left w:val="nil"/>
              <w:bottom w:val="nil"/>
              <w:right w:val="nil"/>
            </w:tcBorders>
          </w:tcPr>
          <w:p w14:paraId="567AD13D" w14:textId="77777777" w:rsidR="007435C5" w:rsidRPr="00D45754" w:rsidRDefault="007435C5" w:rsidP="00DD18FE">
            <w:pPr>
              <w:tabs>
                <w:tab w:val="left" w:pos="167"/>
              </w:tabs>
              <w:rPr>
                <w:sz w:val="20"/>
                <w:szCs w:val="20"/>
              </w:rPr>
            </w:pPr>
            <w:r w:rsidRPr="00D45754">
              <w:rPr>
                <w:sz w:val="20"/>
                <w:szCs w:val="20"/>
              </w:rPr>
              <w:t xml:space="preserve">ADHD-score </w:t>
            </w:r>
            <w:r w:rsidRPr="00D45754">
              <w:rPr>
                <w:i/>
                <w:sz w:val="20"/>
                <w:szCs w:val="20"/>
              </w:rPr>
              <w:t>M</w:t>
            </w:r>
            <w:r w:rsidRPr="00D45754">
              <w:rPr>
                <w:sz w:val="20"/>
                <w:szCs w:val="20"/>
              </w:rPr>
              <w:t>(</w:t>
            </w:r>
            <w:r w:rsidRPr="00D45754">
              <w:rPr>
                <w:i/>
                <w:sz w:val="20"/>
                <w:szCs w:val="20"/>
              </w:rPr>
              <w:t>SD</w:t>
            </w:r>
            <w:r w:rsidRPr="00D45754">
              <w:rPr>
                <w:sz w:val="20"/>
                <w:szCs w:val="20"/>
              </w:rPr>
              <w:t>)</w:t>
            </w:r>
          </w:p>
        </w:tc>
        <w:tc>
          <w:tcPr>
            <w:tcW w:w="1905" w:type="dxa"/>
            <w:tcBorders>
              <w:top w:val="nil"/>
              <w:left w:val="nil"/>
              <w:bottom w:val="nil"/>
              <w:right w:val="nil"/>
            </w:tcBorders>
          </w:tcPr>
          <w:p w14:paraId="40B9EAC6" w14:textId="77777777" w:rsidR="007435C5" w:rsidRPr="00D45754" w:rsidRDefault="007435C5" w:rsidP="00DD18FE">
            <w:pPr>
              <w:jc w:val="center"/>
              <w:rPr>
                <w:sz w:val="20"/>
                <w:szCs w:val="20"/>
              </w:rPr>
            </w:pPr>
            <w:r w:rsidRPr="00D45754">
              <w:rPr>
                <w:sz w:val="20"/>
                <w:szCs w:val="20"/>
              </w:rPr>
              <w:t>0.64 (1.17)</w:t>
            </w:r>
          </w:p>
        </w:tc>
        <w:tc>
          <w:tcPr>
            <w:tcW w:w="2133" w:type="dxa"/>
            <w:tcBorders>
              <w:top w:val="nil"/>
              <w:left w:val="nil"/>
              <w:bottom w:val="nil"/>
              <w:right w:val="nil"/>
            </w:tcBorders>
          </w:tcPr>
          <w:p w14:paraId="37709110" w14:textId="77777777" w:rsidR="007435C5" w:rsidRPr="00D45754" w:rsidRDefault="007435C5" w:rsidP="00DD18FE">
            <w:pPr>
              <w:jc w:val="center"/>
              <w:rPr>
                <w:sz w:val="20"/>
                <w:szCs w:val="20"/>
              </w:rPr>
            </w:pPr>
            <w:r w:rsidRPr="00D45754">
              <w:rPr>
                <w:sz w:val="20"/>
                <w:szCs w:val="20"/>
              </w:rPr>
              <w:t>0.58 (1.21)</w:t>
            </w:r>
          </w:p>
        </w:tc>
        <w:tc>
          <w:tcPr>
            <w:tcW w:w="2437" w:type="dxa"/>
            <w:tcBorders>
              <w:top w:val="nil"/>
              <w:left w:val="nil"/>
              <w:bottom w:val="nil"/>
              <w:right w:val="nil"/>
            </w:tcBorders>
          </w:tcPr>
          <w:p w14:paraId="7479D233" w14:textId="77777777" w:rsidR="007435C5" w:rsidRPr="00D45754" w:rsidRDefault="007435C5" w:rsidP="00DD18FE">
            <w:pPr>
              <w:rPr>
                <w:sz w:val="20"/>
                <w:szCs w:val="20"/>
              </w:rPr>
            </w:pPr>
            <w:r w:rsidRPr="00D45754">
              <w:rPr>
                <w:i/>
                <w:sz w:val="20"/>
                <w:szCs w:val="20"/>
              </w:rPr>
              <w:t>F</w:t>
            </w:r>
            <w:r>
              <w:rPr>
                <w:sz w:val="20"/>
                <w:szCs w:val="20"/>
              </w:rPr>
              <w:t xml:space="preserve">&lt;1 </w:t>
            </w:r>
          </w:p>
        </w:tc>
      </w:tr>
      <w:tr w:rsidR="007435C5" w:rsidRPr="00D45754" w14:paraId="1102339F" w14:textId="77777777" w:rsidTr="00C525BC">
        <w:trPr>
          <w:trHeight w:val="245"/>
        </w:trPr>
        <w:tc>
          <w:tcPr>
            <w:tcW w:w="3192" w:type="dxa"/>
            <w:tcBorders>
              <w:top w:val="nil"/>
              <w:left w:val="nil"/>
              <w:bottom w:val="nil"/>
              <w:right w:val="nil"/>
            </w:tcBorders>
          </w:tcPr>
          <w:p w14:paraId="11C7A3AB" w14:textId="77777777" w:rsidR="007435C5" w:rsidRPr="00D45754" w:rsidRDefault="007435C5" w:rsidP="00DD18FE">
            <w:pPr>
              <w:tabs>
                <w:tab w:val="left" w:pos="167"/>
              </w:tabs>
              <w:rPr>
                <w:sz w:val="20"/>
                <w:szCs w:val="20"/>
              </w:rPr>
            </w:pPr>
            <w:r w:rsidRPr="00D45754">
              <w:rPr>
                <w:sz w:val="20"/>
                <w:szCs w:val="20"/>
              </w:rPr>
              <w:t>Gender</w:t>
            </w:r>
          </w:p>
        </w:tc>
        <w:tc>
          <w:tcPr>
            <w:tcW w:w="1905" w:type="dxa"/>
            <w:tcBorders>
              <w:top w:val="nil"/>
              <w:left w:val="nil"/>
              <w:bottom w:val="nil"/>
              <w:right w:val="nil"/>
            </w:tcBorders>
          </w:tcPr>
          <w:p w14:paraId="32DE9B29" w14:textId="77777777" w:rsidR="007435C5" w:rsidRPr="00D45754" w:rsidRDefault="007435C5" w:rsidP="00DD18FE">
            <w:pPr>
              <w:jc w:val="center"/>
              <w:rPr>
                <w:sz w:val="20"/>
                <w:szCs w:val="20"/>
              </w:rPr>
            </w:pPr>
          </w:p>
        </w:tc>
        <w:tc>
          <w:tcPr>
            <w:tcW w:w="2133" w:type="dxa"/>
            <w:tcBorders>
              <w:top w:val="nil"/>
              <w:left w:val="nil"/>
              <w:bottom w:val="nil"/>
              <w:right w:val="nil"/>
            </w:tcBorders>
          </w:tcPr>
          <w:p w14:paraId="20F3302D" w14:textId="77777777" w:rsidR="007435C5" w:rsidRPr="00D45754" w:rsidRDefault="007435C5" w:rsidP="00DD18FE">
            <w:pPr>
              <w:jc w:val="center"/>
              <w:rPr>
                <w:sz w:val="20"/>
                <w:szCs w:val="20"/>
              </w:rPr>
            </w:pPr>
          </w:p>
        </w:tc>
        <w:tc>
          <w:tcPr>
            <w:tcW w:w="2437" w:type="dxa"/>
            <w:tcBorders>
              <w:top w:val="nil"/>
              <w:left w:val="nil"/>
              <w:bottom w:val="nil"/>
              <w:right w:val="nil"/>
            </w:tcBorders>
          </w:tcPr>
          <w:p w14:paraId="2C8BF9FD" w14:textId="77777777" w:rsidR="007435C5" w:rsidRPr="00D45754" w:rsidRDefault="007435C5" w:rsidP="00DD18FE">
            <w:pPr>
              <w:rPr>
                <w:sz w:val="20"/>
                <w:szCs w:val="20"/>
              </w:rPr>
            </w:pPr>
            <w:r w:rsidRPr="00D45754">
              <w:rPr>
                <w:sz w:val="20"/>
                <w:szCs w:val="20"/>
              </w:rPr>
              <w:sym w:font="Symbol" w:char="F063"/>
            </w:r>
            <w:r w:rsidRPr="00D45754">
              <w:rPr>
                <w:sz w:val="20"/>
                <w:szCs w:val="20"/>
                <w:vertAlign w:val="superscript"/>
              </w:rPr>
              <w:t>2</w:t>
            </w:r>
            <w:r w:rsidRPr="00D45754">
              <w:rPr>
                <w:sz w:val="20"/>
                <w:szCs w:val="20"/>
              </w:rPr>
              <w:t>(1)</w:t>
            </w:r>
            <w:r w:rsidRPr="00D45754">
              <w:rPr>
                <w:sz w:val="20"/>
                <w:szCs w:val="20"/>
                <w:vertAlign w:val="superscript"/>
              </w:rPr>
              <w:t xml:space="preserve"> </w:t>
            </w:r>
            <w:r w:rsidRPr="00D45754">
              <w:rPr>
                <w:sz w:val="20"/>
                <w:szCs w:val="20"/>
              </w:rPr>
              <w:t>= 0.03</w:t>
            </w:r>
          </w:p>
        </w:tc>
      </w:tr>
      <w:tr w:rsidR="007435C5" w:rsidRPr="00D45754" w14:paraId="313927BB" w14:textId="77777777" w:rsidTr="00C525BC">
        <w:trPr>
          <w:trHeight w:val="230"/>
        </w:trPr>
        <w:tc>
          <w:tcPr>
            <w:tcW w:w="3192" w:type="dxa"/>
            <w:tcBorders>
              <w:top w:val="nil"/>
              <w:left w:val="nil"/>
              <w:bottom w:val="nil"/>
              <w:right w:val="nil"/>
            </w:tcBorders>
          </w:tcPr>
          <w:p w14:paraId="1C830848" w14:textId="77777777" w:rsidR="007435C5" w:rsidRPr="00D45754" w:rsidRDefault="007435C5" w:rsidP="00DD18FE">
            <w:pPr>
              <w:tabs>
                <w:tab w:val="left" w:pos="309"/>
              </w:tabs>
              <w:ind w:left="167" w:firstLine="101"/>
              <w:rPr>
                <w:sz w:val="20"/>
                <w:szCs w:val="20"/>
              </w:rPr>
            </w:pPr>
            <w:proofErr w:type="spellStart"/>
            <w:r w:rsidRPr="00D45754">
              <w:rPr>
                <w:sz w:val="20"/>
                <w:szCs w:val="20"/>
              </w:rPr>
              <w:t>N</w:t>
            </w:r>
            <w:r w:rsidRPr="00D45754">
              <w:rPr>
                <w:sz w:val="20"/>
                <w:szCs w:val="20"/>
                <w:vertAlign w:val="subscript"/>
              </w:rPr>
              <w:t>male</w:t>
            </w:r>
            <w:proofErr w:type="spellEnd"/>
            <w:r w:rsidRPr="00D45754">
              <w:rPr>
                <w:sz w:val="20"/>
                <w:szCs w:val="20"/>
              </w:rPr>
              <w:t xml:space="preserve"> (%)</w:t>
            </w:r>
          </w:p>
        </w:tc>
        <w:tc>
          <w:tcPr>
            <w:tcW w:w="1905" w:type="dxa"/>
            <w:tcBorders>
              <w:top w:val="nil"/>
              <w:left w:val="nil"/>
              <w:bottom w:val="nil"/>
              <w:right w:val="nil"/>
            </w:tcBorders>
          </w:tcPr>
          <w:p w14:paraId="69E1861C" w14:textId="77777777" w:rsidR="007435C5" w:rsidRPr="00D45754" w:rsidRDefault="007435C5" w:rsidP="00DD18FE">
            <w:pPr>
              <w:jc w:val="center"/>
              <w:rPr>
                <w:sz w:val="20"/>
                <w:szCs w:val="20"/>
              </w:rPr>
            </w:pPr>
            <w:r w:rsidRPr="00D45754">
              <w:rPr>
                <w:sz w:val="20"/>
                <w:szCs w:val="20"/>
              </w:rPr>
              <w:t>147 (45)</w:t>
            </w:r>
          </w:p>
        </w:tc>
        <w:tc>
          <w:tcPr>
            <w:tcW w:w="2133" w:type="dxa"/>
            <w:tcBorders>
              <w:top w:val="nil"/>
              <w:left w:val="nil"/>
              <w:bottom w:val="nil"/>
              <w:right w:val="nil"/>
            </w:tcBorders>
          </w:tcPr>
          <w:p w14:paraId="0BE2E177" w14:textId="77777777" w:rsidR="007435C5" w:rsidRPr="00D45754" w:rsidRDefault="007435C5" w:rsidP="00DD18FE">
            <w:pPr>
              <w:jc w:val="center"/>
              <w:rPr>
                <w:sz w:val="20"/>
                <w:szCs w:val="20"/>
              </w:rPr>
            </w:pPr>
            <w:r w:rsidRPr="00D45754">
              <w:rPr>
                <w:sz w:val="20"/>
                <w:szCs w:val="20"/>
              </w:rPr>
              <w:t>528 (46)</w:t>
            </w:r>
          </w:p>
        </w:tc>
        <w:tc>
          <w:tcPr>
            <w:tcW w:w="2437" w:type="dxa"/>
            <w:tcBorders>
              <w:top w:val="nil"/>
              <w:left w:val="nil"/>
              <w:bottom w:val="nil"/>
              <w:right w:val="nil"/>
            </w:tcBorders>
          </w:tcPr>
          <w:p w14:paraId="19F042A3" w14:textId="77777777" w:rsidR="007435C5" w:rsidRPr="00D45754" w:rsidRDefault="007435C5" w:rsidP="00DD18FE">
            <w:pPr>
              <w:rPr>
                <w:sz w:val="20"/>
                <w:szCs w:val="20"/>
              </w:rPr>
            </w:pPr>
          </w:p>
        </w:tc>
      </w:tr>
      <w:tr w:rsidR="007435C5" w:rsidRPr="00D45754" w14:paraId="17EC6A6D" w14:textId="77777777" w:rsidTr="00C525BC">
        <w:trPr>
          <w:trHeight w:val="245"/>
        </w:trPr>
        <w:tc>
          <w:tcPr>
            <w:tcW w:w="3192" w:type="dxa"/>
            <w:tcBorders>
              <w:top w:val="nil"/>
              <w:left w:val="nil"/>
              <w:bottom w:val="nil"/>
              <w:right w:val="nil"/>
            </w:tcBorders>
          </w:tcPr>
          <w:p w14:paraId="78B5F377" w14:textId="77777777" w:rsidR="007435C5" w:rsidRPr="00D45754" w:rsidRDefault="007435C5" w:rsidP="00DD18FE">
            <w:pPr>
              <w:tabs>
                <w:tab w:val="left" w:pos="309"/>
              </w:tabs>
              <w:ind w:left="167" w:firstLine="101"/>
              <w:rPr>
                <w:sz w:val="20"/>
                <w:szCs w:val="20"/>
              </w:rPr>
            </w:pPr>
            <w:proofErr w:type="spellStart"/>
            <w:r w:rsidRPr="00D45754">
              <w:rPr>
                <w:sz w:val="20"/>
                <w:szCs w:val="20"/>
              </w:rPr>
              <w:t>N</w:t>
            </w:r>
            <w:r w:rsidRPr="00D45754">
              <w:rPr>
                <w:sz w:val="20"/>
                <w:szCs w:val="20"/>
                <w:vertAlign w:val="subscript"/>
              </w:rPr>
              <w:t>female</w:t>
            </w:r>
            <w:proofErr w:type="spellEnd"/>
            <w:r w:rsidRPr="00D45754">
              <w:rPr>
                <w:sz w:val="20"/>
                <w:szCs w:val="20"/>
              </w:rPr>
              <w:t>(%)</w:t>
            </w:r>
          </w:p>
        </w:tc>
        <w:tc>
          <w:tcPr>
            <w:tcW w:w="1905" w:type="dxa"/>
            <w:tcBorders>
              <w:top w:val="nil"/>
              <w:left w:val="nil"/>
              <w:bottom w:val="nil"/>
              <w:right w:val="nil"/>
            </w:tcBorders>
          </w:tcPr>
          <w:p w14:paraId="774A27D2" w14:textId="77777777" w:rsidR="007435C5" w:rsidRPr="00D45754" w:rsidRDefault="007435C5" w:rsidP="00DD18FE">
            <w:pPr>
              <w:jc w:val="center"/>
              <w:rPr>
                <w:sz w:val="20"/>
                <w:szCs w:val="20"/>
              </w:rPr>
            </w:pPr>
            <w:r w:rsidRPr="00D45754">
              <w:rPr>
                <w:sz w:val="20"/>
                <w:szCs w:val="20"/>
              </w:rPr>
              <w:t>179 (55)</w:t>
            </w:r>
          </w:p>
        </w:tc>
        <w:tc>
          <w:tcPr>
            <w:tcW w:w="2133" w:type="dxa"/>
            <w:tcBorders>
              <w:top w:val="nil"/>
              <w:left w:val="nil"/>
              <w:bottom w:val="nil"/>
              <w:right w:val="nil"/>
            </w:tcBorders>
          </w:tcPr>
          <w:p w14:paraId="72E68C69" w14:textId="77777777" w:rsidR="007435C5" w:rsidRPr="00D45754" w:rsidRDefault="007435C5" w:rsidP="00DD18FE">
            <w:pPr>
              <w:jc w:val="center"/>
              <w:rPr>
                <w:sz w:val="20"/>
                <w:szCs w:val="20"/>
              </w:rPr>
            </w:pPr>
            <w:r w:rsidRPr="00D45754">
              <w:rPr>
                <w:sz w:val="20"/>
                <w:szCs w:val="20"/>
              </w:rPr>
              <w:t>624 (54)</w:t>
            </w:r>
          </w:p>
        </w:tc>
        <w:tc>
          <w:tcPr>
            <w:tcW w:w="2437" w:type="dxa"/>
            <w:tcBorders>
              <w:top w:val="nil"/>
              <w:left w:val="nil"/>
              <w:bottom w:val="nil"/>
              <w:right w:val="nil"/>
            </w:tcBorders>
          </w:tcPr>
          <w:p w14:paraId="11A5925B" w14:textId="77777777" w:rsidR="007435C5" w:rsidRPr="00D45754" w:rsidRDefault="007435C5" w:rsidP="00DD18FE">
            <w:pPr>
              <w:rPr>
                <w:sz w:val="20"/>
                <w:szCs w:val="20"/>
              </w:rPr>
            </w:pPr>
          </w:p>
        </w:tc>
      </w:tr>
      <w:tr w:rsidR="007435C5" w:rsidRPr="00D45754" w14:paraId="54EE6F7C" w14:textId="77777777" w:rsidTr="00C525BC">
        <w:trPr>
          <w:trHeight w:val="245"/>
        </w:trPr>
        <w:tc>
          <w:tcPr>
            <w:tcW w:w="3192" w:type="dxa"/>
            <w:tcBorders>
              <w:top w:val="nil"/>
              <w:left w:val="nil"/>
              <w:bottom w:val="nil"/>
              <w:right w:val="nil"/>
            </w:tcBorders>
          </w:tcPr>
          <w:p w14:paraId="63BBA85E" w14:textId="77777777" w:rsidR="007435C5" w:rsidRPr="00D45754" w:rsidRDefault="007435C5" w:rsidP="00DD18FE">
            <w:pPr>
              <w:tabs>
                <w:tab w:val="left" w:pos="167"/>
              </w:tabs>
              <w:rPr>
                <w:sz w:val="20"/>
                <w:szCs w:val="20"/>
              </w:rPr>
            </w:pPr>
            <w:r w:rsidRPr="00D45754">
              <w:rPr>
                <w:sz w:val="20"/>
                <w:szCs w:val="20"/>
              </w:rPr>
              <w:t xml:space="preserve">Country of Origin </w:t>
            </w:r>
          </w:p>
        </w:tc>
        <w:tc>
          <w:tcPr>
            <w:tcW w:w="1905" w:type="dxa"/>
            <w:tcBorders>
              <w:top w:val="nil"/>
              <w:left w:val="nil"/>
              <w:bottom w:val="nil"/>
              <w:right w:val="nil"/>
            </w:tcBorders>
          </w:tcPr>
          <w:p w14:paraId="31371702" w14:textId="77777777" w:rsidR="007435C5" w:rsidRPr="00D45754" w:rsidRDefault="007435C5" w:rsidP="00DD18FE">
            <w:pPr>
              <w:jc w:val="center"/>
              <w:rPr>
                <w:sz w:val="20"/>
                <w:szCs w:val="20"/>
              </w:rPr>
            </w:pPr>
          </w:p>
        </w:tc>
        <w:tc>
          <w:tcPr>
            <w:tcW w:w="2133" w:type="dxa"/>
            <w:tcBorders>
              <w:top w:val="nil"/>
              <w:left w:val="nil"/>
              <w:bottom w:val="nil"/>
              <w:right w:val="nil"/>
            </w:tcBorders>
          </w:tcPr>
          <w:p w14:paraId="297A810B" w14:textId="77777777" w:rsidR="007435C5" w:rsidRPr="00D45754" w:rsidRDefault="007435C5" w:rsidP="00DD18FE">
            <w:pPr>
              <w:jc w:val="center"/>
              <w:rPr>
                <w:sz w:val="20"/>
                <w:szCs w:val="20"/>
              </w:rPr>
            </w:pPr>
          </w:p>
        </w:tc>
        <w:tc>
          <w:tcPr>
            <w:tcW w:w="2437" w:type="dxa"/>
            <w:tcBorders>
              <w:top w:val="nil"/>
              <w:left w:val="nil"/>
              <w:bottom w:val="nil"/>
              <w:right w:val="nil"/>
            </w:tcBorders>
          </w:tcPr>
          <w:p w14:paraId="5BB54A40" w14:textId="77777777" w:rsidR="007435C5" w:rsidRPr="00D45754" w:rsidRDefault="007435C5" w:rsidP="00DD18FE">
            <w:pPr>
              <w:rPr>
                <w:sz w:val="20"/>
                <w:szCs w:val="20"/>
              </w:rPr>
            </w:pPr>
            <w:r w:rsidRPr="00D45754">
              <w:rPr>
                <w:sz w:val="20"/>
                <w:szCs w:val="20"/>
              </w:rPr>
              <w:sym w:font="Symbol" w:char="F063"/>
            </w:r>
            <w:r w:rsidRPr="00D45754">
              <w:rPr>
                <w:sz w:val="20"/>
                <w:szCs w:val="20"/>
                <w:vertAlign w:val="superscript"/>
              </w:rPr>
              <w:t>2</w:t>
            </w:r>
            <w:r w:rsidRPr="00D45754">
              <w:rPr>
                <w:sz w:val="20"/>
                <w:szCs w:val="20"/>
              </w:rPr>
              <w:t>(1)</w:t>
            </w:r>
            <w:r w:rsidRPr="00D45754">
              <w:rPr>
                <w:sz w:val="20"/>
                <w:szCs w:val="20"/>
                <w:vertAlign w:val="superscript"/>
              </w:rPr>
              <w:t xml:space="preserve"> </w:t>
            </w:r>
            <w:r w:rsidRPr="00D45754">
              <w:rPr>
                <w:sz w:val="20"/>
                <w:szCs w:val="20"/>
              </w:rPr>
              <w:t>= 0.40</w:t>
            </w:r>
          </w:p>
        </w:tc>
      </w:tr>
      <w:tr w:rsidR="007435C5" w:rsidRPr="00D45754" w14:paraId="030AD2D8" w14:textId="77777777" w:rsidTr="00C525BC">
        <w:trPr>
          <w:trHeight w:val="230"/>
        </w:trPr>
        <w:tc>
          <w:tcPr>
            <w:tcW w:w="3192" w:type="dxa"/>
            <w:tcBorders>
              <w:top w:val="nil"/>
              <w:left w:val="nil"/>
              <w:bottom w:val="nil"/>
              <w:right w:val="nil"/>
            </w:tcBorders>
          </w:tcPr>
          <w:p w14:paraId="5A37DA03" w14:textId="77777777" w:rsidR="007435C5" w:rsidRPr="00D45754" w:rsidRDefault="007435C5" w:rsidP="00DD18FE">
            <w:pPr>
              <w:tabs>
                <w:tab w:val="left" w:pos="309"/>
              </w:tabs>
              <w:ind w:left="167" w:firstLine="102"/>
              <w:rPr>
                <w:sz w:val="20"/>
                <w:szCs w:val="20"/>
              </w:rPr>
            </w:pPr>
            <w:proofErr w:type="spellStart"/>
            <w:r w:rsidRPr="00D45754">
              <w:rPr>
                <w:sz w:val="20"/>
                <w:szCs w:val="20"/>
              </w:rPr>
              <w:t>N</w:t>
            </w:r>
            <w:r w:rsidRPr="00D45754">
              <w:rPr>
                <w:sz w:val="20"/>
                <w:szCs w:val="20"/>
                <w:vertAlign w:val="subscript"/>
              </w:rPr>
              <w:t>Netherlands</w:t>
            </w:r>
            <w:proofErr w:type="spellEnd"/>
            <w:r w:rsidRPr="00D45754">
              <w:rPr>
                <w:sz w:val="20"/>
                <w:szCs w:val="20"/>
              </w:rPr>
              <w:t xml:space="preserve"> (%)</w:t>
            </w:r>
          </w:p>
        </w:tc>
        <w:tc>
          <w:tcPr>
            <w:tcW w:w="1905" w:type="dxa"/>
            <w:tcBorders>
              <w:top w:val="nil"/>
              <w:left w:val="nil"/>
              <w:bottom w:val="nil"/>
              <w:right w:val="nil"/>
            </w:tcBorders>
          </w:tcPr>
          <w:p w14:paraId="2BB3897F" w14:textId="77777777" w:rsidR="007435C5" w:rsidRPr="00D45754" w:rsidRDefault="007435C5" w:rsidP="00DD18FE">
            <w:pPr>
              <w:jc w:val="center"/>
              <w:rPr>
                <w:sz w:val="20"/>
                <w:szCs w:val="20"/>
              </w:rPr>
            </w:pPr>
            <w:r w:rsidRPr="00D45754">
              <w:rPr>
                <w:sz w:val="20"/>
                <w:szCs w:val="20"/>
              </w:rPr>
              <w:t>323 (99)</w:t>
            </w:r>
          </w:p>
        </w:tc>
        <w:tc>
          <w:tcPr>
            <w:tcW w:w="2133" w:type="dxa"/>
            <w:tcBorders>
              <w:top w:val="nil"/>
              <w:left w:val="nil"/>
              <w:bottom w:val="nil"/>
              <w:right w:val="nil"/>
            </w:tcBorders>
          </w:tcPr>
          <w:p w14:paraId="21AE8FE6" w14:textId="77777777" w:rsidR="007435C5" w:rsidRPr="00D45754" w:rsidRDefault="007435C5" w:rsidP="00DD18FE">
            <w:pPr>
              <w:jc w:val="center"/>
              <w:rPr>
                <w:sz w:val="20"/>
                <w:szCs w:val="20"/>
              </w:rPr>
            </w:pPr>
            <w:r w:rsidRPr="00D45754">
              <w:rPr>
                <w:sz w:val="20"/>
                <w:szCs w:val="20"/>
              </w:rPr>
              <w:t>1147 (100)</w:t>
            </w:r>
          </w:p>
        </w:tc>
        <w:tc>
          <w:tcPr>
            <w:tcW w:w="2437" w:type="dxa"/>
            <w:tcBorders>
              <w:top w:val="nil"/>
              <w:left w:val="nil"/>
              <w:bottom w:val="nil"/>
              <w:right w:val="nil"/>
            </w:tcBorders>
          </w:tcPr>
          <w:p w14:paraId="40D33E53" w14:textId="77777777" w:rsidR="007435C5" w:rsidRPr="00D45754" w:rsidRDefault="007435C5" w:rsidP="00DD18FE">
            <w:pPr>
              <w:rPr>
                <w:sz w:val="20"/>
                <w:szCs w:val="20"/>
              </w:rPr>
            </w:pPr>
          </w:p>
        </w:tc>
      </w:tr>
      <w:tr w:rsidR="007435C5" w:rsidRPr="00D45754" w14:paraId="795FF607" w14:textId="77777777" w:rsidTr="00C525BC">
        <w:trPr>
          <w:trHeight w:val="230"/>
        </w:trPr>
        <w:tc>
          <w:tcPr>
            <w:tcW w:w="3192" w:type="dxa"/>
            <w:tcBorders>
              <w:top w:val="nil"/>
              <w:left w:val="nil"/>
              <w:bottom w:val="nil"/>
              <w:right w:val="nil"/>
            </w:tcBorders>
          </w:tcPr>
          <w:p w14:paraId="51475008" w14:textId="77777777" w:rsidR="007435C5" w:rsidRPr="00D45754" w:rsidRDefault="007435C5" w:rsidP="00DD18FE">
            <w:pPr>
              <w:tabs>
                <w:tab w:val="left" w:pos="309"/>
              </w:tabs>
              <w:ind w:left="167" w:firstLine="102"/>
              <w:rPr>
                <w:sz w:val="20"/>
                <w:szCs w:val="20"/>
              </w:rPr>
            </w:pPr>
            <w:proofErr w:type="spellStart"/>
            <w:r w:rsidRPr="00D45754">
              <w:rPr>
                <w:sz w:val="20"/>
                <w:szCs w:val="20"/>
              </w:rPr>
              <w:t>N</w:t>
            </w:r>
            <w:r w:rsidRPr="00D45754">
              <w:rPr>
                <w:sz w:val="20"/>
                <w:szCs w:val="20"/>
                <w:vertAlign w:val="subscript"/>
              </w:rPr>
              <w:t>Other</w:t>
            </w:r>
            <w:proofErr w:type="spellEnd"/>
            <w:r w:rsidRPr="00D45754">
              <w:rPr>
                <w:sz w:val="20"/>
                <w:szCs w:val="20"/>
              </w:rPr>
              <w:t xml:space="preserve"> (%) </w:t>
            </w:r>
          </w:p>
        </w:tc>
        <w:tc>
          <w:tcPr>
            <w:tcW w:w="1905" w:type="dxa"/>
            <w:tcBorders>
              <w:top w:val="nil"/>
              <w:left w:val="nil"/>
              <w:bottom w:val="nil"/>
              <w:right w:val="nil"/>
            </w:tcBorders>
          </w:tcPr>
          <w:p w14:paraId="37D61927" w14:textId="77777777" w:rsidR="007435C5" w:rsidRPr="00D45754" w:rsidRDefault="007435C5" w:rsidP="00DD18FE">
            <w:pPr>
              <w:jc w:val="center"/>
              <w:rPr>
                <w:sz w:val="20"/>
                <w:szCs w:val="20"/>
              </w:rPr>
            </w:pPr>
            <w:r w:rsidRPr="00D45754">
              <w:rPr>
                <w:sz w:val="20"/>
                <w:szCs w:val="20"/>
              </w:rPr>
              <w:t>3 (1)</w:t>
            </w:r>
          </w:p>
        </w:tc>
        <w:tc>
          <w:tcPr>
            <w:tcW w:w="2133" w:type="dxa"/>
            <w:tcBorders>
              <w:top w:val="nil"/>
              <w:left w:val="nil"/>
              <w:bottom w:val="nil"/>
              <w:right w:val="nil"/>
            </w:tcBorders>
          </w:tcPr>
          <w:p w14:paraId="2B8FBA45" w14:textId="77777777" w:rsidR="007435C5" w:rsidRPr="00D45754" w:rsidRDefault="007435C5" w:rsidP="00DD18FE">
            <w:pPr>
              <w:jc w:val="center"/>
              <w:rPr>
                <w:sz w:val="20"/>
                <w:szCs w:val="20"/>
              </w:rPr>
            </w:pPr>
            <w:r w:rsidRPr="00D45754">
              <w:rPr>
                <w:sz w:val="20"/>
                <w:szCs w:val="20"/>
              </w:rPr>
              <w:t>5 (0)</w:t>
            </w:r>
          </w:p>
        </w:tc>
        <w:tc>
          <w:tcPr>
            <w:tcW w:w="2437" w:type="dxa"/>
            <w:tcBorders>
              <w:top w:val="nil"/>
              <w:left w:val="nil"/>
              <w:bottom w:val="nil"/>
              <w:right w:val="nil"/>
            </w:tcBorders>
          </w:tcPr>
          <w:p w14:paraId="43E9BF62" w14:textId="77777777" w:rsidR="007435C5" w:rsidRPr="00D45754" w:rsidRDefault="007435C5" w:rsidP="00DD18FE">
            <w:pPr>
              <w:rPr>
                <w:sz w:val="20"/>
                <w:szCs w:val="20"/>
              </w:rPr>
            </w:pPr>
          </w:p>
        </w:tc>
      </w:tr>
      <w:tr w:rsidR="007435C5" w:rsidRPr="00D45754" w14:paraId="3A9B5417" w14:textId="77777777" w:rsidTr="00C525BC">
        <w:trPr>
          <w:trHeight w:val="259"/>
        </w:trPr>
        <w:tc>
          <w:tcPr>
            <w:tcW w:w="3192" w:type="dxa"/>
            <w:tcBorders>
              <w:top w:val="nil"/>
              <w:left w:val="nil"/>
              <w:bottom w:val="nil"/>
              <w:right w:val="nil"/>
            </w:tcBorders>
          </w:tcPr>
          <w:p w14:paraId="716E6C2B" w14:textId="77777777" w:rsidR="007435C5" w:rsidRPr="00D45754" w:rsidRDefault="007435C5" w:rsidP="00DD18FE">
            <w:pPr>
              <w:tabs>
                <w:tab w:val="left" w:pos="167"/>
              </w:tabs>
              <w:rPr>
                <w:sz w:val="20"/>
                <w:szCs w:val="20"/>
              </w:rPr>
            </w:pPr>
            <w:r w:rsidRPr="00D45754">
              <w:rPr>
                <w:sz w:val="20"/>
                <w:szCs w:val="20"/>
              </w:rPr>
              <w:t>Current depression</w:t>
            </w:r>
          </w:p>
        </w:tc>
        <w:tc>
          <w:tcPr>
            <w:tcW w:w="1905" w:type="dxa"/>
            <w:tcBorders>
              <w:top w:val="nil"/>
              <w:left w:val="nil"/>
              <w:bottom w:val="nil"/>
              <w:right w:val="nil"/>
            </w:tcBorders>
          </w:tcPr>
          <w:p w14:paraId="343890C1" w14:textId="77777777" w:rsidR="007435C5" w:rsidRPr="00D45754" w:rsidRDefault="007435C5" w:rsidP="00DD18FE">
            <w:pPr>
              <w:jc w:val="center"/>
              <w:rPr>
                <w:sz w:val="20"/>
                <w:szCs w:val="20"/>
              </w:rPr>
            </w:pPr>
          </w:p>
        </w:tc>
        <w:tc>
          <w:tcPr>
            <w:tcW w:w="2133" w:type="dxa"/>
            <w:tcBorders>
              <w:top w:val="nil"/>
              <w:left w:val="nil"/>
              <w:bottom w:val="nil"/>
              <w:right w:val="nil"/>
            </w:tcBorders>
          </w:tcPr>
          <w:p w14:paraId="7915FB93" w14:textId="77777777" w:rsidR="007435C5" w:rsidRPr="00D45754" w:rsidRDefault="007435C5" w:rsidP="00DD18FE">
            <w:pPr>
              <w:jc w:val="center"/>
              <w:rPr>
                <w:sz w:val="20"/>
                <w:szCs w:val="20"/>
              </w:rPr>
            </w:pPr>
          </w:p>
        </w:tc>
        <w:tc>
          <w:tcPr>
            <w:tcW w:w="2437" w:type="dxa"/>
            <w:tcBorders>
              <w:top w:val="nil"/>
              <w:left w:val="nil"/>
              <w:bottom w:val="nil"/>
              <w:right w:val="nil"/>
            </w:tcBorders>
          </w:tcPr>
          <w:p w14:paraId="5B6130D5" w14:textId="77777777" w:rsidR="007435C5" w:rsidRPr="00D45754" w:rsidRDefault="007435C5" w:rsidP="00DD18FE">
            <w:pPr>
              <w:rPr>
                <w:sz w:val="20"/>
                <w:szCs w:val="20"/>
              </w:rPr>
            </w:pPr>
            <w:r w:rsidRPr="00D45754">
              <w:rPr>
                <w:sz w:val="20"/>
                <w:szCs w:val="20"/>
              </w:rPr>
              <w:sym w:font="Symbol" w:char="F063"/>
            </w:r>
            <w:r w:rsidRPr="00D45754">
              <w:rPr>
                <w:sz w:val="20"/>
                <w:szCs w:val="20"/>
                <w:vertAlign w:val="superscript"/>
              </w:rPr>
              <w:t>2</w:t>
            </w:r>
            <w:r w:rsidRPr="00D45754">
              <w:rPr>
                <w:sz w:val="20"/>
                <w:szCs w:val="20"/>
              </w:rPr>
              <w:t>(1)</w:t>
            </w:r>
            <w:r w:rsidRPr="00D45754">
              <w:rPr>
                <w:sz w:val="20"/>
                <w:szCs w:val="20"/>
                <w:vertAlign w:val="superscript"/>
              </w:rPr>
              <w:t xml:space="preserve"> </w:t>
            </w:r>
            <w:r w:rsidRPr="00D45754">
              <w:rPr>
                <w:sz w:val="20"/>
                <w:szCs w:val="20"/>
              </w:rPr>
              <w:t>= 0.72</w:t>
            </w:r>
          </w:p>
        </w:tc>
      </w:tr>
      <w:tr w:rsidR="007435C5" w:rsidRPr="00D45754" w14:paraId="710B7131" w14:textId="77777777" w:rsidTr="00C525BC">
        <w:trPr>
          <w:trHeight w:val="230"/>
        </w:trPr>
        <w:tc>
          <w:tcPr>
            <w:tcW w:w="3192" w:type="dxa"/>
            <w:tcBorders>
              <w:top w:val="nil"/>
              <w:left w:val="nil"/>
              <w:bottom w:val="nil"/>
              <w:right w:val="nil"/>
            </w:tcBorders>
          </w:tcPr>
          <w:p w14:paraId="73F5C1BB" w14:textId="77777777" w:rsidR="007435C5" w:rsidRPr="00D45754" w:rsidRDefault="007435C5" w:rsidP="00DD18FE">
            <w:pPr>
              <w:tabs>
                <w:tab w:val="left" w:pos="592"/>
              </w:tabs>
              <w:ind w:left="269"/>
              <w:rPr>
                <w:sz w:val="20"/>
                <w:szCs w:val="20"/>
              </w:rPr>
            </w:pPr>
            <w:proofErr w:type="spellStart"/>
            <w:r w:rsidRPr="00D45754">
              <w:rPr>
                <w:sz w:val="20"/>
                <w:szCs w:val="20"/>
              </w:rPr>
              <w:t>N</w:t>
            </w:r>
            <w:r w:rsidRPr="00D45754">
              <w:rPr>
                <w:sz w:val="20"/>
                <w:szCs w:val="20"/>
                <w:vertAlign w:val="subscript"/>
              </w:rPr>
              <w:t>Yes</w:t>
            </w:r>
            <w:proofErr w:type="spellEnd"/>
            <w:r w:rsidRPr="00D45754">
              <w:rPr>
                <w:sz w:val="20"/>
                <w:szCs w:val="20"/>
              </w:rPr>
              <w:t xml:space="preserve"> (%)</w:t>
            </w:r>
          </w:p>
        </w:tc>
        <w:tc>
          <w:tcPr>
            <w:tcW w:w="1905" w:type="dxa"/>
            <w:tcBorders>
              <w:top w:val="nil"/>
              <w:left w:val="nil"/>
              <w:bottom w:val="nil"/>
              <w:right w:val="nil"/>
            </w:tcBorders>
          </w:tcPr>
          <w:p w14:paraId="361618CC" w14:textId="77777777" w:rsidR="007435C5" w:rsidRPr="00D45754" w:rsidRDefault="007435C5" w:rsidP="00DD18FE">
            <w:pPr>
              <w:jc w:val="center"/>
              <w:rPr>
                <w:sz w:val="20"/>
                <w:szCs w:val="20"/>
              </w:rPr>
            </w:pPr>
            <w:r w:rsidRPr="00D45754">
              <w:rPr>
                <w:sz w:val="20"/>
                <w:szCs w:val="20"/>
              </w:rPr>
              <w:t>2 (25)</w:t>
            </w:r>
          </w:p>
        </w:tc>
        <w:tc>
          <w:tcPr>
            <w:tcW w:w="2133" w:type="dxa"/>
            <w:tcBorders>
              <w:top w:val="nil"/>
              <w:left w:val="nil"/>
              <w:bottom w:val="nil"/>
              <w:right w:val="nil"/>
            </w:tcBorders>
          </w:tcPr>
          <w:p w14:paraId="08C21950" w14:textId="77777777" w:rsidR="007435C5" w:rsidRPr="00D45754" w:rsidRDefault="007435C5" w:rsidP="00DD18FE">
            <w:pPr>
              <w:jc w:val="center"/>
              <w:rPr>
                <w:sz w:val="20"/>
                <w:szCs w:val="20"/>
              </w:rPr>
            </w:pPr>
            <w:r w:rsidRPr="00D45754">
              <w:rPr>
                <w:sz w:val="20"/>
                <w:szCs w:val="20"/>
              </w:rPr>
              <w:t>20 (9)</w:t>
            </w:r>
          </w:p>
        </w:tc>
        <w:tc>
          <w:tcPr>
            <w:tcW w:w="2437" w:type="dxa"/>
            <w:tcBorders>
              <w:top w:val="nil"/>
              <w:left w:val="nil"/>
              <w:bottom w:val="nil"/>
              <w:right w:val="nil"/>
            </w:tcBorders>
          </w:tcPr>
          <w:p w14:paraId="1951C551" w14:textId="77777777" w:rsidR="007435C5" w:rsidRPr="00D45754" w:rsidRDefault="007435C5" w:rsidP="00DD18FE">
            <w:pPr>
              <w:rPr>
                <w:sz w:val="20"/>
                <w:szCs w:val="20"/>
              </w:rPr>
            </w:pPr>
          </w:p>
        </w:tc>
      </w:tr>
      <w:tr w:rsidR="007435C5" w:rsidRPr="00D45754" w14:paraId="43619268" w14:textId="77777777" w:rsidTr="00C525BC">
        <w:trPr>
          <w:trHeight w:val="230"/>
        </w:trPr>
        <w:tc>
          <w:tcPr>
            <w:tcW w:w="3192" w:type="dxa"/>
            <w:tcBorders>
              <w:top w:val="nil"/>
              <w:left w:val="nil"/>
              <w:bottom w:val="nil"/>
              <w:right w:val="nil"/>
            </w:tcBorders>
          </w:tcPr>
          <w:p w14:paraId="5F024A8D" w14:textId="77777777" w:rsidR="007435C5" w:rsidRPr="00D45754" w:rsidRDefault="007435C5" w:rsidP="00DD18FE">
            <w:pPr>
              <w:tabs>
                <w:tab w:val="left" w:pos="592"/>
              </w:tabs>
              <w:ind w:left="269"/>
              <w:rPr>
                <w:sz w:val="20"/>
                <w:szCs w:val="20"/>
              </w:rPr>
            </w:pPr>
            <w:proofErr w:type="spellStart"/>
            <w:r w:rsidRPr="00D45754">
              <w:rPr>
                <w:sz w:val="20"/>
                <w:szCs w:val="20"/>
              </w:rPr>
              <w:t>N</w:t>
            </w:r>
            <w:r w:rsidRPr="00D45754">
              <w:rPr>
                <w:sz w:val="20"/>
                <w:szCs w:val="20"/>
                <w:vertAlign w:val="subscript"/>
              </w:rPr>
              <w:t>No</w:t>
            </w:r>
            <w:proofErr w:type="spellEnd"/>
            <w:r w:rsidRPr="00D45754">
              <w:rPr>
                <w:sz w:val="20"/>
                <w:szCs w:val="20"/>
                <w:vertAlign w:val="subscript"/>
              </w:rPr>
              <w:t xml:space="preserve"> </w:t>
            </w:r>
            <w:r w:rsidRPr="00D45754">
              <w:rPr>
                <w:sz w:val="20"/>
                <w:szCs w:val="20"/>
              </w:rPr>
              <w:t xml:space="preserve">(%) </w:t>
            </w:r>
          </w:p>
        </w:tc>
        <w:tc>
          <w:tcPr>
            <w:tcW w:w="1905" w:type="dxa"/>
            <w:tcBorders>
              <w:top w:val="nil"/>
              <w:left w:val="nil"/>
              <w:bottom w:val="nil"/>
              <w:right w:val="nil"/>
            </w:tcBorders>
          </w:tcPr>
          <w:p w14:paraId="75F2F6D6" w14:textId="77777777" w:rsidR="007435C5" w:rsidRPr="00D45754" w:rsidRDefault="007435C5" w:rsidP="00DD18FE">
            <w:pPr>
              <w:jc w:val="center"/>
              <w:rPr>
                <w:sz w:val="20"/>
                <w:szCs w:val="20"/>
              </w:rPr>
            </w:pPr>
            <w:r w:rsidRPr="00D45754">
              <w:rPr>
                <w:sz w:val="20"/>
                <w:szCs w:val="20"/>
              </w:rPr>
              <w:t>6 (75)</w:t>
            </w:r>
          </w:p>
        </w:tc>
        <w:tc>
          <w:tcPr>
            <w:tcW w:w="2133" w:type="dxa"/>
            <w:tcBorders>
              <w:top w:val="nil"/>
              <w:left w:val="nil"/>
              <w:bottom w:val="nil"/>
              <w:right w:val="nil"/>
            </w:tcBorders>
          </w:tcPr>
          <w:p w14:paraId="04F45400" w14:textId="77777777" w:rsidR="007435C5" w:rsidRPr="00D45754" w:rsidRDefault="007435C5" w:rsidP="00DD18FE">
            <w:pPr>
              <w:jc w:val="center"/>
              <w:rPr>
                <w:sz w:val="20"/>
                <w:szCs w:val="20"/>
              </w:rPr>
            </w:pPr>
            <w:r w:rsidRPr="00D45754">
              <w:rPr>
                <w:sz w:val="20"/>
                <w:szCs w:val="20"/>
              </w:rPr>
              <w:t>193 (91)</w:t>
            </w:r>
          </w:p>
        </w:tc>
        <w:tc>
          <w:tcPr>
            <w:tcW w:w="2437" w:type="dxa"/>
            <w:tcBorders>
              <w:top w:val="nil"/>
              <w:left w:val="nil"/>
              <w:bottom w:val="nil"/>
              <w:right w:val="nil"/>
            </w:tcBorders>
          </w:tcPr>
          <w:p w14:paraId="2C4738FA" w14:textId="77777777" w:rsidR="007435C5" w:rsidRPr="00D45754" w:rsidRDefault="007435C5" w:rsidP="00DD18FE">
            <w:pPr>
              <w:rPr>
                <w:sz w:val="20"/>
                <w:szCs w:val="20"/>
              </w:rPr>
            </w:pPr>
          </w:p>
        </w:tc>
      </w:tr>
      <w:tr w:rsidR="007435C5" w:rsidRPr="00D45754" w14:paraId="03DB9641" w14:textId="77777777" w:rsidTr="00C525BC">
        <w:trPr>
          <w:trHeight w:val="259"/>
        </w:trPr>
        <w:tc>
          <w:tcPr>
            <w:tcW w:w="3192" w:type="dxa"/>
            <w:tcBorders>
              <w:top w:val="nil"/>
              <w:left w:val="nil"/>
              <w:bottom w:val="nil"/>
              <w:right w:val="nil"/>
            </w:tcBorders>
          </w:tcPr>
          <w:p w14:paraId="113A737B" w14:textId="77777777" w:rsidR="007435C5" w:rsidRPr="00D45754" w:rsidRDefault="007435C5" w:rsidP="00DD18FE">
            <w:pPr>
              <w:tabs>
                <w:tab w:val="left" w:pos="167"/>
              </w:tabs>
              <w:rPr>
                <w:sz w:val="20"/>
                <w:szCs w:val="20"/>
              </w:rPr>
            </w:pPr>
            <w:r w:rsidRPr="00D45754">
              <w:rPr>
                <w:sz w:val="20"/>
                <w:szCs w:val="20"/>
              </w:rPr>
              <w:t>Lifetime depression</w:t>
            </w:r>
          </w:p>
        </w:tc>
        <w:tc>
          <w:tcPr>
            <w:tcW w:w="1905" w:type="dxa"/>
            <w:tcBorders>
              <w:top w:val="nil"/>
              <w:left w:val="nil"/>
              <w:bottom w:val="nil"/>
              <w:right w:val="nil"/>
            </w:tcBorders>
          </w:tcPr>
          <w:p w14:paraId="0A6CE50B" w14:textId="77777777" w:rsidR="007435C5" w:rsidRPr="00D45754" w:rsidRDefault="007435C5" w:rsidP="00DD18FE">
            <w:pPr>
              <w:jc w:val="center"/>
              <w:rPr>
                <w:sz w:val="20"/>
                <w:szCs w:val="20"/>
              </w:rPr>
            </w:pPr>
          </w:p>
        </w:tc>
        <w:tc>
          <w:tcPr>
            <w:tcW w:w="2133" w:type="dxa"/>
            <w:tcBorders>
              <w:top w:val="nil"/>
              <w:left w:val="nil"/>
              <w:bottom w:val="nil"/>
              <w:right w:val="nil"/>
            </w:tcBorders>
          </w:tcPr>
          <w:p w14:paraId="0E9B82AF" w14:textId="77777777" w:rsidR="007435C5" w:rsidRPr="00D45754" w:rsidRDefault="007435C5" w:rsidP="00DD18FE">
            <w:pPr>
              <w:jc w:val="center"/>
              <w:rPr>
                <w:sz w:val="20"/>
                <w:szCs w:val="20"/>
              </w:rPr>
            </w:pPr>
          </w:p>
        </w:tc>
        <w:tc>
          <w:tcPr>
            <w:tcW w:w="2437" w:type="dxa"/>
            <w:tcBorders>
              <w:top w:val="nil"/>
              <w:left w:val="nil"/>
              <w:bottom w:val="nil"/>
              <w:right w:val="nil"/>
            </w:tcBorders>
          </w:tcPr>
          <w:p w14:paraId="7EF12313" w14:textId="77777777" w:rsidR="007435C5" w:rsidRPr="00D45754" w:rsidRDefault="007435C5" w:rsidP="00DD18FE">
            <w:pPr>
              <w:rPr>
                <w:sz w:val="20"/>
                <w:szCs w:val="20"/>
              </w:rPr>
            </w:pPr>
            <w:r w:rsidRPr="00D45754">
              <w:rPr>
                <w:sz w:val="20"/>
                <w:szCs w:val="20"/>
              </w:rPr>
              <w:sym w:font="Symbol" w:char="F063"/>
            </w:r>
            <w:r w:rsidRPr="00D45754">
              <w:rPr>
                <w:sz w:val="20"/>
                <w:szCs w:val="20"/>
                <w:vertAlign w:val="superscript"/>
              </w:rPr>
              <w:t>2</w:t>
            </w:r>
            <w:r w:rsidRPr="00D45754">
              <w:rPr>
                <w:sz w:val="20"/>
                <w:szCs w:val="20"/>
              </w:rPr>
              <w:t>(1)</w:t>
            </w:r>
            <w:r w:rsidRPr="00D45754">
              <w:rPr>
                <w:sz w:val="20"/>
                <w:szCs w:val="20"/>
                <w:vertAlign w:val="superscript"/>
              </w:rPr>
              <w:t xml:space="preserve"> </w:t>
            </w:r>
            <w:r w:rsidRPr="00D45754">
              <w:rPr>
                <w:sz w:val="20"/>
                <w:szCs w:val="20"/>
              </w:rPr>
              <w:t>&lt; 0.01</w:t>
            </w:r>
          </w:p>
        </w:tc>
      </w:tr>
      <w:tr w:rsidR="007435C5" w:rsidRPr="00D45754" w14:paraId="323077D9" w14:textId="77777777" w:rsidTr="00C525BC">
        <w:trPr>
          <w:trHeight w:val="230"/>
        </w:trPr>
        <w:tc>
          <w:tcPr>
            <w:tcW w:w="3192" w:type="dxa"/>
            <w:tcBorders>
              <w:top w:val="nil"/>
              <w:left w:val="nil"/>
              <w:bottom w:val="nil"/>
              <w:right w:val="nil"/>
            </w:tcBorders>
          </w:tcPr>
          <w:p w14:paraId="1A1FE2F4" w14:textId="77777777" w:rsidR="007435C5" w:rsidRPr="00D45754" w:rsidRDefault="007435C5" w:rsidP="00DD18FE">
            <w:pPr>
              <w:tabs>
                <w:tab w:val="left" w:pos="876"/>
              </w:tabs>
              <w:ind w:left="269"/>
              <w:rPr>
                <w:sz w:val="20"/>
                <w:szCs w:val="20"/>
              </w:rPr>
            </w:pPr>
            <w:proofErr w:type="spellStart"/>
            <w:r w:rsidRPr="00D45754">
              <w:rPr>
                <w:sz w:val="20"/>
                <w:szCs w:val="20"/>
              </w:rPr>
              <w:t>N</w:t>
            </w:r>
            <w:r w:rsidRPr="00D45754">
              <w:rPr>
                <w:sz w:val="20"/>
                <w:szCs w:val="20"/>
                <w:vertAlign w:val="subscript"/>
              </w:rPr>
              <w:t>Yes</w:t>
            </w:r>
            <w:proofErr w:type="spellEnd"/>
            <w:r w:rsidRPr="00D45754">
              <w:rPr>
                <w:sz w:val="20"/>
                <w:szCs w:val="20"/>
              </w:rPr>
              <w:t xml:space="preserve"> (%)</w:t>
            </w:r>
          </w:p>
        </w:tc>
        <w:tc>
          <w:tcPr>
            <w:tcW w:w="1905" w:type="dxa"/>
            <w:tcBorders>
              <w:top w:val="nil"/>
              <w:left w:val="nil"/>
              <w:bottom w:val="nil"/>
              <w:right w:val="nil"/>
            </w:tcBorders>
          </w:tcPr>
          <w:p w14:paraId="54526BFA" w14:textId="77777777" w:rsidR="007435C5" w:rsidRPr="00D45754" w:rsidRDefault="007435C5" w:rsidP="00DD18FE">
            <w:pPr>
              <w:jc w:val="center"/>
              <w:rPr>
                <w:sz w:val="20"/>
                <w:szCs w:val="20"/>
              </w:rPr>
            </w:pPr>
            <w:r w:rsidRPr="00D45754">
              <w:rPr>
                <w:sz w:val="20"/>
                <w:szCs w:val="20"/>
              </w:rPr>
              <w:t>2 (25)</w:t>
            </w:r>
          </w:p>
        </w:tc>
        <w:tc>
          <w:tcPr>
            <w:tcW w:w="2133" w:type="dxa"/>
            <w:tcBorders>
              <w:top w:val="nil"/>
              <w:left w:val="nil"/>
              <w:bottom w:val="nil"/>
              <w:right w:val="nil"/>
            </w:tcBorders>
          </w:tcPr>
          <w:p w14:paraId="79053EA4" w14:textId="77777777" w:rsidR="007435C5" w:rsidRPr="00D45754" w:rsidRDefault="007435C5" w:rsidP="00DD18FE">
            <w:pPr>
              <w:jc w:val="center"/>
              <w:rPr>
                <w:sz w:val="20"/>
                <w:szCs w:val="20"/>
              </w:rPr>
            </w:pPr>
            <w:r w:rsidRPr="00D45754">
              <w:rPr>
                <w:sz w:val="20"/>
                <w:szCs w:val="20"/>
              </w:rPr>
              <w:t>49 (23)</w:t>
            </w:r>
          </w:p>
        </w:tc>
        <w:tc>
          <w:tcPr>
            <w:tcW w:w="2437" w:type="dxa"/>
            <w:tcBorders>
              <w:top w:val="nil"/>
              <w:left w:val="nil"/>
              <w:bottom w:val="nil"/>
              <w:right w:val="nil"/>
            </w:tcBorders>
          </w:tcPr>
          <w:p w14:paraId="59411E33" w14:textId="77777777" w:rsidR="007435C5" w:rsidRPr="00D45754" w:rsidRDefault="007435C5" w:rsidP="00DD18FE">
            <w:pPr>
              <w:rPr>
                <w:sz w:val="20"/>
                <w:szCs w:val="20"/>
              </w:rPr>
            </w:pPr>
          </w:p>
        </w:tc>
      </w:tr>
      <w:tr w:rsidR="007435C5" w:rsidRPr="00D45754" w14:paraId="7B9DDBB3" w14:textId="77777777" w:rsidTr="00C525BC">
        <w:trPr>
          <w:trHeight w:val="230"/>
        </w:trPr>
        <w:tc>
          <w:tcPr>
            <w:tcW w:w="3192" w:type="dxa"/>
            <w:tcBorders>
              <w:top w:val="nil"/>
              <w:left w:val="nil"/>
              <w:bottom w:val="nil"/>
              <w:right w:val="nil"/>
            </w:tcBorders>
          </w:tcPr>
          <w:p w14:paraId="08729A33" w14:textId="77777777" w:rsidR="007435C5" w:rsidRPr="00D45754" w:rsidRDefault="007435C5" w:rsidP="00DD18FE">
            <w:pPr>
              <w:tabs>
                <w:tab w:val="left" w:pos="876"/>
              </w:tabs>
              <w:ind w:left="269"/>
              <w:rPr>
                <w:sz w:val="20"/>
                <w:szCs w:val="20"/>
              </w:rPr>
            </w:pPr>
            <w:proofErr w:type="spellStart"/>
            <w:r w:rsidRPr="00D45754">
              <w:rPr>
                <w:sz w:val="20"/>
                <w:szCs w:val="20"/>
              </w:rPr>
              <w:t>N</w:t>
            </w:r>
            <w:r w:rsidRPr="00D45754">
              <w:rPr>
                <w:sz w:val="20"/>
                <w:szCs w:val="20"/>
                <w:vertAlign w:val="subscript"/>
              </w:rPr>
              <w:t>No</w:t>
            </w:r>
            <w:proofErr w:type="spellEnd"/>
            <w:r w:rsidRPr="00D45754">
              <w:rPr>
                <w:sz w:val="20"/>
                <w:szCs w:val="20"/>
              </w:rPr>
              <w:t xml:space="preserve"> (%)</w:t>
            </w:r>
          </w:p>
        </w:tc>
        <w:tc>
          <w:tcPr>
            <w:tcW w:w="1905" w:type="dxa"/>
            <w:tcBorders>
              <w:top w:val="nil"/>
              <w:left w:val="nil"/>
              <w:bottom w:val="nil"/>
              <w:right w:val="nil"/>
            </w:tcBorders>
          </w:tcPr>
          <w:p w14:paraId="2F924C41" w14:textId="77777777" w:rsidR="007435C5" w:rsidRPr="00D45754" w:rsidRDefault="007435C5" w:rsidP="00DD18FE">
            <w:pPr>
              <w:jc w:val="center"/>
              <w:rPr>
                <w:sz w:val="20"/>
                <w:szCs w:val="20"/>
              </w:rPr>
            </w:pPr>
            <w:r w:rsidRPr="00D45754">
              <w:rPr>
                <w:sz w:val="20"/>
                <w:szCs w:val="20"/>
              </w:rPr>
              <w:t>6 (75)</w:t>
            </w:r>
          </w:p>
        </w:tc>
        <w:tc>
          <w:tcPr>
            <w:tcW w:w="2133" w:type="dxa"/>
            <w:tcBorders>
              <w:top w:val="nil"/>
              <w:left w:val="nil"/>
              <w:bottom w:val="nil"/>
              <w:right w:val="nil"/>
            </w:tcBorders>
          </w:tcPr>
          <w:p w14:paraId="1A841628" w14:textId="77777777" w:rsidR="007435C5" w:rsidRPr="00D45754" w:rsidRDefault="007435C5" w:rsidP="00DD18FE">
            <w:pPr>
              <w:jc w:val="center"/>
              <w:rPr>
                <w:sz w:val="20"/>
                <w:szCs w:val="20"/>
              </w:rPr>
            </w:pPr>
            <w:r w:rsidRPr="00D45754">
              <w:rPr>
                <w:sz w:val="20"/>
                <w:szCs w:val="20"/>
              </w:rPr>
              <w:t>164 (77)</w:t>
            </w:r>
          </w:p>
        </w:tc>
        <w:tc>
          <w:tcPr>
            <w:tcW w:w="2437" w:type="dxa"/>
            <w:tcBorders>
              <w:top w:val="nil"/>
              <w:left w:val="nil"/>
              <w:bottom w:val="nil"/>
              <w:right w:val="nil"/>
            </w:tcBorders>
          </w:tcPr>
          <w:p w14:paraId="5852CD61" w14:textId="77777777" w:rsidR="007435C5" w:rsidRPr="00D45754" w:rsidRDefault="007435C5" w:rsidP="00DD18FE">
            <w:pPr>
              <w:rPr>
                <w:sz w:val="20"/>
                <w:szCs w:val="20"/>
              </w:rPr>
            </w:pPr>
          </w:p>
        </w:tc>
      </w:tr>
      <w:tr w:rsidR="007435C5" w:rsidRPr="00D45754" w14:paraId="6D4ACF14" w14:textId="77777777" w:rsidTr="00C525BC">
        <w:trPr>
          <w:trHeight w:val="259"/>
        </w:trPr>
        <w:tc>
          <w:tcPr>
            <w:tcW w:w="3192" w:type="dxa"/>
            <w:tcBorders>
              <w:top w:val="nil"/>
              <w:left w:val="nil"/>
              <w:bottom w:val="nil"/>
              <w:right w:val="nil"/>
            </w:tcBorders>
          </w:tcPr>
          <w:p w14:paraId="72025D95" w14:textId="77777777" w:rsidR="007435C5" w:rsidRPr="00D45754" w:rsidRDefault="007435C5" w:rsidP="00DD18FE">
            <w:pPr>
              <w:tabs>
                <w:tab w:val="left" w:pos="876"/>
              </w:tabs>
              <w:rPr>
                <w:sz w:val="20"/>
                <w:szCs w:val="20"/>
              </w:rPr>
            </w:pPr>
            <w:r w:rsidRPr="00D45754">
              <w:rPr>
                <w:sz w:val="20"/>
                <w:szCs w:val="20"/>
              </w:rPr>
              <w:t>Lifetime anxiety</w:t>
            </w:r>
          </w:p>
        </w:tc>
        <w:tc>
          <w:tcPr>
            <w:tcW w:w="1905" w:type="dxa"/>
            <w:tcBorders>
              <w:top w:val="nil"/>
              <w:left w:val="nil"/>
              <w:bottom w:val="nil"/>
              <w:right w:val="nil"/>
            </w:tcBorders>
          </w:tcPr>
          <w:p w14:paraId="5FCD0B32" w14:textId="77777777" w:rsidR="007435C5" w:rsidRPr="00D45754" w:rsidRDefault="007435C5" w:rsidP="00DD18FE">
            <w:pPr>
              <w:jc w:val="center"/>
              <w:rPr>
                <w:sz w:val="20"/>
                <w:szCs w:val="20"/>
              </w:rPr>
            </w:pPr>
          </w:p>
        </w:tc>
        <w:tc>
          <w:tcPr>
            <w:tcW w:w="2133" w:type="dxa"/>
            <w:tcBorders>
              <w:top w:val="nil"/>
              <w:left w:val="nil"/>
              <w:bottom w:val="nil"/>
              <w:right w:val="nil"/>
            </w:tcBorders>
          </w:tcPr>
          <w:p w14:paraId="583376EC" w14:textId="77777777" w:rsidR="007435C5" w:rsidRPr="00D45754" w:rsidRDefault="007435C5" w:rsidP="00DD18FE">
            <w:pPr>
              <w:jc w:val="center"/>
              <w:rPr>
                <w:sz w:val="20"/>
                <w:szCs w:val="20"/>
              </w:rPr>
            </w:pPr>
          </w:p>
        </w:tc>
        <w:tc>
          <w:tcPr>
            <w:tcW w:w="2437" w:type="dxa"/>
            <w:tcBorders>
              <w:top w:val="nil"/>
              <w:left w:val="nil"/>
              <w:bottom w:val="nil"/>
              <w:right w:val="nil"/>
            </w:tcBorders>
          </w:tcPr>
          <w:p w14:paraId="49661BF1" w14:textId="77777777" w:rsidR="007435C5" w:rsidRPr="00D45754" w:rsidRDefault="007435C5" w:rsidP="00DD18FE">
            <w:pPr>
              <w:rPr>
                <w:sz w:val="20"/>
                <w:szCs w:val="20"/>
              </w:rPr>
            </w:pPr>
            <w:r w:rsidRPr="00D45754">
              <w:rPr>
                <w:sz w:val="20"/>
                <w:szCs w:val="20"/>
              </w:rPr>
              <w:sym w:font="Symbol" w:char="F063"/>
            </w:r>
            <w:r w:rsidRPr="00D45754">
              <w:rPr>
                <w:sz w:val="20"/>
                <w:szCs w:val="20"/>
                <w:vertAlign w:val="superscript"/>
              </w:rPr>
              <w:t>2</w:t>
            </w:r>
            <w:r w:rsidRPr="00D45754">
              <w:rPr>
                <w:sz w:val="20"/>
                <w:szCs w:val="20"/>
              </w:rPr>
              <w:t>(1)</w:t>
            </w:r>
            <w:r w:rsidRPr="00D45754">
              <w:rPr>
                <w:sz w:val="20"/>
                <w:szCs w:val="20"/>
                <w:vertAlign w:val="superscript"/>
              </w:rPr>
              <w:t xml:space="preserve"> </w:t>
            </w:r>
            <w:r w:rsidRPr="00D45754">
              <w:rPr>
                <w:sz w:val="20"/>
                <w:szCs w:val="20"/>
              </w:rPr>
              <w:t>= 0.24</w:t>
            </w:r>
          </w:p>
        </w:tc>
      </w:tr>
      <w:tr w:rsidR="007435C5" w:rsidRPr="00B63E10" w14:paraId="062E0124" w14:textId="77777777" w:rsidTr="00C525BC">
        <w:trPr>
          <w:trHeight w:val="230"/>
        </w:trPr>
        <w:tc>
          <w:tcPr>
            <w:tcW w:w="3192" w:type="dxa"/>
            <w:tcBorders>
              <w:top w:val="nil"/>
              <w:left w:val="nil"/>
              <w:bottom w:val="nil"/>
              <w:right w:val="nil"/>
            </w:tcBorders>
          </w:tcPr>
          <w:p w14:paraId="69F72CFF" w14:textId="77777777" w:rsidR="007435C5" w:rsidRPr="00B63E10" w:rsidRDefault="007435C5" w:rsidP="00DD18FE">
            <w:pPr>
              <w:tabs>
                <w:tab w:val="left" w:pos="876"/>
              </w:tabs>
              <w:ind w:left="269"/>
              <w:rPr>
                <w:sz w:val="20"/>
                <w:szCs w:val="20"/>
              </w:rPr>
            </w:pPr>
            <w:proofErr w:type="spellStart"/>
            <w:r w:rsidRPr="00B63E10">
              <w:rPr>
                <w:sz w:val="20"/>
                <w:szCs w:val="20"/>
              </w:rPr>
              <w:t>N</w:t>
            </w:r>
            <w:r w:rsidRPr="00B63E10">
              <w:rPr>
                <w:sz w:val="20"/>
                <w:szCs w:val="20"/>
                <w:vertAlign w:val="subscript"/>
              </w:rPr>
              <w:t>Yes</w:t>
            </w:r>
            <w:proofErr w:type="spellEnd"/>
            <w:r w:rsidRPr="00B63E10">
              <w:rPr>
                <w:sz w:val="20"/>
                <w:szCs w:val="20"/>
              </w:rPr>
              <w:t xml:space="preserve"> (%)</w:t>
            </w:r>
          </w:p>
        </w:tc>
        <w:tc>
          <w:tcPr>
            <w:tcW w:w="1905" w:type="dxa"/>
            <w:tcBorders>
              <w:top w:val="nil"/>
              <w:left w:val="nil"/>
              <w:bottom w:val="nil"/>
              <w:right w:val="nil"/>
            </w:tcBorders>
          </w:tcPr>
          <w:p w14:paraId="4A8620DB" w14:textId="77777777" w:rsidR="007435C5" w:rsidRPr="00B63E10" w:rsidRDefault="007435C5" w:rsidP="00DD18FE">
            <w:pPr>
              <w:jc w:val="center"/>
              <w:rPr>
                <w:sz w:val="20"/>
                <w:szCs w:val="20"/>
              </w:rPr>
            </w:pPr>
            <w:r w:rsidRPr="00B63E10">
              <w:rPr>
                <w:sz w:val="20"/>
                <w:szCs w:val="20"/>
              </w:rPr>
              <w:t>1 (14)</w:t>
            </w:r>
          </w:p>
        </w:tc>
        <w:tc>
          <w:tcPr>
            <w:tcW w:w="2133" w:type="dxa"/>
            <w:tcBorders>
              <w:top w:val="nil"/>
              <w:left w:val="nil"/>
              <w:bottom w:val="nil"/>
              <w:right w:val="nil"/>
            </w:tcBorders>
          </w:tcPr>
          <w:p w14:paraId="16A752D2" w14:textId="77777777" w:rsidR="007435C5" w:rsidRPr="00B63E10" w:rsidRDefault="007435C5" w:rsidP="00DD18FE">
            <w:pPr>
              <w:jc w:val="center"/>
              <w:rPr>
                <w:sz w:val="20"/>
                <w:szCs w:val="20"/>
              </w:rPr>
            </w:pPr>
            <w:r w:rsidRPr="00B63E10">
              <w:rPr>
                <w:sz w:val="20"/>
                <w:szCs w:val="20"/>
              </w:rPr>
              <w:t>57 (30)</w:t>
            </w:r>
          </w:p>
        </w:tc>
        <w:tc>
          <w:tcPr>
            <w:tcW w:w="2437" w:type="dxa"/>
            <w:tcBorders>
              <w:top w:val="nil"/>
              <w:left w:val="nil"/>
              <w:bottom w:val="nil"/>
              <w:right w:val="nil"/>
            </w:tcBorders>
          </w:tcPr>
          <w:p w14:paraId="2C20ECED" w14:textId="77777777" w:rsidR="007435C5" w:rsidRPr="00B63E10" w:rsidRDefault="007435C5" w:rsidP="00DD18FE">
            <w:pPr>
              <w:rPr>
                <w:sz w:val="20"/>
                <w:szCs w:val="20"/>
              </w:rPr>
            </w:pPr>
          </w:p>
        </w:tc>
      </w:tr>
      <w:tr w:rsidR="007435C5" w:rsidRPr="00B63E10" w14:paraId="65FDB629" w14:textId="77777777" w:rsidTr="00C525BC">
        <w:trPr>
          <w:trHeight w:val="230"/>
        </w:trPr>
        <w:tc>
          <w:tcPr>
            <w:tcW w:w="3192" w:type="dxa"/>
            <w:tcBorders>
              <w:top w:val="nil"/>
              <w:left w:val="nil"/>
              <w:bottom w:val="nil"/>
              <w:right w:val="nil"/>
            </w:tcBorders>
          </w:tcPr>
          <w:p w14:paraId="2DEE68AB" w14:textId="77777777" w:rsidR="007435C5" w:rsidRPr="00B63E10" w:rsidRDefault="007435C5" w:rsidP="00DD18FE">
            <w:pPr>
              <w:tabs>
                <w:tab w:val="left" w:pos="876"/>
              </w:tabs>
              <w:ind w:left="269"/>
              <w:rPr>
                <w:sz w:val="20"/>
                <w:szCs w:val="20"/>
              </w:rPr>
            </w:pPr>
            <w:proofErr w:type="spellStart"/>
            <w:r w:rsidRPr="00B63E10">
              <w:rPr>
                <w:sz w:val="20"/>
                <w:szCs w:val="20"/>
              </w:rPr>
              <w:t>N</w:t>
            </w:r>
            <w:r w:rsidRPr="00B63E10">
              <w:rPr>
                <w:sz w:val="20"/>
                <w:szCs w:val="20"/>
                <w:vertAlign w:val="subscript"/>
              </w:rPr>
              <w:t>No</w:t>
            </w:r>
            <w:proofErr w:type="spellEnd"/>
            <w:r w:rsidRPr="00B63E10">
              <w:rPr>
                <w:sz w:val="20"/>
                <w:szCs w:val="20"/>
              </w:rPr>
              <w:t xml:space="preserve"> (%)</w:t>
            </w:r>
          </w:p>
        </w:tc>
        <w:tc>
          <w:tcPr>
            <w:tcW w:w="1905" w:type="dxa"/>
            <w:tcBorders>
              <w:top w:val="nil"/>
              <w:left w:val="nil"/>
              <w:bottom w:val="nil"/>
              <w:right w:val="nil"/>
            </w:tcBorders>
          </w:tcPr>
          <w:p w14:paraId="2E323081" w14:textId="77777777" w:rsidR="007435C5" w:rsidRPr="00B63E10" w:rsidRDefault="007435C5" w:rsidP="00DD18FE">
            <w:pPr>
              <w:jc w:val="center"/>
              <w:rPr>
                <w:sz w:val="20"/>
                <w:szCs w:val="20"/>
              </w:rPr>
            </w:pPr>
            <w:r w:rsidRPr="00B63E10">
              <w:rPr>
                <w:sz w:val="20"/>
                <w:szCs w:val="20"/>
              </w:rPr>
              <w:t>6 (86)</w:t>
            </w:r>
          </w:p>
        </w:tc>
        <w:tc>
          <w:tcPr>
            <w:tcW w:w="2133" w:type="dxa"/>
            <w:tcBorders>
              <w:top w:val="nil"/>
              <w:left w:val="nil"/>
              <w:bottom w:val="nil"/>
              <w:right w:val="nil"/>
            </w:tcBorders>
          </w:tcPr>
          <w:p w14:paraId="567B8A2C" w14:textId="77777777" w:rsidR="007435C5" w:rsidRPr="00B63E10" w:rsidRDefault="007435C5" w:rsidP="00DD18FE">
            <w:pPr>
              <w:jc w:val="center"/>
              <w:rPr>
                <w:sz w:val="20"/>
                <w:szCs w:val="20"/>
              </w:rPr>
            </w:pPr>
            <w:r w:rsidRPr="00B63E10">
              <w:rPr>
                <w:sz w:val="20"/>
                <w:szCs w:val="20"/>
              </w:rPr>
              <w:t>131 (70)</w:t>
            </w:r>
          </w:p>
        </w:tc>
        <w:tc>
          <w:tcPr>
            <w:tcW w:w="2437" w:type="dxa"/>
            <w:tcBorders>
              <w:top w:val="nil"/>
              <w:left w:val="nil"/>
              <w:bottom w:val="nil"/>
              <w:right w:val="nil"/>
            </w:tcBorders>
          </w:tcPr>
          <w:p w14:paraId="5C70947F" w14:textId="77777777" w:rsidR="007435C5" w:rsidRPr="00B63E10" w:rsidRDefault="007435C5" w:rsidP="00DD18FE">
            <w:pPr>
              <w:rPr>
                <w:sz w:val="20"/>
                <w:szCs w:val="20"/>
              </w:rPr>
            </w:pPr>
          </w:p>
        </w:tc>
      </w:tr>
      <w:tr w:rsidR="007435C5" w:rsidRPr="00B63E10" w14:paraId="6F46A93D" w14:textId="77777777" w:rsidTr="00C525BC">
        <w:trPr>
          <w:trHeight w:val="259"/>
        </w:trPr>
        <w:tc>
          <w:tcPr>
            <w:tcW w:w="3192" w:type="dxa"/>
            <w:tcBorders>
              <w:top w:val="nil"/>
              <w:left w:val="nil"/>
              <w:bottom w:val="nil"/>
              <w:right w:val="nil"/>
            </w:tcBorders>
          </w:tcPr>
          <w:p w14:paraId="51421D8F" w14:textId="77777777" w:rsidR="007435C5" w:rsidRPr="00B63E10" w:rsidRDefault="007435C5" w:rsidP="00DD18FE">
            <w:pPr>
              <w:tabs>
                <w:tab w:val="left" w:pos="167"/>
              </w:tabs>
              <w:rPr>
                <w:sz w:val="20"/>
                <w:szCs w:val="20"/>
              </w:rPr>
            </w:pPr>
            <w:r w:rsidRPr="00B63E10">
              <w:rPr>
                <w:sz w:val="20"/>
                <w:szCs w:val="20"/>
              </w:rPr>
              <w:t>Medication use</w:t>
            </w:r>
          </w:p>
        </w:tc>
        <w:tc>
          <w:tcPr>
            <w:tcW w:w="1905" w:type="dxa"/>
            <w:tcBorders>
              <w:top w:val="nil"/>
              <w:left w:val="nil"/>
              <w:bottom w:val="nil"/>
              <w:right w:val="nil"/>
            </w:tcBorders>
          </w:tcPr>
          <w:p w14:paraId="7074C88B" w14:textId="77777777" w:rsidR="007435C5" w:rsidRPr="00B63E10" w:rsidRDefault="007435C5" w:rsidP="00DD18FE">
            <w:pPr>
              <w:jc w:val="center"/>
              <w:rPr>
                <w:sz w:val="20"/>
                <w:szCs w:val="20"/>
              </w:rPr>
            </w:pPr>
          </w:p>
        </w:tc>
        <w:tc>
          <w:tcPr>
            <w:tcW w:w="2133" w:type="dxa"/>
            <w:tcBorders>
              <w:top w:val="nil"/>
              <w:left w:val="nil"/>
              <w:bottom w:val="nil"/>
              <w:right w:val="nil"/>
            </w:tcBorders>
          </w:tcPr>
          <w:p w14:paraId="4B3E7548" w14:textId="77777777" w:rsidR="007435C5" w:rsidRPr="00B63E10" w:rsidRDefault="007435C5" w:rsidP="00DD18FE">
            <w:pPr>
              <w:jc w:val="center"/>
              <w:rPr>
                <w:sz w:val="20"/>
                <w:szCs w:val="20"/>
              </w:rPr>
            </w:pPr>
          </w:p>
        </w:tc>
        <w:tc>
          <w:tcPr>
            <w:tcW w:w="2437" w:type="dxa"/>
            <w:tcBorders>
              <w:top w:val="nil"/>
              <w:left w:val="nil"/>
              <w:bottom w:val="nil"/>
              <w:right w:val="nil"/>
            </w:tcBorders>
          </w:tcPr>
          <w:p w14:paraId="36261D81" w14:textId="77777777" w:rsidR="007435C5" w:rsidRPr="00B63E10" w:rsidRDefault="007435C5" w:rsidP="00DD18FE">
            <w:pPr>
              <w:rPr>
                <w:sz w:val="20"/>
                <w:szCs w:val="20"/>
              </w:rPr>
            </w:pPr>
            <w:r w:rsidRPr="00B63E10">
              <w:rPr>
                <w:sz w:val="20"/>
                <w:szCs w:val="20"/>
              </w:rPr>
              <w:sym w:font="Symbol" w:char="F063"/>
            </w:r>
            <w:r w:rsidRPr="00B63E10">
              <w:rPr>
                <w:sz w:val="20"/>
                <w:szCs w:val="20"/>
                <w:vertAlign w:val="superscript"/>
              </w:rPr>
              <w:t>2</w:t>
            </w:r>
            <w:r w:rsidRPr="00B63E10">
              <w:rPr>
                <w:sz w:val="20"/>
                <w:szCs w:val="20"/>
              </w:rPr>
              <w:t>(1)</w:t>
            </w:r>
            <w:r w:rsidRPr="00B63E10">
              <w:rPr>
                <w:sz w:val="20"/>
                <w:szCs w:val="20"/>
                <w:vertAlign w:val="superscript"/>
              </w:rPr>
              <w:t xml:space="preserve"> </w:t>
            </w:r>
            <w:r w:rsidRPr="00B63E10">
              <w:rPr>
                <w:sz w:val="20"/>
                <w:szCs w:val="20"/>
              </w:rPr>
              <w:t>= 14.83***</w:t>
            </w:r>
          </w:p>
        </w:tc>
      </w:tr>
      <w:tr w:rsidR="007435C5" w:rsidRPr="00B63E10" w14:paraId="4F4815E8" w14:textId="77777777" w:rsidTr="00C525BC">
        <w:trPr>
          <w:trHeight w:val="88"/>
        </w:trPr>
        <w:tc>
          <w:tcPr>
            <w:tcW w:w="3192" w:type="dxa"/>
            <w:tcBorders>
              <w:top w:val="nil"/>
              <w:left w:val="nil"/>
              <w:bottom w:val="nil"/>
              <w:right w:val="nil"/>
            </w:tcBorders>
          </w:tcPr>
          <w:p w14:paraId="04D77F07" w14:textId="77777777" w:rsidR="007435C5" w:rsidRPr="00B63E10" w:rsidRDefault="007435C5" w:rsidP="00DD18FE">
            <w:pPr>
              <w:ind w:left="102" w:firstLine="167"/>
              <w:rPr>
                <w:sz w:val="20"/>
                <w:szCs w:val="20"/>
              </w:rPr>
            </w:pPr>
            <w:proofErr w:type="spellStart"/>
            <w:r w:rsidRPr="00B63E10">
              <w:rPr>
                <w:sz w:val="20"/>
                <w:szCs w:val="20"/>
              </w:rPr>
              <w:t>N</w:t>
            </w:r>
            <w:r w:rsidRPr="00B63E10">
              <w:rPr>
                <w:sz w:val="20"/>
                <w:szCs w:val="20"/>
                <w:vertAlign w:val="subscript"/>
              </w:rPr>
              <w:t>Yes</w:t>
            </w:r>
            <w:proofErr w:type="spellEnd"/>
            <w:r w:rsidRPr="00B63E10">
              <w:rPr>
                <w:sz w:val="20"/>
                <w:szCs w:val="20"/>
              </w:rPr>
              <w:t xml:space="preserve"> (%)</w:t>
            </w:r>
          </w:p>
        </w:tc>
        <w:tc>
          <w:tcPr>
            <w:tcW w:w="1905" w:type="dxa"/>
            <w:tcBorders>
              <w:top w:val="nil"/>
              <w:left w:val="nil"/>
              <w:bottom w:val="nil"/>
              <w:right w:val="nil"/>
            </w:tcBorders>
          </w:tcPr>
          <w:p w14:paraId="5A30D861" w14:textId="77777777" w:rsidR="007435C5" w:rsidRPr="00B63E10" w:rsidRDefault="007435C5" w:rsidP="00DD18FE">
            <w:pPr>
              <w:jc w:val="center"/>
              <w:rPr>
                <w:sz w:val="20"/>
                <w:szCs w:val="20"/>
              </w:rPr>
            </w:pPr>
            <w:r w:rsidRPr="00B63E10">
              <w:rPr>
                <w:sz w:val="20"/>
                <w:szCs w:val="20"/>
              </w:rPr>
              <w:t>257 (89)</w:t>
            </w:r>
          </w:p>
        </w:tc>
        <w:tc>
          <w:tcPr>
            <w:tcW w:w="2133" w:type="dxa"/>
            <w:tcBorders>
              <w:top w:val="nil"/>
              <w:left w:val="nil"/>
              <w:bottom w:val="nil"/>
              <w:right w:val="nil"/>
            </w:tcBorders>
          </w:tcPr>
          <w:p w14:paraId="1EE9DADB" w14:textId="77777777" w:rsidR="007435C5" w:rsidRPr="00B63E10" w:rsidRDefault="007435C5" w:rsidP="00DD18FE">
            <w:pPr>
              <w:jc w:val="center"/>
              <w:rPr>
                <w:sz w:val="20"/>
                <w:szCs w:val="20"/>
              </w:rPr>
            </w:pPr>
            <w:r w:rsidRPr="00B63E10">
              <w:rPr>
                <w:sz w:val="20"/>
                <w:szCs w:val="20"/>
              </w:rPr>
              <w:t>883 (78)</w:t>
            </w:r>
          </w:p>
        </w:tc>
        <w:tc>
          <w:tcPr>
            <w:tcW w:w="2437" w:type="dxa"/>
            <w:tcBorders>
              <w:top w:val="nil"/>
              <w:left w:val="nil"/>
              <w:bottom w:val="nil"/>
              <w:right w:val="nil"/>
            </w:tcBorders>
          </w:tcPr>
          <w:p w14:paraId="0C7DC054" w14:textId="77777777" w:rsidR="007435C5" w:rsidRPr="00B63E10" w:rsidRDefault="007435C5" w:rsidP="00DD18FE">
            <w:pPr>
              <w:rPr>
                <w:sz w:val="20"/>
                <w:szCs w:val="20"/>
              </w:rPr>
            </w:pPr>
          </w:p>
        </w:tc>
      </w:tr>
      <w:tr w:rsidR="007435C5" w:rsidRPr="00B63E10" w14:paraId="6A8B4B46" w14:textId="77777777" w:rsidTr="00C525BC">
        <w:trPr>
          <w:trHeight w:val="230"/>
        </w:trPr>
        <w:tc>
          <w:tcPr>
            <w:tcW w:w="3192" w:type="dxa"/>
            <w:tcBorders>
              <w:top w:val="nil"/>
              <w:left w:val="nil"/>
              <w:bottom w:val="nil"/>
              <w:right w:val="nil"/>
            </w:tcBorders>
          </w:tcPr>
          <w:p w14:paraId="1B7D3263" w14:textId="77777777" w:rsidR="007435C5" w:rsidRPr="00B63E10" w:rsidRDefault="007435C5" w:rsidP="00DD18FE">
            <w:pPr>
              <w:ind w:left="102" w:firstLine="167"/>
              <w:rPr>
                <w:sz w:val="20"/>
                <w:szCs w:val="20"/>
              </w:rPr>
            </w:pPr>
            <w:proofErr w:type="spellStart"/>
            <w:r w:rsidRPr="00B63E10">
              <w:rPr>
                <w:sz w:val="20"/>
                <w:szCs w:val="20"/>
              </w:rPr>
              <w:t>N</w:t>
            </w:r>
            <w:r w:rsidRPr="00B63E10">
              <w:rPr>
                <w:sz w:val="20"/>
                <w:szCs w:val="20"/>
                <w:vertAlign w:val="subscript"/>
              </w:rPr>
              <w:t>No</w:t>
            </w:r>
            <w:proofErr w:type="spellEnd"/>
            <w:r w:rsidRPr="00B63E10">
              <w:rPr>
                <w:sz w:val="20"/>
                <w:szCs w:val="20"/>
                <w:vertAlign w:val="subscript"/>
              </w:rPr>
              <w:t xml:space="preserve"> </w:t>
            </w:r>
            <w:r w:rsidRPr="00B63E10">
              <w:rPr>
                <w:sz w:val="20"/>
                <w:szCs w:val="20"/>
              </w:rPr>
              <w:t>(%)</w:t>
            </w:r>
          </w:p>
        </w:tc>
        <w:tc>
          <w:tcPr>
            <w:tcW w:w="1905" w:type="dxa"/>
            <w:tcBorders>
              <w:top w:val="nil"/>
              <w:left w:val="nil"/>
              <w:bottom w:val="nil"/>
              <w:right w:val="nil"/>
            </w:tcBorders>
          </w:tcPr>
          <w:p w14:paraId="2D02AFEC" w14:textId="77777777" w:rsidR="007435C5" w:rsidRPr="00B63E10" w:rsidRDefault="007435C5" w:rsidP="00DD18FE">
            <w:pPr>
              <w:jc w:val="center"/>
              <w:rPr>
                <w:sz w:val="20"/>
                <w:szCs w:val="20"/>
              </w:rPr>
            </w:pPr>
            <w:r w:rsidRPr="00B63E10">
              <w:rPr>
                <w:sz w:val="20"/>
                <w:szCs w:val="20"/>
              </w:rPr>
              <w:t>33 (11)</w:t>
            </w:r>
          </w:p>
        </w:tc>
        <w:tc>
          <w:tcPr>
            <w:tcW w:w="2133" w:type="dxa"/>
            <w:tcBorders>
              <w:top w:val="nil"/>
              <w:left w:val="nil"/>
              <w:bottom w:val="nil"/>
              <w:right w:val="nil"/>
            </w:tcBorders>
          </w:tcPr>
          <w:p w14:paraId="5B23ADCD" w14:textId="77777777" w:rsidR="007435C5" w:rsidRPr="00B63E10" w:rsidRDefault="007435C5" w:rsidP="00DD18FE">
            <w:pPr>
              <w:jc w:val="center"/>
              <w:rPr>
                <w:sz w:val="20"/>
                <w:szCs w:val="20"/>
              </w:rPr>
            </w:pPr>
            <w:r w:rsidRPr="00B63E10">
              <w:rPr>
                <w:sz w:val="20"/>
                <w:szCs w:val="20"/>
              </w:rPr>
              <w:t>244 (22)</w:t>
            </w:r>
          </w:p>
        </w:tc>
        <w:tc>
          <w:tcPr>
            <w:tcW w:w="2437" w:type="dxa"/>
            <w:tcBorders>
              <w:top w:val="nil"/>
              <w:left w:val="nil"/>
              <w:bottom w:val="nil"/>
              <w:right w:val="nil"/>
            </w:tcBorders>
          </w:tcPr>
          <w:p w14:paraId="02CF6CBD" w14:textId="77777777" w:rsidR="007435C5" w:rsidRPr="00B63E10" w:rsidRDefault="007435C5" w:rsidP="00DD18FE">
            <w:pPr>
              <w:rPr>
                <w:sz w:val="20"/>
                <w:szCs w:val="20"/>
              </w:rPr>
            </w:pPr>
          </w:p>
        </w:tc>
      </w:tr>
      <w:tr w:rsidR="007435C5" w:rsidRPr="00B63E10" w14:paraId="6D70C82C" w14:textId="77777777" w:rsidTr="00C525BC">
        <w:trPr>
          <w:trHeight w:val="245"/>
        </w:trPr>
        <w:tc>
          <w:tcPr>
            <w:tcW w:w="3192" w:type="dxa"/>
            <w:tcBorders>
              <w:top w:val="nil"/>
              <w:left w:val="nil"/>
              <w:bottom w:val="nil"/>
              <w:right w:val="nil"/>
            </w:tcBorders>
          </w:tcPr>
          <w:p w14:paraId="7CD3BA9C" w14:textId="77777777" w:rsidR="007435C5" w:rsidRPr="00B63E10" w:rsidRDefault="007435C5" w:rsidP="00DD18FE">
            <w:pPr>
              <w:rPr>
                <w:sz w:val="20"/>
                <w:szCs w:val="20"/>
              </w:rPr>
            </w:pPr>
            <w:r w:rsidRPr="00B63E10">
              <w:rPr>
                <w:sz w:val="20"/>
                <w:szCs w:val="20"/>
              </w:rPr>
              <w:t>Marital status</w:t>
            </w:r>
          </w:p>
        </w:tc>
        <w:tc>
          <w:tcPr>
            <w:tcW w:w="1905" w:type="dxa"/>
            <w:tcBorders>
              <w:top w:val="nil"/>
              <w:left w:val="nil"/>
              <w:bottom w:val="nil"/>
              <w:right w:val="nil"/>
            </w:tcBorders>
          </w:tcPr>
          <w:p w14:paraId="61AADF04" w14:textId="77777777" w:rsidR="007435C5" w:rsidRPr="00B63E10" w:rsidRDefault="007435C5" w:rsidP="00DD18FE">
            <w:pPr>
              <w:jc w:val="center"/>
              <w:rPr>
                <w:sz w:val="20"/>
                <w:szCs w:val="20"/>
              </w:rPr>
            </w:pPr>
          </w:p>
        </w:tc>
        <w:tc>
          <w:tcPr>
            <w:tcW w:w="2133" w:type="dxa"/>
            <w:tcBorders>
              <w:top w:val="nil"/>
              <w:left w:val="nil"/>
              <w:bottom w:val="nil"/>
              <w:right w:val="nil"/>
            </w:tcBorders>
          </w:tcPr>
          <w:p w14:paraId="733A8F77" w14:textId="77777777" w:rsidR="007435C5" w:rsidRPr="00B63E10" w:rsidRDefault="007435C5" w:rsidP="00DD18FE">
            <w:pPr>
              <w:jc w:val="center"/>
              <w:rPr>
                <w:sz w:val="20"/>
                <w:szCs w:val="20"/>
              </w:rPr>
            </w:pPr>
          </w:p>
        </w:tc>
        <w:tc>
          <w:tcPr>
            <w:tcW w:w="2437" w:type="dxa"/>
            <w:tcBorders>
              <w:top w:val="nil"/>
              <w:left w:val="nil"/>
              <w:bottom w:val="nil"/>
              <w:right w:val="nil"/>
            </w:tcBorders>
          </w:tcPr>
          <w:p w14:paraId="289EC177" w14:textId="77777777" w:rsidR="007435C5" w:rsidRPr="00B63E10" w:rsidRDefault="007435C5" w:rsidP="00DD18FE">
            <w:pPr>
              <w:rPr>
                <w:sz w:val="20"/>
                <w:szCs w:val="20"/>
              </w:rPr>
            </w:pPr>
            <w:r w:rsidRPr="00B63E10">
              <w:rPr>
                <w:sz w:val="20"/>
                <w:szCs w:val="20"/>
              </w:rPr>
              <w:sym w:font="Symbol" w:char="F063"/>
            </w:r>
            <w:r w:rsidRPr="00B63E10">
              <w:rPr>
                <w:sz w:val="20"/>
                <w:szCs w:val="20"/>
                <w:vertAlign w:val="superscript"/>
              </w:rPr>
              <w:t>2</w:t>
            </w:r>
            <w:r w:rsidRPr="00B63E10">
              <w:rPr>
                <w:sz w:val="20"/>
                <w:szCs w:val="20"/>
              </w:rPr>
              <w:t>(3)</w:t>
            </w:r>
            <w:r w:rsidRPr="00B63E10">
              <w:rPr>
                <w:sz w:val="20"/>
                <w:szCs w:val="20"/>
                <w:vertAlign w:val="superscript"/>
              </w:rPr>
              <w:t xml:space="preserve"> </w:t>
            </w:r>
            <w:r w:rsidRPr="00B63E10">
              <w:rPr>
                <w:sz w:val="20"/>
                <w:szCs w:val="20"/>
              </w:rPr>
              <w:t>= 35.80***</w:t>
            </w:r>
          </w:p>
        </w:tc>
      </w:tr>
      <w:tr w:rsidR="007435C5" w:rsidRPr="00B63E10" w14:paraId="1CB52304" w14:textId="77777777" w:rsidTr="00C525BC">
        <w:trPr>
          <w:trHeight w:val="245"/>
        </w:trPr>
        <w:tc>
          <w:tcPr>
            <w:tcW w:w="3192" w:type="dxa"/>
            <w:tcBorders>
              <w:top w:val="nil"/>
              <w:left w:val="nil"/>
              <w:bottom w:val="nil"/>
              <w:right w:val="nil"/>
            </w:tcBorders>
          </w:tcPr>
          <w:p w14:paraId="1ABC26F0" w14:textId="77777777" w:rsidR="007435C5" w:rsidRPr="00B63E10" w:rsidRDefault="007435C5" w:rsidP="00DD18FE">
            <w:pPr>
              <w:ind w:left="102" w:firstLine="167"/>
              <w:rPr>
                <w:sz w:val="20"/>
                <w:szCs w:val="20"/>
              </w:rPr>
            </w:pPr>
            <w:proofErr w:type="spellStart"/>
            <w:r w:rsidRPr="00B63E10">
              <w:rPr>
                <w:sz w:val="20"/>
                <w:szCs w:val="20"/>
              </w:rPr>
              <w:t>N</w:t>
            </w:r>
            <w:r w:rsidRPr="00B63E10">
              <w:rPr>
                <w:sz w:val="20"/>
                <w:szCs w:val="20"/>
                <w:vertAlign w:val="subscript"/>
              </w:rPr>
              <w:t>never</w:t>
            </w:r>
            <w:proofErr w:type="spellEnd"/>
            <w:r w:rsidRPr="00B63E10">
              <w:rPr>
                <w:sz w:val="20"/>
                <w:szCs w:val="20"/>
                <w:vertAlign w:val="subscript"/>
              </w:rPr>
              <w:t xml:space="preserve"> married</w:t>
            </w:r>
            <w:r w:rsidRPr="00B63E10">
              <w:rPr>
                <w:sz w:val="20"/>
                <w:szCs w:val="20"/>
              </w:rPr>
              <w:t xml:space="preserve"> (%)</w:t>
            </w:r>
          </w:p>
        </w:tc>
        <w:tc>
          <w:tcPr>
            <w:tcW w:w="1905" w:type="dxa"/>
            <w:tcBorders>
              <w:top w:val="nil"/>
              <w:left w:val="nil"/>
              <w:bottom w:val="nil"/>
              <w:right w:val="nil"/>
            </w:tcBorders>
          </w:tcPr>
          <w:p w14:paraId="3F2E8ED8" w14:textId="77777777" w:rsidR="007435C5" w:rsidRPr="00B63E10" w:rsidRDefault="007435C5" w:rsidP="00DD18FE">
            <w:pPr>
              <w:jc w:val="center"/>
              <w:rPr>
                <w:sz w:val="20"/>
                <w:szCs w:val="20"/>
              </w:rPr>
            </w:pPr>
            <w:r w:rsidRPr="00B63E10">
              <w:rPr>
                <w:sz w:val="20"/>
                <w:szCs w:val="20"/>
              </w:rPr>
              <w:t>11 (3)</w:t>
            </w:r>
          </w:p>
        </w:tc>
        <w:tc>
          <w:tcPr>
            <w:tcW w:w="2133" w:type="dxa"/>
            <w:tcBorders>
              <w:top w:val="nil"/>
              <w:left w:val="nil"/>
              <w:bottom w:val="nil"/>
              <w:right w:val="nil"/>
            </w:tcBorders>
          </w:tcPr>
          <w:p w14:paraId="782ABD25" w14:textId="77777777" w:rsidR="007435C5" w:rsidRPr="00B63E10" w:rsidRDefault="007435C5" w:rsidP="00DD18FE">
            <w:pPr>
              <w:jc w:val="center"/>
              <w:rPr>
                <w:sz w:val="20"/>
                <w:szCs w:val="20"/>
              </w:rPr>
            </w:pPr>
            <w:r w:rsidRPr="00B63E10">
              <w:rPr>
                <w:sz w:val="20"/>
                <w:szCs w:val="20"/>
              </w:rPr>
              <w:t>62 (5)</w:t>
            </w:r>
          </w:p>
        </w:tc>
        <w:tc>
          <w:tcPr>
            <w:tcW w:w="2437" w:type="dxa"/>
            <w:tcBorders>
              <w:top w:val="nil"/>
              <w:left w:val="nil"/>
              <w:bottom w:val="nil"/>
              <w:right w:val="nil"/>
            </w:tcBorders>
          </w:tcPr>
          <w:p w14:paraId="1AA73BFD" w14:textId="77777777" w:rsidR="007435C5" w:rsidRPr="00B63E10" w:rsidRDefault="007435C5" w:rsidP="00DD18FE">
            <w:pPr>
              <w:rPr>
                <w:sz w:val="20"/>
                <w:szCs w:val="20"/>
              </w:rPr>
            </w:pPr>
          </w:p>
        </w:tc>
      </w:tr>
      <w:tr w:rsidR="007435C5" w:rsidRPr="00B63E10" w14:paraId="4B44784B" w14:textId="77777777" w:rsidTr="00C525BC">
        <w:trPr>
          <w:trHeight w:val="230"/>
        </w:trPr>
        <w:tc>
          <w:tcPr>
            <w:tcW w:w="3192" w:type="dxa"/>
            <w:tcBorders>
              <w:top w:val="nil"/>
              <w:left w:val="nil"/>
              <w:bottom w:val="nil"/>
              <w:right w:val="nil"/>
            </w:tcBorders>
          </w:tcPr>
          <w:p w14:paraId="6C0D1C94" w14:textId="77777777" w:rsidR="007435C5" w:rsidRPr="00B63E10" w:rsidRDefault="007435C5" w:rsidP="00DD18FE">
            <w:pPr>
              <w:ind w:left="102" w:firstLine="167"/>
              <w:rPr>
                <w:sz w:val="20"/>
                <w:szCs w:val="20"/>
              </w:rPr>
            </w:pPr>
            <w:proofErr w:type="spellStart"/>
            <w:r w:rsidRPr="00B63E10">
              <w:rPr>
                <w:sz w:val="20"/>
                <w:szCs w:val="20"/>
              </w:rPr>
              <w:t>N</w:t>
            </w:r>
            <w:r w:rsidRPr="00B63E10">
              <w:rPr>
                <w:sz w:val="20"/>
                <w:szCs w:val="20"/>
                <w:vertAlign w:val="subscript"/>
              </w:rPr>
              <w:t>married</w:t>
            </w:r>
            <w:proofErr w:type="spellEnd"/>
            <w:r w:rsidRPr="00B63E10">
              <w:rPr>
                <w:sz w:val="20"/>
                <w:szCs w:val="20"/>
              </w:rPr>
              <w:t xml:space="preserve"> (%)</w:t>
            </w:r>
          </w:p>
        </w:tc>
        <w:tc>
          <w:tcPr>
            <w:tcW w:w="1905" w:type="dxa"/>
            <w:tcBorders>
              <w:top w:val="nil"/>
              <w:left w:val="nil"/>
              <w:bottom w:val="nil"/>
              <w:right w:val="nil"/>
            </w:tcBorders>
          </w:tcPr>
          <w:p w14:paraId="4E0E4896" w14:textId="77777777" w:rsidR="007435C5" w:rsidRPr="00B63E10" w:rsidRDefault="007435C5" w:rsidP="00DD18FE">
            <w:pPr>
              <w:jc w:val="center"/>
              <w:rPr>
                <w:sz w:val="20"/>
                <w:szCs w:val="20"/>
              </w:rPr>
            </w:pPr>
            <w:r w:rsidRPr="00B63E10">
              <w:rPr>
                <w:sz w:val="20"/>
                <w:szCs w:val="20"/>
              </w:rPr>
              <w:t>168 (52)</w:t>
            </w:r>
          </w:p>
        </w:tc>
        <w:tc>
          <w:tcPr>
            <w:tcW w:w="2133" w:type="dxa"/>
            <w:tcBorders>
              <w:top w:val="nil"/>
              <w:left w:val="nil"/>
              <w:bottom w:val="nil"/>
              <w:right w:val="nil"/>
            </w:tcBorders>
          </w:tcPr>
          <w:p w14:paraId="15036ED9" w14:textId="77777777" w:rsidR="007435C5" w:rsidRPr="00B63E10" w:rsidRDefault="007435C5" w:rsidP="00DD18FE">
            <w:pPr>
              <w:jc w:val="center"/>
              <w:rPr>
                <w:sz w:val="20"/>
                <w:szCs w:val="20"/>
              </w:rPr>
            </w:pPr>
            <w:r w:rsidRPr="00B63E10">
              <w:rPr>
                <w:sz w:val="20"/>
                <w:szCs w:val="20"/>
              </w:rPr>
              <w:t>761 (66)</w:t>
            </w:r>
          </w:p>
        </w:tc>
        <w:tc>
          <w:tcPr>
            <w:tcW w:w="2437" w:type="dxa"/>
            <w:tcBorders>
              <w:top w:val="nil"/>
              <w:left w:val="nil"/>
              <w:bottom w:val="nil"/>
              <w:right w:val="nil"/>
            </w:tcBorders>
          </w:tcPr>
          <w:p w14:paraId="3FC031D4" w14:textId="77777777" w:rsidR="007435C5" w:rsidRPr="00B63E10" w:rsidRDefault="007435C5" w:rsidP="00DD18FE">
            <w:pPr>
              <w:rPr>
                <w:sz w:val="20"/>
                <w:szCs w:val="20"/>
              </w:rPr>
            </w:pPr>
          </w:p>
        </w:tc>
      </w:tr>
      <w:tr w:rsidR="007435C5" w:rsidRPr="00B63E10" w14:paraId="27120539" w14:textId="77777777" w:rsidTr="00C525BC">
        <w:trPr>
          <w:trHeight w:val="230"/>
        </w:trPr>
        <w:tc>
          <w:tcPr>
            <w:tcW w:w="3192" w:type="dxa"/>
            <w:tcBorders>
              <w:top w:val="nil"/>
              <w:left w:val="nil"/>
              <w:bottom w:val="nil"/>
              <w:right w:val="nil"/>
            </w:tcBorders>
          </w:tcPr>
          <w:p w14:paraId="1CC7ACC4" w14:textId="77777777" w:rsidR="007435C5" w:rsidRPr="00B63E10" w:rsidRDefault="007435C5" w:rsidP="00DD18FE">
            <w:pPr>
              <w:ind w:left="102" w:firstLine="167"/>
              <w:rPr>
                <w:sz w:val="20"/>
                <w:szCs w:val="20"/>
              </w:rPr>
            </w:pPr>
            <w:proofErr w:type="spellStart"/>
            <w:r w:rsidRPr="00B63E10">
              <w:rPr>
                <w:sz w:val="20"/>
                <w:szCs w:val="20"/>
              </w:rPr>
              <w:t>N</w:t>
            </w:r>
            <w:r w:rsidRPr="00B63E10">
              <w:rPr>
                <w:sz w:val="20"/>
                <w:szCs w:val="20"/>
                <w:vertAlign w:val="subscript"/>
              </w:rPr>
              <w:t>divorced</w:t>
            </w:r>
            <w:proofErr w:type="spellEnd"/>
            <w:r w:rsidRPr="00B63E10">
              <w:rPr>
                <w:sz w:val="20"/>
                <w:szCs w:val="20"/>
              </w:rPr>
              <w:t xml:space="preserve"> (%)</w:t>
            </w:r>
          </w:p>
        </w:tc>
        <w:tc>
          <w:tcPr>
            <w:tcW w:w="1905" w:type="dxa"/>
            <w:tcBorders>
              <w:top w:val="nil"/>
              <w:left w:val="nil"/>
              <w:bottom w:val="nil"/>
              <w:right w:val="nil"/>
            </w:tcBorders>
          </w:tcPr>
          <w:p w14:paraId="333B94AD" w14:textId="77777777" w:rsidR="007435C5" w:rsidRPr="00B63E10" w:rsidRDefault="007435C5" w:rsidP="00DD18FE">
            <w:pPr>
              <w:jc w:val="center"/>
              <w:rPr>
                <w:sz w:val="20"/>
                <w:szCs w:val="20"/>
              </w:rPr>
            </w:pPr>
            <w:r w:rsidRPr="00B63E10">
              <w:rPr>
                <w:sz w:val="20"/>
                <w:szCs w:val="20"/>
              </w:rPr>
              <w:t>29 (9)</w:t>
            </w:r>
          </w:p>
        </w:tc>
        <w:tc>
          <w:tcPr>
            <w:tcW w:w="2133" w:type="dxa"/>
            <w:tcBorders>
              <w:top w:val="nil"/>
              <w:left w:val="nil"/>
              <w:bottom w:val="nil"/>
              <w:right w:val="nil"/>
            </w:tcBorders>
          </w:tcPr>
          <w:p w14:paraId="0FC3708A" w14:textId="77777777" w:rsidR="007435C5" w:rsidRPr="00B63E10" w:rsidRDefault="007435C5" w:rsidP="00DD18FE">
            <w:pPr>
              <w:jc w:val="center"/>
              <w:rPr>
                <w:sz w:val="20"/>
                <w:szCs w:val="20"/>
              </w:rPr>
            </w:pPr>
            <w:r w:rsidRPr="00B63E10">
              <w:rPr>
                <w:sz w:val="20"/>
                <w:szCs w:val="20"/>
              </w:rPr>
              <w:t>89 (8)</w:t>
            </w:r>
          </w:p>
        </w:tc>
        <w:tc>
          <w:tcPr>
            <w:tcW w:w="2437" w:type="dxa"/>
            <w:tcBorders>
              <w:top w:val="nil"/>
              <w:left w:val="nil"/>
              <w:bottom w:val="nil"/>
              <w:right w:val="nil"/>
            </w:tcBorders>
          </w:tcPr>
          <w:p w14:paraId="57C120BE" w14:textId="77777777" w:rsidR="007435C5" w:rsidRPr="00B63E10" w:rsidRDefault="007435C5" w:rsidP="00DD18FE">
            <w:pPr>
              <w:rPr>
                <w:sz w:val="20"/>
                <w:szCs w:val="20"/>
              </w:rPr>
            </w:pPr>
          </w:p>
        </w:tc>
      </w:tr>
      <w:tr w:rsidR="007435C5" w:rsidRPr="00B63E10" w14:paraId="0CF4F377" w14:textId="77777777" w:rsidTr="00C525BC">
        <w:trPr>
          <w:trHeight w:val="245"/>
        </w:trPr>
        <w:tc>
          <w:tcPr>
            <w:tcW w:w="3192" w:type="dxa"/>
            <w:tcBorders>
              <w:top w:val="nil"/>
              <w:left w:val="nil"/>
              <w:bottom w:val="nil"/>
              <w:right w:val="nil"/>
            </w:tcBorders>
          </w:tcPr>
          <w:p w14:paraId="795F1A45" w14:textId="77777777" w:rsidR="007435C5" w:rsidRPr="00B63E10" w:rsidRDefault="007435C5" w:rsidP="00DD18FE">
            <w:pPr>
              <w:ind w:left="102" w:firstLine="167"/>
              <w:rPr>
                <w:sz w:val="20"/>
                <w:szCs w:val="20"/>
              </w:rPr>
            </w:pPr>
            <w:proofErr w:type="spellStart"/>
            <w:r w:rsidRPr="00B63E10">
              <w:rPr>
                <w:sz w:val="20"/>
                <w:szCs w:val="20"/>
              </w:rPr>
              <w:t>N</w:t>
            </w:r>
            <w:r w:rsidRPr="00B63E10">
              <w:rPr>
                <w:sz w:val="20"/>
                <w:szCs w:val="20"/>
                <w:vertAlign w:val="subscript"/>
              </w:rPr>
              <w:t>widowhood</w:t>
            </w:r>
            <w:proofErr w:type="spellEnd"/>
            <w:r w:rsidRPr="00B63E10">
              <w:rPr>
                <w:sz w:val="20"/>
                <w:szCs w:val="20"/>
              </w:rPr>
              <w:t xml:space="preserve"> (%)</w:t>
            </w:r>
          </w:p>
        </w:tc>
        <w:tc>
          <w:tcPr>
            <w:tcW w:w="1905" w:type="dxa"/>
            <w:tcBorders>
              <w:top w:val="nil"/>
              <w:left w:val="nil"/>
              <w:bottom w:val="nil"/>
              <w:right w:val="nil"/>
            </w:tcBorders>
          </w:tcPr>
          <w:p w14:paraId="507FBC9B" w14:textId="77777777" w:rsidR="007435C5" w:rsidRPr="00B63E10" w:rsidRDefault="007435C5" w:rsidP="00DD18FE">
            <w:pPr>
              <w:jc w:val="center"/>
              <w:rPr>
                <w:sz w:val="20"/>
                <w:szCs w:val="20"/>
              </w:rPr>
            </w:pPr>
            <w:r w:rsidRPr="00B63E10">
              <w:rPr>
                <w:sz w:val="20"/>
                <w:szCs w:val="20"/>
              </w:rPr>
              <w:t>118 (36)</w:t>
            </w:r>
          </w:p>
        </w:tc>
        <w:tc>
          <w:tcPr>
            <w:tcW w:w="2133" w:type="dxa"/>
            <w:tcBorders>
              <w:top w:val="nil"/>
              <w:left w:val="nil"/>
              <w:bottom w:val="nil"/>
              <w:right w:val="nil"/>
            </w:tcBorders>
          </w:tcPr>
          <w:p w14:paraId="4F7363BE" w14:textId="77777777" w:rsidR="007435C5" w:rsidRPr="00B63E10" w:rsidRDefault="007435C5" w:rsidP="00DD18FE">
            <w:pPr>
              <w:jc w:val="center"/>
              <w:rPr>
                <w:sz w:val="20"/>
                <w:szCs w:val="20"/>
              </w:rPr>
            </w:pPr>
            <w:r w:rsidRPr="00B63E10">
              <w:rPr>
                <w:sz w:val="20"/>
                <w:szCs w:val="20"/>
              </w:rPr>
              <w:t>240 (21)</w:t>
            </w:r>
          </w:p>
        </w:tc>
        <w:tc>
          <w:tcPr>
            <w:tcW w:w="2437" w:type="dxa"/>
            <w:tcBorders>
              <w:top w:val="nil"/>
              <w:left w:val="nil"/>
              <w:bottom w:val="nil"/>
              <w:right w:val="nil"/>
            </w:tcBorders>
          </w:tcPr>
          <w:p w14:paraId="18C65D46" w14:textId="77777777" w:rsidR="007435C5" w:rsidRPr="00B63E10" w:rsidRDefault="007435C5" w:rsidP="00DD18FE">
            <w:pPr>
              <w:rPr>
                <w:sz w:val="20"/>
                <w:szCs w:val="20"/>
              </w:rPr>
            </w:pPr>
          </w:p>
        </w:tc>
      </w:tr>
      <w:tr w:rsidR="007435C5" w:rsidRPr="00B63E10" w14:paraId="350336D5" w14:textId="77777777" w:rsidTr="00C525BC">
        <w:trPr>
          <w:trHeight w:val="245"/>
        </w:trPr>
        <w:tc>
          <w:tcPr>
            <w:tcW w:w="3192" w:type="dxa"/>
            <w:tcBorders>
              <w:top w:val="nil"/>
              <w:left w:val="nil"/>
              <w:bottom w:val="nil"/>
              <w:right w:val="nil"/>
            </w:tcBorders>
          </w:tcPr>
          <w:p w14:paraId="2C2CD614" w14:textId="77777777" w:rsidR="007435C5" w:rsidRPr="00C44A6F" w:rsidRDefault="007435C5" w:rsidP="00DD18FE">
            <w:pPr>
              <w:rPr>
                <w:sz w:val="20"/>
                <w:szCs w:val="20"/>
              </w:rPr>
            </w:pPr>
            <w:r w:rsidRPr="00C44A6F">
              <w:rPr>
                <w:sz w:val="20"/>
                <w:szCs w:val="20"/>
              </w:rPr>
              <w:t>Subgroup membership at T1</w:t>
            </w:r>
          </w:p>
        </w:tc>
        <w:tc>
          <w:tcPr>
            <w:tcW w:w="1905" w:type="dxa"/>
            <w:tcBorders>
              <w:top w:val="nil"/>
              <w:left w:val="nil"/>
              <w:bottom w:val="nil"/>
              <w:right w:val="nil"/>
            </w:tcBorders>
          </w:tcPr>
          <w:p w14:paraId="4F1D796F" w14:textId="77777777" w:rsidR="007435C5" w:rsidRPr="00C44A6F" w:rsidRDefault="007435C5" w:rsidP="00DD18FE">
            <w:pPr>
              <w:jc w:val="center"/>
              <w:rPr>
                <w:sz w:val="20"/>
                <w:szCs w:val="20"/>
              </w:rPr>
            </w:pPr>
          </w:p>
        </w:tc>
        <w:tc>
          <w:tcPr>
            <w:tcW w:w="2133" w:type="dxa"/>
            <w:tcBorders>
              <w:top w:val="nil"/>
              <w:left w:val="nil"/>
              <w:bottom w:val="nil"/>
              <w:right w:val="nil"/>
            </w:tcBorders>
          </w:tcPr>
          <w:p w14:paraId="38C86BB2" w14:textId="77777777" w:rsidR="007435C5" w:rsidRPr="00C44A6F" w:rsidRDefault="007435C5" w:rsidP="00DD18FE">
            <w:pPr>
              <w:jc w:val="center"/>
              <w:rPr>
                <w:sz w:val="20"/>
                <w:szCs w:val="20"/>
              </w:rPr>
            </w:pPr>
          </w:p>
        </w:tc>
        <w:tc>
          <w:tcPr>
            <w:tcW w:w="2437" w:type="dxa"/>
            <w:tcBorders>
              <w:top w:val="nil"/>
              <w:left w:val="nil"/>
              <w:bottom w:val="nil"/>
              <w:right w:val="nil"/>
            </w:tcBorders>
          </w:tcPr>
          <w:p w14:paraId="7BD8535E" w14:textId="77777777" w:rsidR="007435C5" w:rsidRPr="00C44A6F" w:rsidRDefault="007435C5" w:rsidP="00DD18FE">
            <w:pPr>
              <w:rPr>
                <w:sz w:val="20"/>
                <w:szCs w:val="20"/>
              </w:rPr>
            </w:pPr>
            <w:r w:rsidRPr="00C44A6F">
              <w:rPr>
                <w:sz w:val="20"/>
                <w:szCs w:val="20"/>
              </w:rPr>
              <w:sym w:font="Symbol" w:char="F063"/>
            </w:r>
            <w:r w:rsidRPr="00C44A6F">
              <w:rPr>
                <w:sz w:val="20"/>
                <w:szCs w:val="20"/>
                <w:vertAlign w:val="superscript"/>
              </w:rPr>
              <w:t>2</w:t>
            </w:r>
            <w:r w:rsidRPr="00C44A6F">
              <w:rPr>
                <w:sz w:val="20"/>
                <w:szCs w:val="20"/>
              </w:rPr>
              <w:t>(2)</w:t>
            </w:r>
            <w:r w:rsidRPr="00C44A6F">
              <w:rPr>
                <w:sz w:val="20"/>
                <w:szCs w:val="20"/>
                <w:vertAlign w:val="superscript"/>
              </w:rPr>
              <w:t xml:space="preserve"> </w:t>
            </w:r>
            <w:r w:rsidR="00B2185B" w:rsidRPr="00C44A6F">
              <w:rPr>
                <w:sz w:val="20"/>
                <w:szCs w:val="20"/>
              </w:rPr>
              <w:t>= 9.83</w:t>
            </w:r>
            <w:r w:rsidRPr="00C44A6F">
              <w:rPr>
                <w:sz w:val="20"/>
                <w:szCs w:val="20"/>
              </w:rPr>
              <w:t>**</w:t>
            </w:r>
          </w:p>
        </w:tc>
      </w:tr>
      <w:tr w:rsidR="007435C5" w:rsidRPr="00B63E10" w14:paraId="44D51C77" w14:textId="77777777" w:rsidTr="00C525BC">
        <w:trPr>
          <w:trHeight w:val="245"/>
        </w:trPr>
        <w:tc>
          <w:tcPr>
            <w:tcW w:w="3192" w:type="dxa"/>
            <w:tcBorders>
              <w:top w:val="nil"/>
              <w:left w:val="nil"/>
              <w:bottom w:val="nil"/>
              <w:right w:val="nil"/>
            </w:tcBorders>
          </w:tcPr>
          <w:p w14:paraId="575B629E" w14:textId="4868AAC7" w:rsidR="007435C5" w:rsidRPr="005C721F" w:rsidRDefault="007435C5" w:rsidP="00DD18FE">
            <w:pPr>
              <w:ind w:left="102" w:firstLine="167"/>
              <w:rPr>
                <w:sz w:val="20"/>
                <w:szCs w:val="20"/>
              </w:rPr>
            </w:pPr>
            <w:proofErr w:type="spellStart"/>
            <w:r w:rsidRPr="005C721F">
              <w:rPr>
                <w:sz w:val="20"/>
                <w:szCs w:val="20"/>
              </w:rPr>
              <w:t>N</w:t>
            </w:r>
            <w:r w:rsidR="00631E21" w:rsidRPr="005C721F">
              <w:rPr>
                <w:sz w:val="20"/>
                <w:szCs w:val="20"/>
                <w:vertAlign w:val="subscript"/>
              </w:rPr>
              <w:t>Subgroup</w:t>
            </w:r>
            <w:proofErr w:type="spellEnd"/>
            <w:r w:rsidR="00631E21" w:rsidRPr="005C721F">
              <w:rPr>
                <w:sz w:val="20"/>
                <w:szCs w:val="20"/>
                <w:vertAlign w:val="subscript"/>
              </w:rPr>
              <w:t xml:space="preserve"> A </w:t>
            </w:r>
            <w:r w:rsidRPr="005C721F">
              <w:rPr>
                <w:sz w:val="20"/>
                <w:szCs w:val="20"/>
              </w:rPr>
              <w:t>(%)</w:t>
            </w:r>
          </w:p>
        </w:tc>
        <w:tc>
          <w:tcPr>
            <w:tcW w:w="1905" w:type="dxa"/>
            <w:tcBorders>
              <w:top w:val="nil"/>
              <w:left w:val="nil"/>
              <w:bottom w:val="nil"/>
              <w:right w:val="nil"/>
            </w:tcBorders>
          </w:tcPr>
          <w:p w14:paraId="67E32E0C" w14:textId="77777777" w:rsidR="007435C5" w:rsidRPr="00C44A6F" w:rsidRDefault="00E21DA0" w:rsidP="00DD18FE">
            <w:pPr>
              <w:jc w:val="center"/>
              <w:rPr>
                <w:sz w:val="20"/>
                <w:szCs w:val="20"/>
              </w:rPr>
            </w:pPr>
            <w:r w:rsidRPr="00C44A6F">
              <w:rPr>
                <w:sz w:val="20"/>
                <w:szCs w:val="20"/>
              </w:rPr>
              <w:t>83</w:t>
            </w:r>
            <w:r w:rsidR="00B2185B" w:rsidRPr="00C44A6F">
              <w:rPr>
                <w:sz w:val="20"/>
                <w:szCs w:val="20"/>
              </w:rPr>
              <w:t xml:space="preserve"> (26</w:t>
            </w:r>
            <w:r w:rsidR="007435C5" w:rsidRPr="00C44A6F">
              <w:rPr>
                <w:sz w:val="20"/>
                <w:szCs w:val="20"/>
              </w:rPr>
              <w:t>)</w:t>
            </w:r>
          </w:p>
        </w:tc>
        <w:tc>
          <w:tcPr>
            <w:tcW w:w="2133" w:type="dxa"/>
            <w:tcBorders>
              <w:top w:val="nil"/>
              <w:left w:val="nil"/>
              <w:bottom w:val="nil"/>
              <w:right w:val="nil"/>
            </w:tcBorders>
          </w:tcPr>
          <w:p w14:paraId="116A7CB8" w14:textId="77777777" w:rsidR="007435C5" w:rsidRPr="00C44A6F" w:rsidRDefault="00E21DA0" w:rsidP="00DD18FE">
            <w:pPr>
              <w:jc w:val="center"/>
              <w:rPr>
                <w:sz w:val="20"/>
                <w:szCs w:val="20"/>
              </w:rPr>
            </w:pPr>
            <w:r w:rsidRPr="00C44A6F">
              <w:rPr>
                <w:sz w:val="20"/>
                <w:szCs w:val="20"/>
              </w:rPr>
              <w:t>352</w:t>
            </w:r>
            <w:r w:rsidR="00B2185B" w:rsidRPr="00C44A6F">
              <w:rPr>
                <w:sz w:val="20"/>
                <w:szCs w:val="20"/>
              </w:rPr>
              <w:t xml:space="preserve"> (30</w:t>
            </w:r>
            <w:r w:rsidR="007435C5" w:rsidRPr="00C44A6F">
              <w:rPr>
                <w:sz w:val="20"/>
                <w:szCs w:val="20"/>
              </w:rPr>
              <w:t>)</w:t>
            </w:r>
          </w:p>
        </w:tc>
        <w:tc>
          <w:tcPr>
            <w:tcW w:w="2437" w:type="dxa"/>
            <w:tcBorders>
              <w:top w:val="nil"/>
              <w:left w:val="nil"/>
              <w:bottom w:val="nil"/>
              <w:right w:val="nil"/>
            </w:tcBorders>
          </w:tcPr>
          <w:p w14:paraId="3D3F6A12" w14:textId="77777777" w:rsidR="007435C5" w:rsidRPr="00C44A6F" w:rsidRDefault="007435C5" w:rsidP="00DD18FE">
            <w:pPr>
              <w:rPr>
                <w:sz w:val="20"/>
                <w:szCs w:val="20"/>
              </w:rPr>
            </w:pPr>
          </w:p>
        </w:tc>
      </w:tr>
      <w:tr w:rsidR="007435C5" w:rsidRPr="00B63E10" w14:paraId="4E00BB0D" w14:textId="77777777" w:rsidTr="00C44A6F">
        <w:trPr>
          <w:trHeight w:val="245"/>
        </w:trPr>
        <w:tc>
          <w:tcPr>
            <w:tcW w:w="3192" w:type="dxa"/>
            <w:tcBorders>
              <w:top w:val="nil"/>
              <w:left w:val="nil"/>
              <w:bottom w:val="nil"/>
              <w:right w:val="nil"/>
            </w:tcBorders>
          </w:tcPr>
          <w:p w14:paraId="27F53CB4" w14:textId="068D4D56" w:rsidR="007435C5" w:rsidRPr="005C721F" w:rsidRDefault="007435C5" w:rsidP="00DD18FE">
            <w:pPr>
              <w:ind w:left="102" w:firstLine="167"/>
              <w:rPr>
                <w:sz w:val="20"/>
                <w:szCs w:val="20"/>
              </w:rPr>
            </w:pPr>
            <w:proofErr w:type="spellStart"/>
            <w:r w:rsidRPr="005C721F">
              <w:rPr>
                <w:sz w:val="20"/>
                <w:szCs w:val="20"/>
              </w:rPr>
              <w:t>N</w:t>
            </w:r>
            <w:r w:rsidR="00631E21" w:rsidRPr="005C721F">
              <w:rPr>
                <w:sz w:val="20"/>
                <w:szCs w:val="20"/>
                <w:vertAlign w:val="subscript"/>
              </w:rPr>
              <w:t>Subgroup</w:t>
            </w:r>
            <w:proofErr w:type="spellEnd"/>
            <w:r w:rsidR="00631E21" w:rsidRPr="005C721F">
              <w:rPr>
                <w:sz w:val="20"/>
                <w:szCs w:val="20"/>
                <w:vertAlign w:val="subscript"/>
              </w:rPr>
              <w:t xml:space="preserve"> </w:t>
            </w:r>
            <w:r w:rsidR="00C44A6F" w:rsidRPr="005C721F">
              <w:rPr>
                <w:sz w:val="20"/>
                <w:szCs w:val="20"/>
                <w:vertAlign w:val="subscript"/>
              </w:rPr>
              <w:t>B</w:t>
            </w:r>
            <w:r w:rsidRPr="005C721F">
              <w:rPr>
                <w:sz w:val="20"/>
                <w:szCs w:val="20"/>
              </w:rPr>
              <w:t xml:space="preserve"> (%)</w:t>
            </w:r>
          </w:p>
        </w:tc>
        <w:tc>
          <w:tcPr>
            <w:tcW w:w="1905" w:type="dxa"/>
            <w:tcBorders>
              <w:top w:val="nil"/>
              <w:left w:val="nil"/>
              <w:bottom w:val="nil"/>
              <w:right w:val="nil"/>
            </w:tcBorders>
          </w:tcPr>
          <w:p w14:paraId="062691AC" w14:textId="77777777" w:rsidR="007435C5" w:rsidRPr="00C44A6F" w:rsidRDefault="00B2185B" w:rsidP="00DD18FE">
            <w:pPr>
              <w:jc w:val="center"/>
              <w:rPr>
                <w:sz w:val="20"/>
                <w:szCs w:val="20"/>
              </w:rPr>
            </w:pPr>
            <w:r w:rsidRPr="00C44A6F">
              <w:rPr>
                <w:sz w:val="20"/>
                <w:szCs w:val="20"/>
              </w:rPr>
              <w:t>96 (29</w:t>
            </w:r>
            <w:r w:rsidR="007435C5" w:rsidRPr="00C44A6F">
              <w:rPr>
                <w:sz w:val="20"/>
                <w:szCs w:val="20"/>
              </w:rPr>
              <w:t>)</w:t>
            </w:r>
          </w:p>
        </w:tc>
        <w:tc>
          <w:tcPr>
            <w:tcW w:w="2133" w:type="dxa"/>
            <w:tcBorders>
              <w:top w:val="nil"/>
              <w:left w:val="nil"/>
              <w:bottom w:val="nil"/>
              <w:right w:val="nil"/>
            </w:tcBorders>
          </w:tcPr>
          <w:p w14:paraId="10AF2384" w14:textId="77777777" w:rsidR="007435C5" w:rsidRPr="00C44A6F" w:rsidRDefault="00B2185B" w:rsidP="00DD18FE">
            <w:pPr>
              <w:jc w:val="center"/>
              <w:rPr>
                <w:sz w:val="20"/>
                <w:szCs w:val="20"/>
              </w:rPr>
            </w:pPr>
            <w:r w:rsidRPr="00C44A6F">
              <w:rPr>
                <w:sz w:val="20"/>
                <w:szCs w:val="20"/>
              </w:rPr>
              <w:t>390 (34</w:t>
            </w:r>
            <w:r w:rsidR="007435C5" w:rsidRPr="00C44A6F">
              <w:rPr>
                <w:sz w:val="20"/>
                <w:szCs w:val="20"/>
              </w:rPr>
              <w:t>)</w:t>
            </w:r>
          </w:p>
        </w:tc>
        <w:tc>
          <w:tcPr>
            <w:tcW w:w="2437" w:type="dxa"/>
            <w:tcBorders>
              <w:top w:val="nil"/>
              <w:left w:val="nil"/>
              <w:bottom w:val="nil"/>
              <w:right w:val="nil"/>
            </w:tcBorders>
          </w:tcPr>
          <w:p w14:paraId="29F242FD" w14:textId="77777777" w:rsidR="007435C5" w:rsidRPr="00C44A6F" w:rsidRDefault="007435C5" w:rsidP="00DD18FE">
            <w:pPr>
              <w:rPr>
                <w:sz w:val="20"/>
                <w:szCs w:val="20"/>
              </w:rPr>
            </w:pPr>
          </w:p>
        </w:tc>
      </w:tr>
      <w:tr w:rsidR="00C44A6F" w:rsidRPr="00B63E10" w14:paraId="668CE7CD" w14:textId="77777777" w:rsidTr="00C525BC">
        <w:trPr>
          <w:trHeight w:val="245"/>
        </w:trPr>
        <w:tc>
          <w:tcPr>
            <w:tcW w:w="3192" w:type="dxa"/>
            <w:tcBorders>
              <w:top w:val="nil"/>
              <w:left w:val="nil"/>
              <w:bottom w:val="single" w:sz="4" w:space="0" w:color="auto"/>
              <w:right w:val="nil"/>
            </w:tcBorders>
          </w:tcPr>
          <w:p w14:paraId="556A6784" w14:textId="64B707D1" w:rsidR="00C44A6F" w:rsidRPr="005C721F" w:rsidRDefault="00C44A6F" w:rsidP="00C44A6F">
            <w:pPr>
              <w:ind w:left="102" w:firstLine="167"/>
              <w:rPr>
                <w:sz w:val="20"/>
                <w:szCs w:val="20"/>
              </w:rPr>
            </w:pPr>
            <w:proofErr w:type="spellStart"/>
            <w:r w:rsidRPr="005C721F">
              <w:rPr>
                <w:sz w:val="20"/>
                <w:szCs w:val="20"/>
              </w:rPr>
              <w:t>N</w:t>
            </w:r>
            <w:r w:rsidRPr="005C721F">
              <w:rPr>
                <w:sz w:val="20"/>
                <w:szCs w:val="20"/>
                <w:vertAlign w:val="subscript"/>
              </w:rPr>
              <w:t>Subgroup</w:t>
            </w:r>
            <w:proofErr w:type="spellEnd"/>
            <w:r w:rsidRPr="005C721F">
              <w:rPr>
                <w:sz w:val="20"/>
                <w:szCs w:val="20"/>
                <w:vertAlign w:val="subscript"/>
              </w:rPr>
              <w:t xml:space="preserve"> C </w:t>
            </w:r>
            <w:r w:rsidRPr="005C721F">
              <w:rPr>
                <w:sz w:val="20"/>
                <w:szCs w:val="20"/>
              </w:rPr>
              <w:t>(%)</w:t>
            </w:r>
          </w:p>
        </w:tc>
        <w:tc>
          <w:tcPr>
            <w:tcW w:w="1905" w:type="dxa"/>
            <w:tcBorders>
              <w:top w:val="nil"/>
              <w:left w:val="nil"/>
              <w:bottom w:val="single" w:sz="4" w:space="0" w:color="auto"/>
              <w:right w:val="nil"/>
            </w:tcBorders>
          </w:tcPr>
          <w:p w14:paraId="6E120872" w14:textId="5CB3C839" w:rsidR="00C44A6F" w:rsidRPr="00C44A6F" w:rsidRDefault="00C44A6F" w:rsidP="00C44A6F">
            <w:pPr>
              <w:jc w:val="center"/>
              <w:rPr>
                <w:sz w:val="20"/>
                <w:szCs w:val="20"/>
              </w:rPr>
            </w:pPr>
            <w:r w:rsidRPr="00C44A6F">
              <w:rPr>
                <w:sz w:val="20"/>
                <w:szCs w:val="20"/>
              </w:rPr>
              <w:t>147 (45)</w:t>
            </w:r>
          </w:p>
        </w:tc>
        <w:tc>
          <w:tcPr>
            <w:tcW w:w="2133" w:type="dxa"/>
            <w:tcBorders>
              <w:top w:val="nil"/>
              <w:left w:val="nil"/>
              <w:bottom w:val="single" w:sz="4" w:space="0" w:color="auto"/>
              <w:right w:val="nil"/>
            </w:tcBorders>
          </w:tcPr>
          <w:p w14:paraId="44DAE0EB" w14:textId="781510BD" w:rsidR="00C44A6F" w:rsidRPr="00C44A6F" w:rsidRDefault="00C44A6F" w:rsidP="00C44A6F">
            <w:pPr>
              <w:jc w:val="center"/>
              <w:rPr>
                <w:sz w:val="20"/>
                <w:szCs w:val="20"/>
              </w:rPr>
            </w:pPr>
            <w:r w:rsidRPr="00C44A6F">
              <w:rPr>
                <w:sz w:val="20"/>
                <w:szCs w:val="20"/>
              </w:rPr>
              <w:t>410 (36)</w:t>
            </w:r>
          </w:p>
        </w:tc>
        <w:tc>
          <w:tcPr>
            <w:tcW w:w="2437" w:type="dxa"/>
            <w:tcBorders>
              <w:top w:val="nil"/>
              <w:left w:val="nil"/>
              <w:bottom w:val="single" w:sz="4" w:space="0" w:color="auto"/>
              <w:right w:val="nil"/>
            </w:tcBorders>
          </w:tcPr>
          <w:p w14:paraId="1BF3799B" w14:textId="77777777" w:rsidR="00C44A6F" w:rsidRPr="00C44A6F" w:rsidRDefault="00C44A6F" w:rsidP="00C44A6F">
            <w:pPr>
              <w:rPr>
                <w:sz w:val="20"/>
                <w:szCs w:val="20"/>
              </w:rPr>
            </w:pPr>
          </w:p>
        </w:tc>
      </w:tr>
    </w:tbl>
    <w:p w14:paraId="0D14C515" w14:textId="7595DB90" w:rsidR="007435C5" w:rsidRPr="00E2595C" w:rsidRDefault="007435C5" w:rsidP="00DD18FE">
      <w:r w:rsidRPr="00B63E10">
        <w:rPr>
          <w:i/>
        </w:rPr>
        <w:t>Note.</w:t>
      </w:r>
      <w:r w:rsidR="00E2595C" w:rsidRPr="00B63E10">
        <w:t xml:space="preserve"> </w:t>
      </w:r>
      <w:r w:rsidRPr="00B63E10">
        <w:rPr>
          <w:i/>
        </w:rPr>
        <w:t xml:space="preserve">* p </w:t>
      </w:r>
      <w:r w:rsidRPr="00B63E10">
        <w:t>&lt; 0.05</w:t>
      </w:r>
      <w:r w:rsidRPr="00B63E10">
        <w:rPr>
          <w:i/>
        </w:rPr>
        <w:t xml:space="preserve">, ** p </w:t>
      </w:r>
      <w:r w:rsidRPr="00B63E10">
        <w:t>&lt; 0.01</w:t>
      </w:r>
      <w:r w:rsidRPr="00B63E10">
        <w:rPr>
          <w:i/>
        </w:rPr>
        <w:t xml:space="preserve">, *** p </w:t>
      </w:r>
      <w:r w:rsidRPr="00B63E10">
        <w:t>&lt; 0.001</w:t>
      </w:r>
    </w:p>
    <w:p w14:paraId="70D9648F" w14:textId="77777777" w:rsidR="007435C5" w:rsidRDefault="007435C5" w:rsidP="00DD18FE">
      <w:pPr>
        <w:rPr>
          <w:i/>
        </w:rPr>
      </w:pPr>
    </w:p>
    <w:p w14:paraId="3B73CAE0" w14:textId="0E0861B1" w:rsidR="00635188" w:rsidRDefault="00635188" w:rsidP="00DD18FE">
      <w:pPr>
        <w:rPr>
          <w:i/>
        </w:rPr>
      </w:pPr>
    </w:p>
    <w:p w14:paraId="72988DDA" w14:textId="6186DA21" w:rsidR="00631E21" w:rsidRDefault="00631E21" w:rsidP="00DD18FE">
      <w:pPr>
        <w:rPr>
          <w:i/>
        </w:rPr>
      </w:pPr>
    </w:p>
    <w:p w14:paraId="0D6B2099" w14:textId="61CE43AE" w:rsidR="00631E21" w:rsidRDefault="00631E21" w:rsidP="00DD18FE">
      <w:pPr>
        <w:rPr>
          <w:i/>
        </w:rPr>
      </w:pPr>
    </w:p>
    <w:p w14:paraId="41074998" w14:textId="4F9F2ED3" w:rsidR="00631E21" w:rsidRDefault="00631E21" w:rsidP="00DD18FE">
      <w:pPr>
        <w:rPr>
          <w:i/>
        </w:rPr>
      </w:pPr>
    </w:p>
    <w:p w14:paraId="28D42FFE" w14:textId="6F41E6DB" w:rsidR="00631E21" w:rsidRDefault="00631E21" w:rsidP="00DD18FE">
      <w:pPr>
        <w:rPr>
          <w:i/>
        </w:rPr>
      </w:pPr>
    </w:p>
    <w:p w14:paraId="4E42599E" w14:textId="6274D831" w:rsidR="00631E21" w:rsidRDefault="00631E21" w:rsidP="00DD18FE">
      <w:pPr>
        <w:rPr>
          <w:i/>
        </w:rPr>
      </w:pPr>
    </w:p>
    <w:p w14:paraId="3796A8D1" w14:textId="29D72BAD" w:rsidR="00631E21" w:rsidRDefault="00631E21" w:rsidP="00DD18FE">
      <w:pPr>
        <w:rPr>
          <w:i/>
        </w:rPr>
      </w:pPr>
    </w:p>
    <w:p w14:paraId="3EB345D8" w14:textId="7E8B3992" w:rsidR="00631E21" w:rsidRDefault="00631E21" w:rsidP="00DD18FE">
      <w:pPr>
        <w:rPr>
          <w:i/>
        </w:rPr>
      </w:pPr>
    </w:p>
    <w:p w14:paraId="3E2C8888" w14:textId="77777777" w:rsidR="00631E21" w:rsidRPr="00D45754" w:rsidRDefault="00631E21" w:rsidP="00DD18FE">
      <w:pPr>
        <w:rPr>
          <w:i/>
        </w:rPr>
      </w:pPr>
    </w:p>
    <w:p w14:paraId="5EF3A90D" w14:textId="0B53EB25" w:rsidR="007435C5" w:rsidRDefault="007435C5" w:rsidP="00DD18FE">
      <w:pPr>
        <w:spacing w:before="240"/>
        <w:rPr>
          <w:b/>
        </w:rPr>
      </w:pPr>
      <w:r>
        <w:rPr>
          <w:b/>
        </w:rPr>
        <w:lastRenderedPageBreak/>
        <w:t>S</w:t>
      </w:r>
      <w:r w:rsidR="005D276E">
        <w:rPr>
          <w:b/>
        </w:rPr>
        <w:t>5</w:t>
      </w:r>
      <w:r>
        <w:rPr>
          <w:b/>
        </w:rPr>
        <w:t>) Standardized measures of subgroup similarity</w:t>
      </w:r>
    </w:p>
    <w:p w14:paraId="44A92F2A" w14:textId="06E834F0" w:rsidR="007435C5" w:rsidRPr="001B1D21" w:rsidRDefault="007435C5" w:rsidP="00DD18FE">
      <w:pPr>
        <w:spacing w:before="240"/>
        <w:jc w:val="both"/>
        <w:rPr>
          <w:b/>
        </w:rPr>
      </w:pPr>
      <w:r>
        <w:t>A</w:t>
      </w:r>
      <w:r w:rsidRPr="00A72B6C">
        <w:t xml:space="preserve">lthough not preregistered, we </w:t>
      </w:r>
      <w:r w:rsidR="001B1D21">
        <w:t xml:space="preserve">exploratively </w:t>
      </w:r>
      <w:r w:rsidRPr="00A72B6C">
        <w:t xml:space="preserve">calculated two measures of </w:t>
      </w:r>
      <w:r>
        <w:t>subgroup</w:t>
      </w:r>
      <w:r w:rsidRPr="00A72B6C">
        <w:t xml:space="preserve"> similarity between the subgroups identified at T1 and T2. First, we calculated the Rand Index</w:t>
      </w:r>
      <w:r>
        <w:t xml:space="preserve"> (RI)</w:t>
      </w:r>
      <w:r w:rsidRPr="00A72B6C">
        <w:t xml:space="preserve"> that ranges between 0 and 1 </w:t>
      </w:r>
      <w:r w:rsidRPr="00A72B6C">
        <w:fldChar w:fldCharType="begin" w:fldLock="1"/>
      </w:r>
      <w:r>
        <w:instrText>ADDIN CSL_CITATION {"citationItems":[{"id":"ITEM-1","itemData":{"DOI":"10.1080/01621459.1971.10482356","ISSN":"1537274X","abstract":"Many intuitively appealing methods have been suggested for clustering data, however, interpretation of their results has been hindered by the lack of objective criteria. This article proposes several criteria which isolate specific aspects of the performance of a method, such as its retrieval of inherent structure, its sensitivity to resampling and the stability of its results in the light of new data. These criteria depend on a measure of similarity between two different clusterings of the same set of data; the measure essentially considers how each pair of data points is assigned in each clustering. © Taylor &amp; Francis Group, LLC.","author":[{"dropping-particle":"","family":"Rand","given":"William M.","non-dropping-particle":"","parse-names":false,"suffix":""}],"container-title":"Journal of the American Statistical Association","id":"ITEM-1","issue":"336","issued":{"date-parts":[["1971"]]},"page":"846-850","title":"Objective criteria for the evaluation of clustering methods","type":"article-journal","volume":"66"},"uris":["http://www.mendeley.com/documents/?uuid=1882b9d9-ea84-418d-a008-6cd38a23b133"]}],"mendeley":{"formattedCitation":"(Rand, 1971)","plainTextFormattedCitation":"(Rand, 1971)","previouslyFormattedCitation":"(Rand, 1971)"},"properties":{"noteIndex":0},"schema":"https://github.com/citation-style-language/schema/raw/master/csl-citation.json"}</w:instrText>
      </w:r>
      <w:r w:rsidRPr="00A72B6C">
        <w:fldChar w:fldCharType="separate"/>
      </w:r>
      <w:r w:rsidRPr="00A72B6C">
        <w:rPr>
          <w:noProof/>
        </w:rPr>
        <w:t>(Rand, 1971)</w:t>
      </w:r>
      <w:r w:rsidRPr="00A72B6C">
        <w:fldChar w:fldCharType="end"/>
      </w:r>
      <w:r w:rsidRPr="00A72B6C">
        <w:t>. Second, we calculated the Hubert-</w:t>
      </w:r>
      <w:proofErr w:type="spellStart"/>
      <w:r w:rsidRPr="00A72B6C">
        <w:t>Arabie</w:t>
      </w:r>
      <w:proofErr w:type="spellEnd"/>
      <w:r w:rsidRPr="00A72B6C">
        <w:t xml:space="preserve"> Adjusted Rand Index</w:t>
      </w:r>
      <w:r w:rsidR="00937E6A">
        <w:t xml:space="preserve"> </w:t>
      </w:r>
      <w:r w:rsidR="00937E6A">
        <w:fldChar w:fldCharType="begin" w:fldLock="1"/>
      </w:r>
      <w:r w:rsidR="0087680D">
        <w:instrText>ADDIN CSL_CITATION {"citationItems":[{"id":"ITEM-1","itemData":{"DOI":"10.1007/BF01908075","ISBN":"0176-4268","ISSN":"0002-8282","abstract":"Intuitively, people who meet to trade face a bargaining problem if several of them, with opposing interests, can influence the outcome of trade through their behavior. Traders constitute a competitive market only if the effect of any trader on the outcome of trade is insignificant. Analysis of bargaining using noncooperative game theory has been a lively research topic over the past ten years, while the formalization of perfectly competitive markets using a continuum of traders is now several decades old. In this article the author discuss a line of research that studies the transition between these two theories, that shows how a bargaining problem is transformed into a market as the number of traders increases. Incomplete information is an essential feature of the model that the author discuss. In order to explain how traders achieve a competitive equilibrium, it is standard to assume that all potential gains from trade are commonly known at the outset. In contrast, each trader in the model that the author describe privately knows his own preferences. A second feature is that a market with any finite number of traders on each side is modeled, rather than one with a continuum of traders.","author":[{"dropping-particle":"","family":"Hubert","given":"Lawrence","non-dropping-particle":"","parse-names":false,"suffix":""},{"dropping-particle":"","family":"Arabie","given":"Phipps","non-dropping-particle":"","parse-names":false,"suffix":""}],"container-title":"Journal of Classification","id":"ITEM-1","issued":{"date-parts":[["1985"]]},"page":"193-218","title":"Comparing partitions","type":"article-journal","volume":"2"},"uris":["http://www.mendeley.com/documents/?uuid=79177799-200e-4c4a-a0ff-877707d2271c"]}],"mendeley":{"formattedCitation":"(Hubert &amp; Arabie, 1985)","manualFormatting":"(ARIHA; Hubert &amp; Arabie, 1985)","plainTextFormattedCitation":"(Hubert &amp; Arabie, 1985)","previouslyFormattedCitation":"(Hubert &amp; Arabie, 1985)"},"properties":{"noteIndex":0},"schema":"https://github.com/citation-style-language/schema/raw/master/csl-citation.json"}</w:instrText>
      </w:r>
      <w:r w:rsidR="00937E6A">
        <w:fldChar w:fldCharType="separate"/>
      </w:r>
      <w:r w:rsidR="00937E6A" w:rsidRPr="00937E6A">
        <w:rPr>
          <w:noProof/>
        </w:rPr>
        <w:t>(</w:t>
      </w:r>
      <w:r w:rsidR="00937E6A" w:rsidRPr="00A72B6C">
        <w:rPr>
          <w:noProof/>
        </w:rPr>
        <w:t>ARI</w:t>
      </w:r>
      <w:r w:rsidR="00937E6A" w:rsidRPr="00A72B6C">
        <w:rPr>
          <w:noProof/>
          <w:vertAlign w:val="subscript"/>
        </w:rPr>
        <w:t>HA</w:t>
      </w:r>
      <w:r w:rsidR="00937E6A" w:rsidRPr="00A72B6C">
        <w:rPr>
          <w:noProof/>
        </w:rPr>
        <w:t>;</w:t>
      </w:r>
      <w:r w:rsidR="00937E6A">
        <w:rPr>
          <w:noProof/>
        </w:rPr>
        <w:t xml:space="preserve"> </w:t>
      </w:r>
      <w:r w:rsidR="00937E6A" w:rsidRPr="00937E6A">
        <w:rPr>
          <w:noProof/>
        </w:rPr>
        <w:t>Hubert &amp; Arabie, 1985)</w:t>
      </w:r>
      <w:r w:rsidR="00937E6A">
        <w:fldChar w:fldCharType="end"/>
      </w:r>
      <w:r w:rsidRPr="00A72B6C">
        <w:t xml:space="preserve">, which ranges between -1 and 1. </w:t>
      </w:r>
      <w:r>
        <w:t>For both measures, values</w:t>
      </w:r>
      <w:r w:rsidRPr="00A72B6C">
        <w:t xml:space="preserve"> greater than 0.90 can be interpreted as excellent </w:t>
      </w:r>
      <w:r>
        <w:t>subgroup</w:t>
      </w:r>
      <w:r w:rsidRPr="00A72B6C">
        <w:t xml:space="preserve"> recovery (i.e. similarity between </w:t>
      </w:r>
      <w:r>
        <w:t>subgroups</w:t>
      </w:r>
      <w:r w:rsidRPr="00A72B6C">
        <w:t xml:space="preserve"> at T1 and T2) and </w:t>
      </w:r>
      <w:r w:rsidRPr="001B1D21">
        <w:t xml:space="preserve">values less than 0.65 reflect poor recovery </w:t>
      </w:r>
      <w:r w:rsidRPr="001B1D21">
        <w:fldChar w:fldCharType="begin" w:fldLock="1"/>
      </w:r>
      <w:r w:rsidR="0087680D" w:rsidRPr="001B1D21">
        <w:instrText>ADDIN CSL_CITATION {"citationItems":[{"id":"ITEM-1","itemData":{"DOI":"10.1037/1082-989X.9.3.386","ISSN":"1082989X","abstract":"This article provides an investigation of cluster validation indices that relates 4 of the indices to the L. Hubert and P. Arabie (1985) adjusted Rand index - the cluster validation measure of choice (G. W. Milligan &amp; M. C. Cooper, 1986). It is shown how these other indices can be \"roughly\" transformed into the same scale as the adjusted Rand index. Furthermore, in-depth explanations are given of why classification rates should not be used in cluster validation research. The article concludes by summarizing several properties of the adjusted Rand index across many conditions and provides a method for testing the significance of observed adjusted Rand indices.","author":[{"dropping-particle":"","family":"Steinley","given":"Douglas","non-dropping-particle":"","parse-names":false,"suffix":""}],"container-title":"Psychological Methods","id":"ITEM-1","issue":"3","issued":{"date-parts":[["2004"]]},"page":"386-396","title":"Properties of the Hubert-Arabie adjusted rand index","type":"article-journal","volume":"9"},"uris":["http://www.mendeley.com/documents/?uuid=3144068b-166d-44c2-956c-1d03e9013ba1"]}],"mendeley":{"formattedCitation":"(Steinley, 2004)","plainTextFormattedCitation":"(Steinley, 2004)","previouslyFormattedCitation":"(Steinley, 2004)"},"properties":{"noteIndex":0},"schema":"https://github.com/citation-style-language/schema/raw/master/csl-citation.json"}</w:instrText>
      </w:r>
      <w:r w:rsidRPr="001B1D21">
        <w:fldChar w:fldCharType="separate"/>
      </w:r>
      <w:r w:rsidRPr="001B1D21">
        <w:rPr>
          <w:noProof/>
        </w:rPr>
        <w:t>(Steinley, 2004)</w:t>
      </w:r>
      <w:r w:rsidRPr="001B1D21">
        <w:fldChar w:fldCharType="end"/>
      </w:r>
      <w:r w:rsidRPr="001B1D21">
        <w:t>.</w:t>
      </w:r>
    </w:p>
    <w:p w14:paraId="7097CAE9" w14:textId="77777777" w:rsidR="00BB6E1A" w:rsidRDefault="007435C5" w:rsidP="00DD18FE">
      <w:pPr>
        <w:ind w:firstLine="720"/>
        <w:jc w:val="both"/>
        <w:rPr>
          <w:b/>
        </w:rPr>
      </w:pPr>
      <w:r w:rsidRPr="001B1D21">
        <w:t>In the current study, resul</w:t>
      </w:r>
      <w:r w:rsidR="00386F4B" w:rsidRPr="001B1D21">
        <w:t xml:space="preserve">ts indicated a poor </w:t>
      </w:r>
      <w:r w:rsidRPr="001B1D21">
        <w:t>recovery of su</w:t>
      </w:r>
      <w:r w:rsidR="00386F4B" w:rsidRPr="001B1D21">
        <w:t>bgroups from T1 to T2 (RI = 0.60</w:t>
      </w:r>
      <w:r w:rsidRPr="001B1D21">
        <w:t>, ARI</w:t>
      </w:r>
      <w:r w:rsidRPr="001B1D21">
        <w:rPr>
          <w:vertAlign w:val="subscript"/>
        </w:rPr>
        <w:t>HA</w:t>
      </w:r>
      <w:r w:rsidRPr="001B1D21">
        <w:rPr>
          <w:i/>
        </w:rPr>
        <w:t xml:space="preserve"> </w:t>
      </w:r>
      <w:r w:rsidR="00386F4B" w:rsidRPr="001B1D21">
        <w:t>= 0.10</w:t>
      </w:r>
      <w:r w:rsidRPr="001B1D21">
        <w:t>). However, it should be noted that</w:t>
      </w:r>
      <w:r>
        <w:t xml:space="preserve"> a perfect similarity between subgroups at two measurement occasions is unlikely, since individuals are subject to change. A perfect recovery would imply that there are no transitions between subgroups (i.e., people do</w:t>
      </w:r>
      <w:r w:rsidR="00AA1792">
        <w:t xml:space="preserve"> not </w:t>
      </w:r>
      <w:r>
        <w:t>change at all over time), which is not likely or clinically desirable. T</w:t>
      </w:r>
      <w:r w:rsidR="00BE7896">
        <w:t xml:space="preserve">hese measures are less applicable to the current study, and therefore, one should consider the </w:t>
      </w:r>
      <w:r>
        <w:t xml:space="preserve">underlying profiles of subgroups across measurement occasions as well.   </w:t>
      </w:r>
    </w:p>
    <w:p w14:paraId="3655C8C5" w14:textId="1403F08E" w:rsidR="00C65AF0" w:rsidRDefault="00C65AF0">
      <w:pPr>
        <w:rPr>
          <w:b/>
        </w:rPr>
      </w:pPr>
      <w:r>
        <w:rPr>
          <w:b/>
        </w:rPr>
        <w:br w:type="page"/>
      </w:r>
    </w:p>
    <w:p w14:paraId="7581DB83" w14:textId="5408364F" w:rsidR="00BB6E1A" w:rsidRDefault="00BB6E1A" w:rsidP="00DD18FE">
      <w:pPr>
        <w:spacing w:before="240"/>
        <w:rPr>
          <w:b/>
          <w:bCs/>
        </w:rPr>
      </w:pPr>
      <w:r>
        <w:rPr>
          <w:b/>
        </w:rPr>
        <w:lastRenderedPageBreak/>
        <w:t>S</w:t>
      </w:r>
      <w:r w:rsidR="005D276E">
        <w:rPr>
          <w:b/>
        </w:rPr>
        <w:t>6</w:t>
      </w:r>
      <w:r>
        <w:rPr>
          <w:b/>
        </w:rPr>
        <w:t xml:space="preserve">) </w:t>
      </w:r>
      <w:r w:rsidRPr="00BB6E1A">
        <w:rPr>
          <w:b/>
          <w:bCs/>
        </w:rPr>
        <w:t xml:space="preserve">Changes in </w:t>
      </w:r>
      <w:r w:rsidR="0079314D">
        <w:rPr>
          <w:b/>
          <w:bCs/>
        </w:rPr>
        <w:t>cluster variable scores</w:t>
      </w:r>
      <w:r w:rsidRPr="00BB6E1A">
        <w:rPr>
          <w:b/>
          <w:bCs/>
        </w:rPr>
        <w:t xml:space="preserve"> from T1 to T2</w:t>
      </w:r>
    </w:p>
    <w:p w14:paraId="45D0DF71" w14:textId="3D1CFC72" w:rsidR="00BB6E1A" w:rsidRDefault="00631E21" w:rsidP="00DD18FE">
      <w:pPr>
        <w:spacing w:before="240"/>
        <w:rPr>
          <w:b/>
        </w:rPr>
      </w:pPr>
      <w:r>
        <w:rPr>
          <w:b/>
          <w:noProof/>
        </w:rPr>
        <w:drawing>
          <wp:inline distT="0" distB="0" distL="0" distR="0" wp14:anchorId="1C0D7ACE" wp14:editId="14F449F7">
            <wp:extent cx="5727408" cy="5855970"/>
            <wp:effectExtent l="0" t="0" r="698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a:extLst>
                        <a:ext uri="{28A0092B-C50C-407E-A947-70E740481C1C}">
                          <a14:useLocalDpi xmlns:a14="http://schemas.microsoft.com/office/drawing/2010/main" val="0"/>
                        </a:ext>
                      </a:extLst>
                    </a:blip>
                    <a:stretch>
                      <a:fillRect/>
                    </a:stretch>
                  </pic:blipFill>
                  <pic:spPr>
                    <a:xfrm>
                      <a:off x="0" y="0"/>
                      <a:ext cx="5727408" cy="5855970"/>
                    </a:xfrm>
                    <a:prstGeom prst="rect">
                      <a:avLst/>
                    </a:prstGeom>
                  </pic:spPr>
                </pic:pic>
              </a:graphicData>
            </a:graphic>
          </wp:inline>
        </w:drawing>
      </w:r>
    </w:p>
    <w:p w14:paraId="4C97BB64" w14:textId="6CD712C9" w:rsidR="00C65AF0" w:rsidRPr="00B93761" w:rsidRDefault="00C65AF0" w:rsidP="00DD18FE">
      <w:pPr>
        <w:rPr>
          <w:i/>
        </w:rPr>
      </w:pPr>
      <w:proofErr w:type="spellStart"/>
      <w:r w:rsidRPr="00B93761">
        <w:rPr>
          <w:i/>
        </w:rPr>
        <w:t>sFigure</w:t>
      </w:r>
      <w:proofErr w:type="spellEnd"/>
      <w:r w:rsidRPr="00B93761">
        <w:rPr>
          <w:i/>
        </w:rPr>
        <w:t xml:space="preserve"> 2.</w:t>
      </w:r>
      <w:r w:rsidRPr="00B93761">
        <w:rPr>
          <w:b/>
        </w:rPr>
        <w:t xml:space="preserve"> </w:t>
      </w:r>
      <w:r w:rsidRPr="00B93761">
        <w:t>Changes in mean z-scores on cluster variables from T1 to T2.</w:t>
      </w:r>
    </w:p>
    <w:p w14:paraId="3C7F111A" w14:textId="6CC809B3" w:rsidR="00BB6E1A" w:rsidRDefault="00C65AF0" w:rsidP="00DD18FE">
      <w:pPr>
        <w:jc w:val="both"/>
        <w:rPr>
          <w:b/>
        </w:rPr>
      </w:pPr>
      <w:r w:rsidRPr="00B93761">
        <w:rPr>
          <w:i/>
        </w:rPr>
        <w:t>Note</w:t>
      </w:r>
      <w:r w:rsidRPr="00B93761">
        <w:t>. Scores as shown as z-scores based on the total sample mean. A z-score above 0 indicates an increase from T1 to T2, whereas a z-score below 0 indicates a decrease.</w:t>
      </w:r>
      <w:r w:rsidR="006728B3" w:rsidRPr="00B93761">
        <w:t xml:space="preserve"> A z-score of 0 </w:t>
      </w:r>
      <w:r w:rsidR="001E7A7E" w:rsidRPr="00B93761">
        <w:t>indicates</w:t>
      </w:r>
      <w:r w:rsidR="006728B3" w:rsidRPr="00B93761">
        <w:t xml:space="preserve"> absence of change.</w:t>
      </w:r>
    </w:p>
    <w:p w14:paraId="2C2263B9" w14:textId="77777777" w:rsidR="0079314D" w:rsidRDefault="0079314D" w:rsidP="00DD18FE">
      <w:pPr>
        <w:rPr>
          <w:b/>
        </w:rPr>
      </w:pPr>
      <w:r>
        <w:rPr>
          <w:b/>
        </w:rPr>
        <w:br w:type="page"/>
      </w:r>
    </w:p>
    <w:p w14:paraId="29E68A70" w14:textId="749A927F" w:rsidR="007435C5" w:rsidRPr="00BB6E1A" w:rsidRDefault="007435C5" w:rsidP="00DD18FE">
      <w:pPr>
        <w:jc w:val="both"/>
      </w:pPr>
      <w:r>
        <w:rPr>
          <w:b/>
        </w:rPr>
        <w:lastRenderedPageBreak/>
        <w:t>S</w:t>
      </w:r>
      <w:r w:rsidR="005D276E">
        <w:rPr>
          <w:b/>
        </w:rPr>
        <w:t>7</w:t>
      </w:r>
      <w:r>
        <w:rPr>
          <w:b/>
        </w:rPr>
        <w:t>) References</w:t>
      </w:r>
    </w:p>
    <w:p w14:paraId="3B88E660" w14:textId="5822489A" w:rsidR="00B93761" w:rsidRPr="00B93761" w:rsidRDefault="000D4F62" w:rsidP="00DD18FE">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B93761" w:rsidRPr="00B93761">
        <w:rPr>
          <w:noProof/>
        </w:rPr>
        <w:t xml:space="preserve">American Psychiatric Association. (2000). </w:t>
      </w:r>
      <w:r w:rsidR="00B93761" w:rsidRPr="00B93761">
        <w:rPr>
          <w:i/>
          <w:iCs/>
          <w:noProof/>
        </w:rPr>
        <w:t>Diagnostic and statistical manual of mental disorders</w:t>
      </w:r>
      <w:r w:rsidR="00B93761" w:rsidRPr="00B93761">
        <w:rPr>
          <w:noProof/>
        </w:rPr>
        <w:t xml:space="preserve"> (4th ed.). Author.</w:t>
      </w:r>
    </w:p>
    <w:p w14:paraId="0DFACCBE"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Amrhein, P. C., Bond, J. K., &amp; Hamilton, D. A. (1999). Locus of control and the age difference in free recall from episodic memory. </w:t>
      </w:r>
      <w:r w:rsidRPr="00B93761">
        <w:rPr>
          <w:i/>
          <w:iCs/>
          <w:noProof/>
        </w:rPr>
        <w:t>Journal of General Psychology</w:t>
      </w:r>
      <w:r w:rsidRPr="00B93761">
        <w:rPr>
          <w:noProof/>
        </w:rPr>
        <w:t xml:space="preserve">, </w:t>
      </w:r>
      <w:r w:rsidRPr="00B93761">
        <w:rPr>
          <w:i/>
          <w:iCs/>
          <w:noProof/>
        </w:rPr>
        <w:t>126</w:t>
      </w:r>
      <w:r w:rsidRPr="00B93761">
        <w:rPr>
          <w:noProof/>
        </w:rPr>
        <w:t>(2), 149–164. https://doi.org/10.1080/00221309909595358</w:t>
      </w:r>
    </w:p>
    <w:p w14:paraId="698D3CA9" w14:textId="77777777" w:rsidR="00B93761" w:rsidRPr="005D276E" w:rsidRDefault="00B93761" w:rsidP="00DD18FE">
      <w:pPr>
        <w:widowControl w:val="0"/>
        <w:autoSpaceDE w:val="0"/>
        <w:autoSpaceDN w:val="0"/>
        <w:adjustRightInd w:val="0"/>
        <w:ind w:left="480" w:hanging="480"/>
        <w:rPr>
          <w:noProof/>
          <w:lang w:val="nl-NL"/>
        </w:rPr>
      </w:pPr>
      <w:r w:rsidRPr="00B93761">
        <w:rPr>
          <w:noProof/>
        </w:rPr>
        <w:t xml:space="preserve">Barkley, R. A., Murphy, K. R., &amp; Fischer, M. (2007). </w:t>
      </w:r>
      <w:r w:rsidRPr="00B93761">
        <w:rPr>
          <w:i/>
          <w:iCs/>
          <w:noProof/>
        </w:rPr>
        <w:t>ADHD in adults: What the science says</w:t>
      </w:r>
      <w:r w:rsidRPr="00B93761">
        <w:rPr>
          <w:noProof/>
        </w:rPr>
        <w:t xml:space="preserve">. </w:t>
      </w:r>
      <w:r w:rsidRPr="005D276E">
        <w:rPr>
          <w:noProof/>
          <w:lang w:val="nl-NL"/>
        </w:rPr>
        <w:t>Guilford.</w:t>
      </w:r>
    </w:p>
    <w:p w14:paraId="6A5CFC9A" w14:textId="77777777" w:rsidR="00B93761" w:rsidRPr="00B93761" w:rsidRDefault="00B93761" w:rsidP="00DD18FE">
      <w:pPr>
        <w:widowControl w:val="0"/>
        <w:autoSpaceDE w:val="0"/>
        <w:autoSpaceDN w:val="0"/>
        <w:adjustRightInd w:val="0"/>
        <w:ind w:left="480" w:hanging="480"/>
        <w:rPr>
          <w:noProof/>
        </w:rPr>
      </w:pPr>
      <w:r w:rsidRPr="005D276E">
        <w:rPr>
          <w:noProof/>
          <w:lang w:val="nl-NL"/>
        </w:rPr>
        <w:t xml:space="preserve">Beydoun, M. A., Beydoun, H. A., Gamaldo, A. A., Teel, A., Zonderman, A. B., &amp; Wang, Y. (2014). </w:t>
      </w:r>
      <w:r w:rsidRPr="00B93761">
        <w:rPr>
          <w:noProof/>
        </w:rPr>
        <w:t xml:space="preserve">Epidemiologic studies of modifiable factors associated with cognition and dementia: Systematic review and meta-analysis. </w:t>
      </w:r>
      <w:r w:rsidRPr="00B93761">
        <w:rPr>
          <w:i/>
          <w:iCs/>
          <w:noProof/>
        </w:rPr>
        <w:t>BMC Public Health</w:t>
      </w:r>
      <w:r w:rsidRPr="00B93761">
        <w:rPr>
          <w:noProof/>
        </w:rPr>
        <w:t xml:space="preserve">, </w:t>
      </w:r>
      <w:r w:rsidRPr="00B93761">
        <w:rPr>
          <w:i/>
          <w:iCs/>
          <w:noProof/>
        </w:rPr>
        <w:t>14</w:t>
      </w:r>
      <w:r w:rsidRPr="00B93761">
        <w:rPr>
          <w:noProof/>
        </w:rPr>
        <w:t>(1), 1–33. https://doi.org/10.1186/1471-2458-14-643</w:t>
      </w:r>
    </w:p>
    <w:p w14:paraId="0C539EA7" w14:textId="3812227A" w:rsidR="00B93761" w:rsidRPr="00B93761" w:rsidRDefault="00B93761" w:rsidP="00DD18FE">
      <w:pPr>
        <w:widowControl w:val="0"/>
        <w:autoSpaceDE w:val="0"/>
        <w:autoSpaceDN w:val="0"/>
        <w:adjustRightInd w:val="0"/>
        <w:ind w:left="480" w:hanging="480"/>
        <w:rPr>
          <w:noProof/>
        </w:rPr>
      </w:pPr>
      <w:r w:rsidRPr="00B93761">
        <w:rPr>
          <w:noProof/>
        </w:rPr>
        <w:t xml:space="preserve">Brooks, R. (1996). EuroQol: the current state of play. </w:t>
      </w:r>
      <w:r w:rsidRPr="00B93761">
        <w:rPr>
          <w:i/>
          <w:iCs/>
          <w:noProof/>
        </w:rPr>
        <w:t>Health Policy</w:t>
      </w:r>
      <w:r w:rsidRPr="00B93761">
        <w:rPr>
          <w:noProof/>
        </w:rPr>
        <w:t xml:space="preserve">, </w:t>
      </w:r>
      <w:r w:rsidRPr="00B93761">
        <w:rPr>
          <w:i/>
          <w:iCs/>
          <w:noProof/>
        </w:rPr>
        <w:t>37</w:t>
      </w:r>
      <w:r w:rsidRPr="00B93761">
        <w:rPr>
          <w:noProof/>
        </w:rPr>
        <w:t>(1), 53–72. https://doi.org/10.1016/0168-8510(96)00822-6</w:t>
      </w:r>
    </w:p>
    <w:p w14:paraId="7EFA260F" w14:textId="77777777" w:rsidR="00B93761" w:rsidRPr="005D276E" w:rsidRDefault="00B93761" w:rsidP="00DD18FE">
      <w:pPr>
        <w:widowControl w:val="0"/>
        <w:autoSpaceDE w:val="0"/>
        <w:autoSpaceDN w:val="0"/>
        <w:adjustRightInd w:val="0"/>
        <w:ind w:left="480" w:hanging="480"/>
        <w:rPr>
          <w:noProof/>
          <w:lang w:val="nl-NL"/>
        </w:rPr>
      </w:pPr>
      <w:r w:rsidRPr="00B93761">
        <w:rPr>
          <w:noProof/>
        </w:rPr>
        <w:t xml:space="preserve">Caspersen, C. J., Bloemberg, B. P. M., Saris, W. H. M., Merritt, R. K., &amp; Kromhout, D. (1991). The prevalence of selected physical activities and their relation with coronary heart disease risk factors in elderly men: The Zutphen Study, 1985. </w:t>
      </w:r>
      <w:r w:rsidRPr="005D276E">
        <w:rPr>
          <w:i/>
          <w:iCs/>
          <w:noProof/>
          <w:lang w:val="nl-NL"/>
        </w:rPr>
        <w:t>American Journal of Epidemiology</w:t>
      </w:r>
      <w:r w:rsidRPr="005D276E">
        <w:rPr>
          <w:noProof/>
          <w:lang w:val="nl-NL"/>
        </w:rPr>
        <w:t xml:space="preserve">, </w:t>
      </w:r>
      <w:r w:rsidRPr="005D276E">
        <w:rPr>
          <w:i/>
          <w:iCs/>
          <w:noProof/>
          <w:lang w:val="nl-NL"/>
        </w:rPr>
        <w:t>133</w:t>
      </w:r>
      <w:r w:rsidRPr="005D276E">
        <w:rPr>
          <w:noProof/>
          <w:lang w:val="nl-NL"/>
        </w:rPr>
        <w:t>(11), 1078–1092.</w:t>
      </w:r>
    </w:p>
    <w:p w14:paraId="5D9312E5" w14:textId="77777777" w:rsidR="00B93761" w:rsidRPr="005D276E" w:rsidRDefault="00B93761" w:rsidP="00DD18FE">
      <w:pPr>
        <w:widowControl w:val="0"/>
        <w:autoSpaceDE w:val="0"/>
        <w:autoSpaceDN w:val="0"/>
        <w:adjustRightInd w:val="0"/>
        <w:ind w:left="480" w:hanging="480"/>
        <w:rPr>
          <w:noProof/>
          <w:lang w:val="nl-NL"/>
        </w:rPr>
      </w:pPr>
      <w:r w:rsidRPr="005D276E">
        <w:rPr>
          <w:noProof/>
          <w:lang w:val="nl-NL"/>
        </w:rPr>
        <w:t xml:space="preserve">Comijs, H. C., Aartsen, M. J., Visser, M., &amp; Deeg, D. J. H. (2012). Alcoholgebruik onder 55-plussers in Nederland. </w:t>
      </w:r>
      <w:r w:rsidRPr="005D276E">
        <w:rPr>
          <w:i/>
          <w:iCs/>
          <w:noProof/>
          <w:lang w:val="nl-NL"/>
        </w:rPr>
        <w:t>Tijdschrift Voor Gerontologie En Geriatrie</w:t>
      </w:r>
      <w:r w:rsidRPr="005D276E">
        <w:rPr>
          <w:noProof/>
          <w:lang w:val="nl-NL"/>
        </w:rPr>
        <w:t xml:space="preserve">, </w:t>
      </w:r>
      <w:r w:rsidRPr="005D276E">
        <w:rPr>
          <w:i/>
          <w:iCs/>
          <w:noProof/>
          <w:lang w:val="nl-NL"/>
        </w:rPr>
        <w:t>43</w:t>
      </w:r>
      <w:r w:rsidRPr="005D276E">
        <w:rPr>
          <w:noProof/>
          <w:lang w:val="nl-NL"/>
        </w:rPr>
        <w:t>(3), 115–126. https://doi.org/10.1007/s12439-012-0018-9</w:t>
      </w:r>
    </w:p>
    <w:p w14:paraId="6E48C85C" w14:textId="135FC144" w:rsidR="00B93761" w:rsidRPr="00B93761" w:rsidRDefault="00B93761" w:rsidP="00DD18FE">
      <w:pPr>
        <w:widowControl w:val="0"/>
        <w:autoSpaceDE w:val="0"/>
        <w:autoSpaceDN w:val="0"/>
        <w:adjustRightInd w:val="0"/>
        <w:ind w:left="480" w:hanging="480"/>
        <w:rPr>
          <w:noProof/>
        </w:rPr>
      </w:pPr>
      <w:r w:rsidRPr="005D276E">
        <w:rPr>
          <w:noProof/>
          <w:lang w:val="nl-NL"/>
        </w:rPr>
        <w:t xml:space="preserve">De Smedt, D., Clays, E., Doyle, F., Kotseva, K., Prugger, C., Pająk, A., Jennings, C., Wood, D., &amp; De Bacquer, D. (2013). </w:t>
      </w:r>
      <w:r w:rsidRPr="00B93761">
        <w:rPr>
          <w:noProof/>
        </w:rPr>
        <w:t xml:space="preserve">Validity and reliability of three commonly used quality of life measures in a large European population of coronary heart disease patients. </w:t>
      </w:r>
      <w:r w:rsidRPr="00B93761">
        <w:rPr>
          <w:i/>
          <w:iCs/>
          <w:noProof/>
        </w:rPr>
        <w:t>International Journal of Cardiology</w:t>
      </w:r>
      <w:r w:rsidRPr="00B93761">
        <w:rPr>
          <w:noProof/>
        </w:rPr>
        <w:t xml:space="preserve">, </w:t>
      </w:r>
      <w:r w:rsidRPr="00B93761">
        <w:rPr>
          <w:i/>
          <w:iCs/>
          <w:noProof/>
        </w:rPr>
        <w:t>167</w:t>
      </w:r>
      <w:r w:rsidRPr="00B93761">
        <w:rPr>
          <w:noProof/>
        </w:rPr>
        <w:t>(5), 2294–2299. https://doi.org/10.1016/j.ijcard.2012.06.025</w:t>
      </w:r>
    </w:p>
    <w:p w14:paraId="793B6435"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Dolan, P. (1997). Modeling valuations for EuroQol health states. </w:t>
      </w:r>
      <w:r w:rsidRPr="00B93761">
        <w:rPr>
          <w:i/>
          <w:iCs/>
          <w:noProof/>
        </w:rPr>
        <w:t>Medical Care</w:t>
      </w:r>
      <w:r w:rsidRPr="00B93761">
        <w:rPr>
          <w:noProof/>
        </w:rPr>
        <w:t xml:space="preserve">, </w:t>
      </w:r>
      <w:r w:rsidRPr="00B93761">
        <w:rPr>
          <w:i/>
          <w:iCs/>
          <w:noProof/>
        </w:rPr>
        <w:t>35</w:t>
      </w:r>
      <w:r w:rsidRPr="00B93761">
        <w:rPr>
          <w:noProof/>
        </w:rPr>
        <w:t>(11), 1095–1108. https://doi.org/10.1097/00005650-199711000-00002</w:t>
      </w:r>
    </w:p>
    <w:p w14:paraId="76804FF1" w14:textId="39CAF18E" w:rsidR="00B93761" w:rsidRPr="00B93761" w:rsidRDefault="00B93761" w:rsidP="00DD18FE">
      <w:pPr>
        <w:widowControl w:val="0"/>
        <w:autoSpaceDE w:val="0"/>
        <w:autoSpaceDN w:val="0"/>
        <w:adjustRightInd w:val="0"/>
        <w:ind w:left="480" w:hanging="480"/>
        <w:rPr>
          <w:noProof/>
        </w:rPr>
      </w:pPr>
      <w:r w:rsidRPr="00B93761">
        <w:rPr>
          <w:noProof/>
        </w:rPr>
        <w:t xml:space="preserve">Gerstorf, D., Hoppmann, C. A., Löckenhoff, C. E., Infurna, F. J., Wagner, G. G., &amp; Ram, N. (2016). Terminal Decline in Well-Being: The Role of Social Orientation. </w:t>
      </w:r>
      <w:r w:rsidRPr="00B93761">
        <w:rPr>
          <w:i/>
          <w:iCs/>
          <w:noProof/>
        </w:rPr>
        <w:t>Psychology and Aging</w:t>
      </w:r>
      <w:r w:rsidRPr="00B93761">
        <w:rPr>
          <w:noProof/>
        </w:rPr>
        <w:t xml:space="preserve">, </w:t>
      </w:r>
      <w:r w:rsidRPr="00B93761">
        <w:rPr>
          <w:i/>
          <w:iCs/>
          <w:noProof/>
        </w:rPr>
        <w:t>31</w:t>
      </w:r>
      <w:r w:rsidRPr="00B93761">
        <w:rPr>
          <w:noProof/>
        </w:rPr>
        <w:t>(2), 149–165. http://dx.doi.org/10.1037/pag0000072</w:t>
      </w:r>
    </w:p>
    <w:p w14:paraId="3387D925"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Greaves, C. J., Sheppard, K. E., Abraham, C., Hardeman, W., Roden, M., Evans, P. H., &amp; Schwarz, P. (2011). Systematic review of reviews of intervention components associated with increased effectiveness in dietary and physical activity interventions. </w:t>
      </w:r>
      <w:r w:rsidRPr="00B93761">
        <w:rPr>
          <w:i/>
          <w:iCs/>
          <w:noProof/>
        </w:rPr>
        <w:t>BMC Public Health</w:t>
      </w:r>
      <w:r w:rsidRPr="00B93761">
        <w:rPr>
          <w:noProof/>
        </w:rPr>
        <w:t xml:space="preserve">, </w:t>
      </w:r>
      <w:r w:rsidRPr="00B93761">
        <w:rPr>
          <w:i/>
          <w:iCs/>
          <w:noProof/>
        </w:rPr>
        <w:t>11</w:t>
      </w:r>
      <w:r w:rsidRPr="00B93761">
        <w:rPr>
          <w:noProof/>
        </w:rPr>
        <w:t>. https://doi.org/10.1186/1471-2458-11-119</w:t>
      </w:r>
    </w:p>
    <w:p w14:paraId="7DA23F5F"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Hayes, C. J., Bhandari, N. R., Kathe, N., &amp; Payakachat, N. (2017). Reliability and validity of the medical outcomes study short form-12 version 2 (SF-12v2) in adults with non-cancer pain. </w:t>
      </w:r>
      <w:r w:rsidRPr="00B93761">
        <w:rPr>
          <w:i/>
          <w:iCs/>
          <w:noProof/>
        </w:rPr>
        <w:t>Healthcare</w:t>
      </w:r>
      <w:r w:rsidRPr="00B93761">
        <w:rPr>
          <w:noProof/>
        </w:rPr>
        <w:t xml:space="preserve">, </w:t>
      </w:r>
      <w:r w:rsidRPr="00B93761">
        <w:rPr>
          <w:i/>
          <w:iCs/>
          <w:noProof/>
        </w:rPr>
        <w:t>5</w:t>
      </w:r>
      <w:r w:rsidRPr="00B93761">
        <w:rPr>
          <w:noProof/>
        </w:rPr>
        <w:t>(2), 1–12. https://doi.org/10.3390/healthcare5020022</w:t>
      </w:r>
    </w:p>
    <w:p w14:paraId="54662508"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Heffernan, T. M. (2008). The impact of excessive alcohol use on prospective memory: A brief review. </w:t>
      </w:r>
      <w:r w:rsidRPr="00B93761">
        <w:rPr>
          <w:i/>
          <w:iCs/>
          <w:noProof/>
        </w:rPr>
        <w:t>Current Drug Abuse Reviews</w:t>
      </w:r>
      <w:r w:rsidRPr="00B93761">
        <w:rPr>
          <w:noProof/>
        </w:rPr>
        <w:t xml:space="preserve">, </w:t>
      </w:r>
      <w:r w:rsidRPr="00B93761">
        <w:rPr>
          <w:i/>
          <w:iCs/>
          <w:noProof/>
        </w:rPr>
        <w:t>1</w:t>
      </w:r>
      <w:r w:rsidRPr="00B93761">
        <w:rPr>
          <w:noProof/>
        </w:rPr>
        <w:t>(1), 36–41. https://doi.org/10.2174/1874473710801010036</w:t>
      </w:r>
    </w:p>
    <w:p w14:paraId="6DA7981E"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Hogan, B., Linden, W., &amp; Najarian, B. (2002). Social support interventions: Do they work? </w:t>
      </w:r>
      <w:r w:rsidRPr="00B93761">
        <w:rPr>
          <w:i/>
          <w:iCs/>
          <w:noProof/>
        </w:rPr>
        <w:t>Clinical Psychology Review</w:t>
      </w:r>
      <w:r w:rsidRPr="00B93761">
        <w:rPr>
          <w:noProof/>
        </w:rPr>
        <w:t xml:space="preserve">, </w:t>
      </w:r>
      <w:r w:rsidRPr="00B93761">
        <w:rPr>
          <w:i/>
          <w:iCs/>
          <w:noProof/>
        </w:rPr>
        <w:t>22</w:t>
      </w:r>
      <w:r w:rsidRPr="00B93761">
        <w:rPr>
          <w:noProof/>
        </w:rPr>
        <w:t>, 381–440. https://doi.org/10.1016/S0272-7358(01)00102-7</w:t>
      </w:r>
    </w:p>
    <w:p w14:paraId="5183AC89"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Hubert, L., &amp; Arabie, P. (1985). Comparing partitions. </w:t>
      </w:r>
      <w:r w:rsidRPr="00B93761">
        <w:rPr>
          <w:i/>
          <w:iCs/>
          <w:noProof/>
        </w:rPr>
        <w:t>Journal of Classification</w:t>
      </w:r>
      <w:r w:rsidRPr="00B93761">
        <w:rPr>
          <w:noProof/>
        </w:rPr>
        <w:t xml:space="preserve">, </w:t>
      </w:r>
      <w:r w:rsidRPr="00B93761">
        <w:rPr>
          <w:i/>
          <w:iCs/>
          <w:noProof/>
        </w:rPr>
        <w:t>2</w:t>
      </w:r>
      <w:r w:rsidRPr="00B93761">
        <w:rPr>
          <w:noProof/>
        </w:rPr>
        <w:t>, 193–218. https://doi.org/10.1007/BF01908075</w:t>
      </w:r>
    </w:p>
    <w:p w14:paraId="437EE481"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Jopp, D. S., &amp; Schmitt, M. (2010). Dealing with negative life events: Differential effects of personal resources, coping strategies, and control beliefs. </w:t>
      </w:r>
      <w:r w:rsidRPr="00B93761">
        <w:rPr>
          <w:i/>
          <w:iCs/>
          <w:noProof/>
        </w:rPr>
        <w:t>European Journal of Ageing</w:t>
      </w:r>
      <w:r w:rsidRPr="00B93761">
        <w:rPr>
          <w:noProof/>
        </w:rPr>
        <w:t xml:space="preserve">, </w:t>
      </w:r>
      <w:r w:rsidRPr="00B93761">
        <w:rPr>
          <w:i/>
          <w:iCs/>
          <w:noProof/>
        </w:rPr>
        <w:t>7</w:t>
      </w:r>
      <w:r w:rsidRPr="00B93761">
        <w:rPr>
          <w:noProof/>
        </w:rPr>
        <w:t>(3), 167–180. https://doi.org/10.1007/s10433-010-0160-6</w:t>
      </w:r>
    </w:p>
    <w:p w14:paraId="7610EF71"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Kadariya, S., Gautam, R., &amp; Aro, A. R. (2019). Physical Activity, Mental Health, and </w:t>
      </w:r>
      <w:r w:rsidRPr="00B93761">
        <w:rPr>
          <w:noProof/>
        </w:rPr>
        <w:lastRenderedPageBreak/>
        <w:t xml:space="preserve">Wellbeing among Older Adults in South and Southeast Asia: A Scoping Review. </w:t>
      </w:r>
      <w:r w:rsidRPr="00B93761">
        <w:rPr>
          <w:i/>
          <w:iCs/>
          <w:noProof/>
        </w:rPr>
        <w:t>BioMed Research International</w:t>
      </w:r>
      <w:r w:rsidRPr="00B93761">
        <w:rPr>
          <w:noProof/>
        </w:rPr>
        <w:t xml:space="preserve">, </w:t>
      </w:r>
      <w:r w:rsidRPr="00B93761">
        <w:rPr>
          <w:i/>
          <w:iCs/>
          <w:noProof/>
        </w:rPr>
        <w:t>2019</w:t>
      </w:r>
      <w:r w:rsidRPr="00B93761">
        <w:rPr>
          <w:noProof/>
        </w:rPr>
        <w:t>. https://doi.org/10.1155/2019/6752182</w:t>
      </w:r>
    </w:p>
    <w:p w14:paraId="02BEC64E"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Khanna, R., Jariwala, K., &amp; Bentley, J. P. (2013). Psychometric properties of the EuroQol Five Dimensional Questionnaire (EQ-5D-3L) in caregivers of autistic children. </w:t>
      </w:r>
      <w:r w:rsidRPr="00B93761">
        <w:rPr>
          <w:i/>
          <w:iCs/>
          <w:noProof/>
        </w:rPr>
        <w:t>Quality of Life Research</w:t>
      </w:r>
      <w:r w:rsidRPr="00B93761">
        <w:rPr>
          <w:noProof/>
        </w:rPr>
        <w:t xml:space="preserve">, </w:t>
      </w:r>
      <w:r w:rsidRPr="00B93761">
        <w:rPr>
          <w:i/>
          <w:iCs/>
          <w:noProof/>
        </w:rPr>
        <w:t>22</w:t>
      </w:r>
      <w:r w:rsidRPr="00B93761">
        <w:rPr>
          <w:noProof/>
        </w:rPr>
        <w:t>(10), 2909–2920. https://doi.org/10.1007/s11136-013-0423-8</w:t>
      </w:r>
    </w:p>
    <w:p w14:paraId="6BCA4260"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Kraaij, V., Arensman, E., &amp; Spinhoven, P. (2002). Negative life events and depression in elderly persons: A meta-analysis. </w:t>
      </w:r>
      <w:r w:rsidRPr="00B93761">
        <w:rPr>
          <w:i/>
          <w:iCs/>
          <w:noProof/>
        </w:rPr>
        <w:t>Journals of Gerontology - Series B Psychological Sciences and Social Sciences</w:t>
      </w:r>
      <w:r w:rsidRPr="00B93761">
        <w:rPr>
          <w:noProof/>
        </w:rPr>
        <w:t xml:space="preserve">, </w:t>
      </w:r>
      <w:r w:rsidRPr="00B93761">
        <w:rPr>
          <w:i/>
          <w:iCs/>
          <w:noProof/>
        </w:rPr>
        <w:t>57</w:t>
      </w:r>
      <w:r w:rsidRPr="00B93761">
        <w:rPr>
          <w:noProof/>
        </w:rPr>
        <w:t>(1), 87–94. https://doi.org/10.1093/geronb/57.1.P87</w:t>
      </w:r>
    </w:p>
    <w:p w14:paraId="496144E1" w14:textId="77777777" w:rsidR="00B93761" w:rsidRPr="00B93761" w:rsidRDefault="00B93761" w:rsidP="00DD18FE">
      <w:pPr>
        <w:widowControl w:val="0"/>
        <w:autoSpaceDE w:val="0"/>
        <w:autoSpaceDN w:val="0"/>
        <w:adjustRightInd w:val="0"/>
        <w:ind w:left="480" w:hanging="480"/>
        <w:rPr>
          <w:noProof/>
        </w:rPr>
      </w:pPr>
      <w:r w:rsidRPr="005D276E">
        <w:rPr>
          <w:noProof/>
          <w:lang w:val="nl-NL"/>
        </w:rPr>
        <w:t xml:space="preserve">McAuley, E., Blissmer, B., Marquez, D. X., Jerome, G. J., Kramer, A. F., &amp; Katula, J. (2000). </w:t>
      </w:r>
      <w:r w:rsidRPr="00B93761">
        <w:rPr>
          <w:noProof/>
        </w:rPr>
        <w:t xml:space="preserve">Social relations, physical activity, and well-being in older adults. </w:t>
      </w:r>
      <w:r w:rsidRPr="00B93761">
        <w:rPr>
          <w:i/>
          <w:iCs/>
          <w:noProof/>
        </w:rPr>
        <w:t>Preventive Medicine</w:t>
      </w:r>
      <w:r w:rsidRPr="00B93761">
        <w:rPr>
          <w:noProof/>
        </w:rPr>
        <w:t xml:space="preserve">, </w:t>
      </w:r>
      <w:r w:rsidRPr="00B93761">
        <w:rPr>
          <w:i/>
          <w:iCs/>
          <w:noProof/>
        </w:rPr>
        <w:t>31</w:t>
      </w:r>
      <w:r w:rsidRPr="00B93761">
        <w:rPr>
          <w:noProof/>
        </w:rPr>
        <w:t>(5), 608–617. https://doi.org/10.1006/pmed.2000.0740</w:t>
      </w:r>
    </w:p>
    <w:p w14:paraId="339C3ACA"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Mintzer, M. Z. (2007). The acute effects of alcohol on memory: A review of laboratory studies in healthy adults. </w:t>
      </w:r>
      <w:r w:rsidRPr="00B93761">
        <w:rPr>
          <w:i/>
          <w:iCs/>
          <w:noProof/>
        </w:rPr>
        <w:t>International Journal on Disability and Human Development</w:t>
      </w:r>
      <w:r w:rsidRPr="00B93761">
        <w:rPr>
          <w:noProof/>
        </w:rPr>
        <w:t xml:space="preserve">, </w:t>
      </w:r>
      <w:r w:rsidRPr="00B93761">
        <w:rPr>
          <w:i/>
          <w:iCs/>
          <w:noProof/>
        </w:rPr>
        <w:t>6</w:t>
      </w:r>
      <w:r w:rsidRPr="00B93761">
        <w:rPr>
          <w:noProof/>
        </w:rPr>
        <w:t>(4), 397–403. https://doi.org/10.1515/IJDHD.2007.6.4.397</w:t>
      </w:r>
    </w:p>
    <w:p w14:paraId="0B882310" w14:textId="77777777" w:rsidR="00B93761" w:rsidRPr="00B93761" w:rsidRDefault="00B93761" w:rsidP="00DD18FE">
      <w:pPr>
        <w:widowControl w:val="0"/>
        <w:autoSpaceDE w:val="0"/>
        <w:autoSpaceDN w:val="0"/>
        <w:adjustRightInd w:val="0"/>
        <w:ind w:left="480" w:hanging="480"/>
        <w:rPr>
          <w:noProof/>
        </w:rPr>
      </w:pPr>
      <w:r w:rsidRPr="005D276E">
        <w:rPr>
          <w:noProof/>
          <w:lang w:val="nl-NL"/>
        </w:rPr>
        <w:t xml:space="preserve">Müller-Riemenschneider, F., Reinhold, T., Nocon, M., &amp; Willich, S. N. (2008). </w:t>
      </w:r>
      <w:r w:rsidRPr="00B93761">
        <w:rPr>
          <w:noProof/>
        </w:rPr>
        <w:t xml:space="preserve">Long-term effectiveness of interventions promoting physical activity: A systematic review. </w:t>
      </w:r>
      <w:r w:rsidRPr="00B93761">
        <w:rPr>
          <w:i/>
          <w:iCs/>
          <w:noProof/>
        </w:rPr>
        <w:t>Preventive Medicine</w:t>
      </w:r>
      <w:r w:rsidRPr="00B93761">
        <w:rPr>
          <w:noProof/>
        </w:rPr>
        <w:t xml:space="preserve">, </w:t>
      </w:r>
      <w:r w:rsidRPr="00B93761">
        <w:rPr>
          <w:i/>
          <w:iCs/>
          <w:noProof/>
        </w:rPr>
        <w:t>47</w:t>
      </w:r>
      <w:r w:rsidRPr="00B93761">
        <w:rPr>
          <w:noProof/>
        </w:rPr>
        <w:t>(4), 354–368. https://doi.org/10.1016/j.ypmed.2008.07.006</w:t>
      </w:r>
    </w:p>
    <w:p w14:paraId="00B5E1D3"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Pearlin, L. I., Menaghan, E. G., Lieberman, M. A., Joseph, T., Lieberman, M. A., &amp; Mullan, J. T. (1981). The stress process. </w:t>
      </w:r>
      <w:r w:rsidRPr="00B93761">
        <w:rPr>
          <w:i/>
          <w:iCs/>
          <w:noProof/>
        </w:rPr>
        <w:t>Journal of Health and Social Behavior</w:t>
      </w:r>
      <w:r w:rsidRPr="00B93761">
        <w:rPr>
          <w:noProof/>
        </w:rPr>
        <w:t xml:space="preserve">, </w:t>
      </w:r>
      <w:r w:rsidRPr="00B93761">
        <w:rPr>
          <w:i/>
          <w:iCs/>
          <w:noProof/>
        </w:rPr>
        <w:t>22</w:t>
      </w:r>
      <w:r w:rsidRPr="00B93761">
        <w:rPr>
          <w:noProof/>
        </w:rPr>
        <w:t>(4), 337–356. https://doi.org/10.2307/2136676</w:t>
      </w:r>
    </w:p>
    <w:p w14:paraId="5CA51A4A"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Pearlin, L. I., &amp; Schooler, C. (1978). The structure of coping. </w:t>
      </w:r>
      <w:r w:rsidRPr="00B93761">
        <w:rPr>
          <w:i/>
          <w:iCs/>
          <w:noProof/>
        </w:rPr>
        <w:t>Journal of Health and Social Behavior</w:t>
      </w:r>
      <w:r w:rsidRPr="00B93761">
        <w:rPr>
          <w:noProof/>
        </w:rPr>
        <w:t xml:space="preserve">, </w:t>
      </w:r>
      <w:r w:rsidRPr="00B93761">
        <w:rPr>
          <w:i/>
          <w:iCs/>
          <w:noProof/>
        </w:rPr>
        <w:t>19</w:t>
      </w:r>
      <w:r w:rsidRPr="00B93761">
        <w:rPr>
          <w:noProof/>
        </w:rPr>
        <w:t>(1), 2–21. https://doi.org/10.2307/2136319</w:t>
      </w:r>
    </w:p>
    <w:p w14:paraId="44EE8364" w14:textId="77777777" w:rsidR="00B93761" w:rsidRPr="00B93761" w:rsidRDefault="00B93761" w:rsidP="00DD18FE">
      <w:pPr>
        <w:widowControl w:val="0"/>
        <w:autoSpaceDE w:val="0"/>
        <w:autoSpaceDN w:val="0"/>
        <w:adjustRightInd w:val="0"/>
        <w:ind w:left="480" w:hanging="480"/>
        <w:rPr>
          <w:noProof/>
        </w:rPr>
      </w:pPr>
      <w:r w:rsidRPr="005D276E">
        <w:rPr>
          <w:noProof/>
          <w:lang w:val="nl-NL"/>
        </w:rPr>
        <w:t xml:space="preserve">Penninx, B. W. J. H., Kriegsman, D. M. W., Boeke, A. J. P., Van Eijk, J. T. M., Van Tilburg, T., &amp; Deeg, D. J. H. (1997). </w:t>
      </w:r>
      <w:r w:rsidRPr="00B93761">
        <w:rPr>
          <w:noProof/>
        </w:rPr>
        <w:t xml:space="preserve">Effects of social support and personal coping resources on mortality in older age: The longitudinal aging study Amsterdam. </w:t>
      </w:r>
      <w:r w:rsidRPr="00B93761">
        <w:rPr>
          <w:i/>
          <w:iCs/>
          <w:noProof/>
        </w:rPr>
        <w:t>American Journal of Epidemiology</w:t>
      </w:r>
      <w:r w:rsidRPr="00B93761">
        <w:rPr>
          <w:noProof/>
        </w:rPr>
        <w:t xml:space="preserve">, </w:t>
      </w:r>
      <w:r w:rsidRPr="00B93761">
        <w:rPr>
          <w:i/>
          <w:iCs/>
          <w:noProof/>
        </w:rPr>
        <w:t>146</w:t>
      </w:r>
      <w:r w:rsidRPr="00B93761">
        <w:rPr>
          <w:noProof/>
        </w:rPr>
        <w:t>(6), 510–519. https://doi.org/10.1093/oxfordjournals.aje.a009305</w:t>
      </w:r>
    </w:p>
    <w:p w14:paraId="0D3377F6"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Peterson, C. L. (1999). </w:t>
      </w:r>
      <w:r w:rsidRPr="00B93761">
        <w:rPr>
          <w:i/>
          <w:iCs/>
          <w:noProof/>
        </w:rPr>
        <w:t>Stress at work. A sociological perspective</w:t>
      </w:r>
      <w:r w:rsidRPr="00B93761">
        <w:rPr>
          <w:noProof/>
        </w:rPr>
        <w:t>. CRC Press.</w:t>
      </w:r>
    </w:p>
    <w:p w14:paraId="0A8DC9AC"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Platt, L., Melendez-Torres, G. J., O’Donnell, A., Bradley, J., Newbury-Birch, D., Kaner, E., &amp; Ashton, C. (2016). How effective are brief interventions in reducing alcohol consumption: do the setting, practitioner group and content matter? Findings from a systematic review and metaregression analysis. </w:t>
      </w:r>
      <w:r w:rsidRPr="00B93761">
        <w:rPr>
          <w:i/>
          <w:iCs/>
          <w:noProof/>
        </w:rPr>
        <w:t>BMJ Open</w:t>
      </w:r>
      <w:r w:rsidRPr="00B93761">
        <w:rPr>
          <w:noProof/>
        </w:rPr>
        <w:t xml:space="preserve">, </w:t>
      </w:r>
      <w:r w:rsidRPr="00B93761">
        <w:rPr>
          <w:i/>
          <w:iCs/>
          <w:noProof/>
        </w:rPr>
        <w:t>6</w:t>
      </w:r>
      <w:r w:rsidRPr="00B93761">
        <w:rPr>
          <w:noProof/>
        </w:rPr>
        <w:t>(8), e011473. https://doi.org/10.1136/bmjopen-2016-011473</w:t>
      </w:r>
    </w:p>
    <w:p w14:paraId="7C7E92E3" w14:textId="77777777" w:rsidR="00B93761" w:rsidRPr="00B93761" w:rsidRDefault="00B93761" w:rsidP="00DD18FE">
      <w:pPr>
        <w:widowControl w:val="0"/>
        <w:autoSpaceDE w:val="0"/>
        <w:autoSpaceDN w:val="0"/>
        <w:adjustRightInd w:val="0"/>
        <w:ind w:left="480" w:hanging="480"/>
        <w:rPr>
          <w:noProof/>
        </w:rPr>
      </w:pPr>
      <w:r w:rsidRPr="005D276E">
        <w:rPr>
          <w:noProof/>
          <w:lang w:val="nl-NL"/>
        </w:rPr>
        <w:t xml:space="preserve">Pluijm, S. M. F., Smit, J. H., Tromp, E. A. M., Stel, V. S., Deeg, D. J. H., Bouter, L. M., &amp; Lips, P. (2006). </w:t>
      </w:r>
      <w:r w:rsidRPr="00B93761">
        <w:rPr>
          <w:noProof/>
        </w:rPr>
        <w:t xml:space="preserve">A risk profile for identifying community-dwelling elderly with a high risk of recurrent falling: results of a 3-year prospective study. </w:t>
      </w:r>
      <w:r w:rsidRPr="00B93761">
        <w:rPr>
          <w:i/>
          <w:iCs/>
          <w:noProof/>
        </w:rPr>
        <w:t>Osteoporosis International</w:t>
      </w:r>
      <w:r w:rsidRPr="00B93761">
        <w:rPr>
          <w:noProof/>
        </w:rPr>
        <w:t xml:space="preserve">, </w:t>
      </w:r>
      <w:r w:rsidRPr="00B93761">
        <w:rPr>
          <w:i/>
          <w:iCs/>
          <w:noProof/>
        </w:rPr>
        <w:t>17</w:t>
      </w:r>
      <w:r w:rsidRPr="00B93761">
        <w:rPr>
          <w:noProof/>
        </w:rPr>
        <w:t>(3), 417–425. https://doi.org/10.1007/s00198-005-0002-0</w:t>
      </w:r>
    </w:p>
    <w:p w14:paraId="1ED612A4"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Rand, W. M. (1971). Objective criteria for the evaluation of clustering methods. </w:t>
      </w:r>
      <w:r w:rsidRPr="00B93761">
        <w:rPr>
          <w:i/>
          <w:iCs/>
          <w:noProof/>
        </w:rPr>
        <w:t>Journal of the American Statistical Association</w:t>
      </w:r>
      <w:r w:rsidRPr="00B93761">
        <w:rPr>
          <w:noProof/>
        </w:rPr>
        <w:t xml:space="preserve">, </w:t>
      </w:r>
      <w:r w:rsidRPr="00B93761">
        <w:rPr>
          <w:i/>
          <w:iCs/>
          <w:noProof/>
        </w:rPr>
        <w:t>66</w:t>
      </w:r>
      <w:r w:rsidRPr="00B93761">
        <w:rPr>
          <w:noProof/>
        </w:rPr>
        <w:t>(336), 846–850. https://doi.org/10.1080/01621459.1971.10482356</w:t>
      </w:r>
    </w:p>
    <w:p w14:paraId="1595E0F1"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Raven, J. C. (1995). </w:t>
      </w:r>
      <w:r w:rsidRPr="00B93761">
        <w:rPr>
          <w:i/>
          <w:iCs/>
          <w:noProof/>
        </w:rPr>
        <w:t>Manual for the Coloured Progressive Matrices (revised)</w:t>
      </w:r>
      <w:r w:rsidRPr="00B93761">
        <w:rPr>
          <w:noProof/>
        </w:rPr>
        <w:t>. NFRE-Nelson.</w:t>
      </w:r>
    </w:p>
    <w:p w14:paraId="31E33C58"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Robins, L. N., Wing, J., Wittchen, H. U., Helzer, J. E., Babor, T. F., Burke, J., Farmer, A., Jablenski, A., Pickens, R., &amp; Regier, D. A. (1988). The Composite International Diagnostic Interview. An epidemiologic Instrument suitable for use in conjunction with different diagnostic systems and in different cultures. </w:t>
      </w:r>
      <w:r w:rsidRPr="00B93761">
        <w:rPr>
          <w:i/>
          <w:iCs/>
          <w:noProof/>
        </w:rPr>
        <w:t>Archives of General Psychiatry</w:t>
      </w:r>
      <w:r w:rsidRPr="00B93761">
        <w:rPr>
          <w:noProof/>
        </w:rPr>
        <w:t xml:space="preserve">, </w:t>
      </w:r>
      <w:r w:rsidRPr="00B93761">
        <w:rPr>
          <w:i/>
          <w:iCs/>
          <w:noProof/>
        </w:rPr>
        <w:t>45</w:t>
      </w:r>
      <w:r w:rsidRPr="00B93761">
        <w:rPr>
          <w:noProof/>
        </w:rPr>
        <w:t>(12), 1069–1077. https://doi.org/10.1001/archpsyc.1988.01800360017003</w:t>
      </w:r>
    </w:p>
    <w:p w14:paraId="758EB7AF" w14:textId="5383FD4D" w:rsidR="00B93761" w:rsidRPr="00B93761" w:rsidRDefault="00B93761" w:rsidP="00DD18FE">
      <w:pPr>
        <w:widowControl w:val="0"/>
        <w:autoSpaceDE w:val="0"/>
        <w:autoSpaceDN w:val="0"/>
        <w:adjustRightInd w:val="0"/>
        <w:ind w:left="480" w:hanging="480"/>
        <w:rPr>
          <w:noProof/>
        </w:rPr>
      </w:pPr>
      <w:r w:rsidRPr="00B93761">
        <w:rPr>
          <w:noProof/>
        </w:rPr>
        <w:t xml:space="preserve">Robinson, S. A., &amp; Lachman, M. E. (2017). Perceived </w:t>
      </w:r>
      <w:r w:rsidR="004A6125">
        <w:rPr>
          <w:noProof/>
        </w:rPr>
        <w:t>c</w:t>
      </w:r>
      <w:r w:rsidRPr="00B93761">
        <w:rPr>
          <w:noProof/>
        </w:rPr>
        <w:t xml:space="preserve">ontrol and </w:t>
      </w:r>
      <w:r w:rsidR="004A6125">
        <w:rPr>
          <w:noProof/>
        </w:rPr>
        <w:t>a</w:t>
      </w:r>
      <w:r w:rsidRPr="00B93761">
        <w:rPr>
          <w:noProof/>
        </w:rPr>
        <w:t xml:space="preserve">ging: A </w:t>
      </w:r>
      <w:r w:rsidR="004A6125">
        <w:rPr>
          <w:noProof/>
        </w:rPr>
        <w:t>m</w:t>
      </w:r>
      <w:r w:rsidRPr="00B93761">
        <w:rPr>
          <w:noProof/>
        </w:rPr>
        <w:t>ini-</w:t>
      </w:r>
      <w:r w:rsidR="004A6125">
        <w:rPr>
          <w:noProof/>
        </w:rPr>
        <w:t>r</w:t>
      </w:r>
      <w:r w:rsidRPr="00B93761">
        <w:rPr>
          <w:noProof/>
        </w:rPr>
        <w:t xml:space="preserve">eview and </w:t>
      </w:r>
      <w:r w:rsidR="004A6125">
        <w:rPr>
          <w:noProof/>
        </w:rPr>
        <w:t>d</w:t>
      </w:r>
      <w:r w:rsidRPr="00B93761">
        <w:rPr>
          <w:noProof/>
        </w:rPr>
        <w:t xml:space="preserve">irections for </w:t>
      </w:r>
      <w:r w:rsidR="004A6125">
        <w:rPr>
          <w:noProof/>
        </w:rPr>
        <w:t>f</w:t>
      </w:r>
      <w:r w:rsidRPr="00B93761">
        <w:rPr>
          <w:noProof/>
        </w:rPr>
        <w:t xml:space="preserve">uture </w:t>
      </w:r>
      <w:r w:rsidR="004A6125">
        <w:rPr>
          <w:noProof/>
        </w:rPr>
        <w:t>r</w:t>
      </w:r>
      <w:r w:rsidRPr="00B93761">
        <w:rPr>
          <w:noProof/>
        </w:rPr>
        <w:t xml:space="preserve">esearch. </w:t>
      </w:r>
      <w:r w:rsidRPr="00B93761">
        <w:rPr>
          <w:i/>
          <w:iCs/>
          <w:noProof/>
        </w:rPr>
        <w:t>Gerontology</w:t>
      </w:r>
      <w:r w:rsidRPr="00B93761">
        <w:rPr>
          <w:noProof/>
        </w:rPr>
        <w:t xml:space="preserve">, </w:t>
      </w:r>
      <w:r w:rsidRPr="00B93761">
        <w:rPr>
          <w:i/>
          <w:iCs/>
          <w:noProof/>
        </w:rPr>
        <w:t>63</w:t>
      </w:r>
      <w:r w:rsidRPr="00B93761">
        <w:rPr>
          <w:noProof/>
        </w:rPr>
        <w:t>(5), 435–442. https://doi.org/10.1159/000468540</w:t>
      </w:r>
    </w:p>
    <w:p w14:paraId="7F29ABDB"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Sonntag, M., Konnopka, A., Leichsenring, F., Salzer, S., Beutel, M. E., Herpertz, S., Hiller, W., Hoyer, J., Joraschky, P., Nolting, B., Pöhlmann, K., Stangier, U., Strauss, B., </w:t>
      </w:r>
      <w:r w:rsidRPr="00B93761">
        <w:rPr>
          <w:noProof/>
        </w:rPr>
        <w:lastRenderedPageBreak/>
        <w:t xml:space="preserve">Willutzki, U., Wiltink, J., Leibing, E., &amp; König, H. H. (2013). Reliability, validity and responsiveness of the EQ-5D in assessing and valuing health status in patients with social phobia. </w:t>
      </w:r>
      <w:r w:rsidRPr="00B93761">
        <w:rPr>
          <w:i/>
          <w:iCs/>
          <w:noProof/>
        </w:rPr>
        <w:t>Health and Quality of Life Outcomes</w:t>
      </w:r>
      <w:r w:rsidRPr="00B93761">
        <w:rPr>
          <w:noProof/>
        </w:rPr>
        <w:t xml:space="preserve">, </w:t>
      </w:r>
      <w:r w:rsidRPr="00B93761">
        <w:rPr>
          <w:i/>
          <w:iCs/>
          <w:noProof/>
        </w:rPr>
        <w:t>11</w:t>
      </w:r>
      <w:r w:rsidRPr="00B93761">
        <w:rPr>
          <w:noProof/>
        </w:rPr>
        <w:t>, 1–9. https://doi.org/10.1186/1477-7525-11-215</w:t>
      </w:r>
    </w:p>
    <w:p w14:paraId="7CB2F75A" w14:textId="77777777" w:rsidR="00B93761" w:rsidRPr="005D276E" w:rsidRDefault="00B93761" w:rsidP="00DD18FE">
      <w:pPr>
        <w:widowControl w:val="0"/>
        <w:autoSpaceDE w:val="0"/>
        <w:autoSpaceDN w:val="0"/>
        <w:adjustRightInd w:val="0"/>
        <w:ind w:left="480" w:hanging="480"/>
        <w:rPr>
          <w:noProof/>
          <w:lang w:val="nl-NL"/>
        </w:rPr>
      </w:pPr>
      <w:r w:rsidRPr="00B93761">
        <w:rPr>
          <w:noProof/>
        </w:rPr>
        <w:t xml:space="preserve">Steinley, D. (2004). Properties of the Hubert-Arabie adjusted rand index. </w:t>
      </w:r>
      <w:r w:rsidRPr="005D276E">
        <w:rPr>
          <w:i/>
          <w:iCs/>
          <w:noProof/>
          <w:lang w:val="nl-NL"/>
        </w:rPr>
        <w:t>Psychological Methods</w:t>
      </w:r>
      <w:r w:rsidRPr="005D276E">
        <w:rPr>
          <w:noProof/>
          <w:lang w:val="nl-NL"/>
        </w:rPr>
        <w:t xml:space="preserve">, </w:t>
      </w:r>
      <w:r w:rsidRPr="005D276E">
        <w:rPr>
          <w:i/>
          <w:iCs/>
          <w:noProof/>
          <w:lang w:val="nl-NL"/>
        </w:rPr>
        <w:t>9</w:t>
      </w:r>
      <w:r w:rsidRPr="005D276E">
        <w:rPr>
          <w:noProof/>
          <w:lang w:val="nl-NL"/>
        </w:rPr>
        <w:t>(3), 386–396. https://doi.org/10.1037/1082-989X.9.3.386</w:t>
      </w:r>
    </w:p>
    <w:p w14:paraId="78C82F34" w14:textId="1E47EAE8" w:rsidR="00B93761" w:rsidRPr="00B93761" w:rsidRDefault="00B93761" w:rsidP="00DD18FE">
      <w:pPr>
        <w:widowControl w:val="0"/>
        <w:autoSpaceDE w:val="0"/>
        <w:autoSpaceDN w:val="0"/>
        <w:adjustRightInd w:val="0"/>
        <w:ind w:left="480" w:hanging="480"/>
        <w:rPr>
          <w:noProof/>
        </w:rPr>
      </w:pPr>
      <w:r w:rsidRPr="005D276E">
        <w:rPr>
          <w:noProof/>
          <w:lang w:val="nl-NL"/>
        </w:rPr>
        <w:t xml:space="preserve">Stel, V. S., Smit, J. H., Pluijm, S. M. ., Visser, M., Deeg, D. J. H., &amp; Lips, P. (2004). </w:t>
      </w:r>
      <w:r w:rsidRPr="00B93761">
        <w:rPr>
          <w:noProof/>
        </w:rPr>
        <w:t xml:space="preserve">Comparison of the LASA physical activity questionnaire with a 7-day diary and pedometer. </w:t>
      </w:r>
      <w:r w:rsidRPr="00B93761">
        <w:rPr>
          <w:i/>
          <w:iCs/>
          <w:noProof/>
        </w:rPr>
        <w:t>Journal of Clinical Epidemiology</w:t>
      </w:r>
      <w:r w:rsidRPr="00B93761">
        <w:rPr>
          <w:noProof/>
        </w:rPr>
        <w:t xml:space="preserve">, </w:t>
      </w:r>
      <w:r w:rsidRPr="00B93761">
        <w:rPr>
          <w:i/>
          <w:iCs/>
          <w:noProof/>
        </w:rPr>
        <w:t>57</w:t>
      </w:r>
      <w:r w:rsidRPr="00B93761">
        <w:rPr>
          <w:noProof/>
        </w:rPr>
        <w:t>(3), 252–258. https://doi.org/10.1016/j.jclinepi.2003.07.008</w:t>
      </w:r>
    </w:p>
    <w:p w14:paraId="32C7D34E"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Tennant, C., &amp; Andrews, G. (1976). A scale to measure the stress of life events. </w:t>
      </w:r>
      <w:r w:rsidRPr="00B93761">
        <w:rPr>
          <w:i/>
          <w:iCs/>
          <w:noProof/>
        </w:rPr>
        <w:t>Australian &amp; New Zealand Journal of Psychiatry</w:t>
      </w:r>
      <w:r w:rsidRPr="00B93761">
        <w:rPr>
          <w:noProof/>
        </w:rPr>
        <w:t xml:space="preserve">, </w:t>
      </w:r>
      <w:r w:rsidRPr="00B93761">
        <w:rPr>
          <w:i/>
          <w:iCs/>
          <w:noProof/>
        </w:rPr>
        <w:t>10</w:t>
      </w:r>
      <w:r w:rsidRPr="00B93761">
        <w:rPr>
          <w:noProof/>
        </w:rPr>
        <w:t>(1), 27–32. https://doi.org/10.3109/00048677609159482</w:t>
      </w:r>
    </w:p>
    <w:p w14:paraId="37022317"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Van Tilburg, T. (1998). Losing and gaining in old age: Changes in personal network size and social support in a four-year longitudinal study. </w:t>
      </w:r>
      <w:r w:rsidRPr="00B93761">
        <w:rPr>
          <w:i/>
          <w:iCs/>
          <w:noProof/>
        </w:rPr>
        <w:t>Journals of Gerontology - Series B Psychological Sciences and Social Sciences</w:t>
      </w:r>
      <w:r w:rsidRPr="00B93761">
        <w:rPr>
          <w:noProof/>
        </w:rPr>
        <w:t xml:space="preserve">, </w:t>
      </w:r>
      <w:r w:rsidRPr="00B93761">
        <w:rPr>
          <w:i/>
          <w:iCs/>
          <w:noProof/>
        </w:rPr>
        <w:t>53</w:t>
      </w:r>
      <w:r w:rsidRPr="00B93761">
        <w:rPr>
          <w:noProof/>
        </w:rPr>
        <w:t>(6), 313–323. https://doi.org/10.1093/geronb/53B.6.S313</w:t>
      </w:r>
    </w:p>
    <w:p w14:paraId="6808F555" w14:textId="77777777" w:rsidR="00B93761" w:rsidRPr="005D276E" w:rsidRDefault="00B93761" w:rsidP="00DD18FE">
      <w:pPr>
        <w:widowControl w:val="0"/>
        <w:autoSpaceDE w:val="0"/>
        <w:autoSpaceDN w:val="0"/>
        <w:adjustRightInd w:val="0"/>
        <w:ind w:left="480" w:hanging="480"/>
        <w:rPr>
          <w:noProof/>
          <w:lang w:val="nl-NL"/>
        </w:rPr>
      </w:pPr>
      <w:r w:rsidRPr="00B93761">
        <w:rPr>
          <w:noProof/>
        </w:rPr>
        <w:t xml:space="preserve">Van Zonneveld, R. J. (1961). </w:t>
      </w:r>
      <w:r w:rsidRPr="00B93761">
        <w:rPr>
          <w:i/>
          <w:iCs/>
          <w:noProof/>
        </w:rPr>
        <w:t>The health of the aged</w:t>
      </w:r>
      <w:r w:rsidRPr="00B93761">
        <w:rPr>
          <w:noProof/>
        </w:rPr>
        <w:t xml:space="preserve">. </w:t>
      </w:r>
      <w:r w:rsidRPr="005D276E">
        <w:rPr>
          <w:noProof/>
          <w:lang w:val="nl-NL"/>
        </w:rPr>
        <w:t>Van Gorcum.</w:t>
      </w:r>
    </w:p>
    <w:p w14:paraId="3AB89EC3" w14:textId="77777777" w:rsidR="00B93761" w:rsidRPr="005D276E" w:rsidRDefault="00B93761" w:rsidP="00DD18FE">
      <w:pPr>
        <w:widowControl w:val="0"/>
        <w:autoSpaceDE w:val="0"/>
        <w:autoSpaceDN w:val="0"/>
        <w:adjustRightInd w:val="0"/>
        <w:ind w:left="480" w:hanging="480"/>
        <w:rPr>
          <w:noProof/>
          <w:lang w:val="nl-NL"/>
        </w:rPr>
      </w:pPr>
      <w:r w:rsidRPr="005D276E">
        <w:rPr>
          <w:noProof/>
          <w:lang w:val="nl-NL"/>
        </w:rPr>
        <w:t xml:space="preserve">Verhaeghen, P., Geraerts, N., &amp; Marcoen, A. (2000). </w:t>
      </w:r>
      <w:r w:rsidRPr="00B93761">
        <w:rPr>
          <w:noProof/>
        </w:rPr>
        <w:t xml:space="preserve">Memory complaints, coping, and well-being in old age: A systemic approach. </w:t>
      </w:r>
      <w:r w:rsidRPr="005D276E">
        <w:rPr>
          <w:i/>
          <w:iCs/>
          <w:noProof/>
          <w:lang w:val="nl-NL"/>
        </w:rPr>
        <w:t>Gerontologist</w:t>
      </w:r>
      <w:r w:rsidRPr="005D276E">
        <w:rPr>
          <w:noProof/>
          <w:lang w:val="nl-NL"/>
        </w:rPr>
        <w:t xml:space="preserve">, </w:t>
      </w:r>
      <w:r w:rsidRPr="005D276E">
        <w:rPr>
          <w:i/>
          <w:iCs/>
          <w:noProof/>
          <w:lang w:val="nl-NL"/>
        </w:rPr>
        <w:t>40</w:t>
      </w:r>
      <w:r w:rsidRPr="005D276E">
        <w:rPr>
          <w:noProof/>
          <w:lang w:val="nl-NL"/>
        </w:rPr>
        <w:t>(5), 540–548. https://doi.org/10.1093/geront/40.5.540</w:t>
      </w:r>
    </w:p>
    <w:p w14:paraId="57AF735C" w14:textId="77777777" w:rsidR="00B93761" w:rsidRPr="00B93761" w:rsidRDefault="00B93761" w:rsidP="00DD18FE">
      <w:pPr>
        <w:widowControl w:val="0"/>
        <w:autoSpaceDE w:val="0"/>
        <w:autoSpaceDN w:val="0"/>
        <w:adjustRightInd w:val="0"/>
        <w:ind w:left="480" w:hanging="480"/>
        <w:rPr>
          <w:noProof/>
        </w:rPr>
      </w:pPr>
      <w:r w:rsidRPr="005D276E">
        <w:rPr>
          <w:noProof/>
          <w:lang w:val="nl-NL"/>
        </w:rPr>
        <w:t xml:space="preserve">Ware, J. E., Kosinski, M., &amp; Keller, S. D. (1996). </w:t>
      </w:r>
      <w:r w:rsidRPr="00B93761">
        <w:rPr>
          <w:noProof/>
        </w:rPr>
        <w:t xml:space="preserve">A 12-Item short-form health survey: Construction of scales and preliminary tests of reliability and validity. </w:t>
      </w:r>
      <w:r w:rsidRPr="00B93761">
        <w:rPr>
          <w:i/>
          <w:iCs/>
          <w:noProof/>
        </w:rPr>
        <w:t>Medical Care</w:t>
      </w:r>
      <w:r w:rsidRPr="00B93761">
        <w:rPr>
          <w:noProof/>
        </w:rPr>
        <w:t xml:space="preserve">, </w:t>
      </w:r>
      <w:r w:rsidRPr="00B93761">
        <w:rPr>
          <w:i/>
          <w:iCs/>
          <w:noProof/>
        </w:rPr>
        <w:t>34</w:t>
      </w:r>
      <w:r w:rsidRPr="00B93761">
        <w:rPr>
          <w:noProof/>
        </w:rPr>
        <w:t>(3), 220–233. https://doi.org/10.1097/00005650-199603000-00003</w:t>
      </w:r>
    </w:p>
    <w:p w14:paraId="00E96612" w14:textId="77777777" w:rsidR="00B93761" w:rsidRPr="00B93761" w:rsidRDefault="00B93761" w:rsidP="00DD18FE">
      <w:pPr>
        <w:widowControl w:val="0"/>
        <w:autoSpaceDE w:val="0"/>
        <w:autoSpaceDN w:val="0"/>
        <w:adjustRightInd w:val="0"/>
        <w:ind w:left="480" w:hanging="480"/>
        <w:rPr>
          <w:noProof/>
        </w:rPr>
      </w:pPr>
      <w:r w:rsidRPr="00B93761">
        <w:rPr>
          <w:noProof/>
        </w:rPr>
        <w:t xml:space="preserve">Yaffe, K., Fiocco, A. J., Lindquist, K., Vittinghoff, E., Simonsick, E. M., Newman, A. B., Satterfield, S., Rosano, C., Rubin, S. M., Ayonayon, H. N., &amp; Harris, T. B. (2009). Predictors of maintaining cognitive function in older adults: The Health ABC Study. </w:t>
      </w:r>
      <w:r w:rsidRPr="00B93761">
        <w:rPr>
          <w:i/>
          <w:iCs/>
          <w:noProof/>
        </w:rPr>
        <w:t>Neurology</w:t>
      </w:r>
      <w:r w:rsidRPr="00B93761">
        <w:rPr>
          <w:noProof/>
        </w:rPr>
        <w:t xml:space="preserve">, </w:t>
      </w:r>
      <w:r w:rsidRPr="00B93761">
        <w:rPr>
          <w:i/>
          <w:iCs/>
          <w:noProof/>
        </w:rPr>
        <w:t>72</w:t>
      </w:r>
      <w:r w:rsidRPr="00B93761">
        <w:rPr>
          <w:noProof/>
        </w:rPr>
        <w:t>(23), 2029–2035. https://doi.org/10.1212/WNL.0b013e3181a92c36</w:t>
      </w:r>
    </w:p>
    <w:p w14:paraId="4D4EEE54" w14:textId="14FD6542" w:rsidR="000D4F62" w:rsidRDefault="000D4F62" w:rsidP="00DD18FE">
      <w:pPr>
        <w:widowControl w:val="0"/>
        <w:autoSpaceDE w:val="0"/>
        <w:autoSpaceDN w:val="0"/>
        <w:adjustRightInd w:val="0"/>
        <w:ind w:left="480" w:hanging="480"/>
      </w:pPr>
      <w:r>
        <w:fldChar w:fldCharType="end"/>
      </w:r>
    </w:p>
    <w:p w14:paraId="6819F9C2" w14:textId="77777777" w:rsidR="00DF6C1D" w:rsidRDefault="00DF6C1D" w:rsidP="00DD18FE"/>
    <w:sectPr w:rsidR="00DF6C1D" w:rsidSect="00B437D6">
      <w:footerReference w:type="even" r:id="rId9"/>
      <w:footerReference w:type="default" r:id="rId10"/>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4AD95" w14:textId="77777777" w:rsidR="00B2372A" w:rsidRDefault="00B2372A">
      <w:r>
        <w:separator/>
      </w:r>
    </w:p>
  </w:endnote>
  <w:endnote w:type="continuationSeparator" w:id="0">
    <w:p w14:paraId="41491A22" w14:textId="77777777" w:rsidR="00B2372A" w:rsidRDefault="00B2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9838523"/>
      <w:docPartObj>
        <w:docPartGallery w:val="Page Numbers (Bottom of Page)"/>
        <w:docPartUnique/>
      </w:docPartObj>
    </w:sdtPr>
    <w:sdtEndPr>
      <w:rPr>
        <w:rStyle w:val="PageNumber"/>
      </w:rPr>
    </w:sdtEndPr>
    <w:sdtContent>
      <w:p w14:paraId="3C66A9C2" w14:textId="7EAD59C3" w:rsidR="00B437D6" w:rsidRDefault="00B437D6" w:rsidP="00291A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D35D3" w14:textId="77777777" w:rsidR="00B437D6" w:rsidRDefault="00B437D6" w:rsidP="00291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1955956"/>
      <w:docPartObj>
        <w:docPartGallery w:val="Page Numbers (Bottom of Page)"/>
        <w:docPartUnique/>
      </w:docPartObj>
    </w:sdtPr>
    <w:sdtEndPr>
      <w:rPr>
        <w:rStyle w:val="PageNumber"/>
      </w:rPr>
    </w:sdtEndPr>
    <w:sdtContent>
      <w:p w14:paraId="62580D4B" w14:textId="086B1315" w:rsidR="00B437D6" w:rsidRDefault="00B437D6" w:rsidP="00291A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48EB8E6" w14:textId="77777777" w:rsidR="00B437D6" w:rsidRDefault="00B437D6" w:rsidP="00291A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DF1CA" w14:textId="77777777" w:rsidR="00B2372A" w:rsidRDefault="00B2372A">
      <w:r>
        <w:separator/>
      </w:r>
    </w:p>
  </w:footnote>
  <w:footnote w:type="continuationSeparator" w:id="0">
    <w:p w14:paraId="178E4D68" w14:textId="77777777" w:rsidR="00B2372A" w:rsidRDefault="00B23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F2"/>
    <w:rsid w:val="00003909"/>
    <w:rsid w:val="00005524"/>
    <w:rsid w:val="000261CC"/>
    <w:rsid w:val="0002624B"/>
    <w:rsid w:val="0004296F"/>
    <w:rsid w:val="00042B75"/>
    <w:rsid w:val="00060030"/>
    <w:rsid w:val="00063DD7"/>
    <w:rsid w:val="000753C8"/>
    <w:rsid w:val="00076342"/>
    <w:rsid w:val="00092EB9"/>
    <w:rsid w:val="000A16CF"/>
    <w:rsid w:val="000A4012"/>
    <w:rsid w:val="000A5479"/>
    <w:rsid w:val="000B2FBD"/>
    <w:rsid w:val="000C4C37"/>
    <w:rsid w:val="000D4793"/>
    <w:rsid w:val="000D4F62"/>
    <w:rsid w:val="000E73FD"/>
    <w:rsid w:val="000F4366"/>
    <w:rsid w:val="001041D7"/>
    <w:rsid w:val="00107A72"/>
    <w:rsid w:val="001303AD"/>
    <w:rsid w:val="00143263"/>
    <w:rsid w:val="00143372"/>
    <w:rsid w:val="0015195E"/>
    <w:rsid w:val="00170A4C"/>
    <w:rsid w:val="001739C2"/>
    <w:rsid w:val="00174029"/>
    <w:rsid w:val="0017749E"/>
    <w:rsid w:val="0018075B"/>
    <w:rsid w:val="00187431"/>
    <w:rsid w:val="001945A0"/>
    <w:rsid w:val="001A5F9A"/>
    <w:rsid w:val="001B1D21"/>
    <w:rsid w:val="001B4BFF"/>
    <w:rsid w:val="001D4401"/>
    <w:rsid w:val="001E7A7E"/>
    <w:rsid w:val="0020490D"/>
    <w:rsid w:val="00207090"/>
    <w:rsid w:val="0021329F"/>
    <w:rsid w:val="0022380C"/>
    <w:rsid w:val="00240B39"/>
    <w:rsid w:val="002609BA"/>
    <w:rsid w:val="00291ADD"/>
    <w:rsid w:val="00296E0B"/>
    <w:rsid w:val="002B3023"/>
    <w:rsid w:val="002B5C9B"/>
    <w:rsid w:val="002C141C"/>
    <w:rsid w:val="002C3ECA"/>
    <w:rsid w:val="002D7D25"/>
    <w:rsid w:val="002E0628"/>
    <w:rsid w:val="002E106E"/>
    <w:rsid w:val="002F55E1"/>
    <w:rsid w:val="002F5E51"/>
    <w:rsid w:val="00316C57"/>
    <w:rsid w:val="0032433F"/>
    <w:rsid w:val="003263E5"/>
    <w:rsid w:val="00340644"/>
    <w:rsid w:val="0034140D"/>
    <w:rsid w:val="00342D87"/>
    <w:rsid w:val="00354E03"/>
    <w:rsid w:val="00363FC5"/>
    <w:rsid w:val="00372C06"/>
    <w:rsid w:val="00386D70"/>
    <w:rsid w:val="00386F4B"/>
    <w:rsid w:val="003944CA"/>
    <w:rsid w:val="003A3964"/>
    <w:rsid w:val="003B599A"/>
    <w:rsid w:val="003B5D46"/>
    <w:rsid w:val="003C18B1"/>
    <w:rsid w:val="003D575F"/>
    <w:rsid w:val="003E3B12"/>
    <w:rsid w:val="003F48BB"/>
    <w:rsid w:val="003F6B43"/>
    <w:rsid w:val="00405D52"/>
    <w:rsid w:val="00406B0F"/>
    <w:rsid w:val="00412656"/>
    <w:rsid w:val="00433249"/>
    <w:rsid w:val="00434123"/>
    <w:rsid w:val="00446E54"/>
    <w:rsid w:val="00462B20"/>
    <w:rsid w:val="00463E3F"/>
    <w:rsid w:val="00471A2A"/>
    <w:rsid w:val="004814F5"/>
    <w:rsid w:val="00485458"/>
    <w:rsid w:val="00491A0B"/>
    <w:rsid w:val="00492F4A"/>
    <w:rsid w:val="00493DE6"/>
    <w:rsid w:val="004A43F8"/>
    <w:rsid w:val="004A6125"/>
    <w:rsid w:val="004B15FE"/>
    <w:rsid w:val="004F007F"/>
    <w:rsid w:val="004F0B36"/>
    <w:rsid w:val="004F32D7"/>
    <w:rsid w:val="004F6131"/>
    <w:rsid w:val="00517BDE"/>
    <w:rsid w:val="00520B4F"/>
    <w:rsid w:val="0052447F"/>
    <w:rsid w:val="00532822"/>
    <w:rsid w:val="0053672A"/>
    <w:rsid w:val="0055321D"/>
    <w:rsid w:val="005657F7"/>
    <w:rsid w:val="00575A06"/>
    <w:rsid w:val="00581EAD"/>
    <w:rsid w:val="00582161"/>
    <w:rsid w:val="005924E6"/>
    <w:rsid w:val="005979C4"/>
    <w:rsid w:val="005A317D"/>
    <w:rsid w:val="005C2A6B"/>
    <w:rsid w:val="005C57AB"/>
    <w:rsid w:val="005C721F"/>
    <w:rsid w:val="005D191B"/>
    <w:rsid w:val="005D1E35"/>
    <w:rsid w:val="005D276E"/>
    <w:rsid w:val="00612477"/>
    <w:rsid w:val="006175D5"/>
    <w:rsid w:val="00631E21"/>
    <w:rsid w:val="00634E55"/>
    <w:rsid w:val="00635188"/>
    <w:rsid w:val="006352E2"/>
    <w:rsid w:val="00647436"/>
    <w:rsid w:val="00650F14"/>
    <w:rsid w:val="006522FF"/>
    <w:rsid w:val="00654A3C"/>
    <w:rsid w:val="00656483"/>
    <w:rsid w:val="00656BDA"/>
    <w:rsid w:val="006728B3"/>
    <w:rsid w:val="00685A32"/>
    <w:rsid w:val="00690BF3"/>
    <w:rsid w:val="006A5387"/>
    <w:rsid w:val="006A57C0"/>
    <w:rsid w:val="006C4382"/>
    <w:rsid w:val="006E40B6"/>
    <w:rsid w:val="0070213F"/>
    <w:rsid w:val="00705125"/>
    <w:rsid w:val="007222D4"/>
    <w:rsid w:val="0072472B"/>
    <w:rsid w:val="007269EB"/>
    <w:rsid w:val="007435C5"/>
    <w:rsid w:val="0076272B"/>
    <w:rsid w:val="00763CFB"/>
    <w:rsid w:val="00787B4A"/>
    <w:rsid w:val="0079314D"/>
    <w:rsid w:val="007962D3"/>
    <w:rsid w:val="007A0479"/>
    <w:rsid w:val="007A1DD9"/>
    <w:rsid w:val="007C5BE7"/>
    <w:rsid w:val="007C6C77"/>
    <w:rsid w:val="007E130C"/>
    <w:rsid w:val="007E7143"/>
    <w:rsid w:val="008028D1"/>
    <w:rsid w:val="00812939"/>
    <w:rsid w:val="00812FAE"/>
    <w:rsid w:val="00821645"/>
    <w:rsid w:val="00823B2C"/>
    <w:rsid w:val="00823D26"/>
    <w:rsid w:val="00823E4B"/>
    <w:rsid w:val="0083236F"/>
    <w:rsid w:val="0084121F"/>
    <w:rsid w:val="00854E10"/>
    <w:rsid w:val="00860383"/>
    <w:rsid w:val="00864C84"/>
    <w:rsid w:val="0087680D"/>
    <w:rsid w:val="00885481"/>
    <w:rsid w:val="00893B30"/>
    <w:rsid w:val="008B6AD5"/>
    <w:rsid w:val="008D09A5"/>
    <w:rsid w:val="008D0E38"/>
    <w:rsid w:val="008F07A6"/>
    <w:rsid w:val="009126D3"/>
    <w:rsid w:val="009175BC"/>
    <w:rsid w:val="009252E1"/>
    <w:rsid w:val="00937E6A"/>
    <w:rsid w:val="009419BC"/>
    <w:rsid w:val="0097578A"/>
    <w:rsid w:val="00984195"/>
    <w:rsid w:val="00992439"/>
    <w:rsid w:val="009E2377"/>
    <w:rsid w:val="009F1216"/>
    <w:rsid w:val="00A06386"/>
    <w:rsid w:val="00A416F2"/>
    <w:rsid w:val="00A47338"/>
    <w:rsid w:val="00A477A4"/>
    <w:rsid w:val="00A5546E"/>
    <w:rsid w:val="00A60EC1"/>
    <w:rsid w:val="00A6776C"/>
    <w:rsid w:val="00A8310D"/>
    <w:rsid w:val="00A92396"/>
    <w:rsid w:val="00AA13B0"/>
    <w:rsid w:val="00AA1792"/>
    <w:rsid w:val="00AA4DA3"/>
    <w:rsid w:val="00AA7759"/>
    <w:rsid w:val="00AC317F"/>
    <w:rsid w:val="00AD2736"/>
    <w:rsid w:val="00AD48A9"/>
    <w:rsid w:val="00AE6CDE"/>
    <w:rsid w:val="00B04A34"/>
    <w:rsid w:val="00B06BDD"/>
    <w:rsid w:val="00B15F1A"/>
    <w:rsid w:val="00B2185B"/>
    <w:rsid w:val="00B2372A"/>
    <w:rsid w:val="00B3155B"/>
    <w:rsid w:val="00B37FD8"/>
    <w:rsid w:val="00B4144D"/>
    <w:rsid w:val="00B437D6"/>
    <w:rsid w:val="00B51DB2"/>
    <w:rsid w:val="00B63E10"/>
    <w:rsid w:val="00B74B8C"/>
    <w:rsid w:val="00B82B3B"/>
    <w:rsid w:val="00B87E6D"/>
    <w:rsid w:val="00B9192B"/>
    <w:rsid w:val="00B93761"/>
    <w:rsid w:val="00B9761C"/>
    <w:rsid w:val="00BA7855"/>
    <w:rsid w:val="00BB63AC"/>
    <w:rsid w:val="00BB6E1A"/>
    <w:rsid w:val="00BD1278"/>
    <w:rsid w:val="00BD48A9"/>
    <w:rsid w:val="00BE7896"/>
    <w:rsid w:val="00BF3603"/>
    <w:rsid w:val="00C00063"/>
    <w:rsid w:val="00C14CA1"/>
    <w:rsid w:val="00C33518"/>
    <w:rsid w:val="00C370EF"/>
    <w:rsid w:val="00C40568"/>
    <w:rsid w:val="00C42E3D"/>
    <w:rsid w:val="00C44A6F"/>
    <w:rsid w:val="00C57970"/>
    <w:rsid w:val="00C62DE6"/>
    <w:rsid w:val="00C6537A"/>
    <w:rsid w:val="00C65AF0"/>
    <w:rsid w:val="00C66E68"/>
    <w:rsid w:val="00C771F2"/>
    <w:rsid w:val="00C908FE"/>
    <w:rsid w:val="00C91EB1"/>
    <w:rsid w:val="00C93E6D"/>
    <w:rsid w:val="00C94E7A"/>
    <w:rsid w:val="00CA4427"/>
    <w:rsid w:val="00CB1A65"/>
    <w:rsid w:val="00CC6229"/>
    <w:rsid w:val="00CD62D1"/>
    <w:rsid w:val="00CD65F8"/>
    <w:rsid w:val="00CF67F2"/>
    <w:rsid w:val="00D01F2B"/>
    <w:rsid w:val="00D07345"/>
    <w:rsid w:val="00D1463B"/>
    <w:rsid w:val="00D2428A"/>
    <w:rsid w:val="00D318E4"/>
    <w:rsid w:val="00D41ADA"/>
    <w:rsid w:val="00D43575"/>
    <w:rsid w:val="00D520EF"/>
    <w:rsid w:val="00D5257D"/>
    <w:rsid w:val="00D66D7A"/>
    <w:rsid w:val="00D950F0"/>
    <w:rsid w:val="00DA0B1F"/>
    <w:rsid w:val="00DA21DD"/>
    <w:rsid w:val="00DA725C"/>
    <w:rsid w:val="00DB180E"/>
    <w:rsid w:val="00DB183A"/>
    <w:rsid w:val="00DC266F"/>
    <w:rsid w:val="00DC4D72"/>
    <w:rsid w:val="00DD0CB8"/>
    <w:rsid w:val="00DD18FE"/>
    <w:rsid w:val="00DD19AB"/>
    <w:rsid w:val="00DE25AB"/>
    <w:rsid w:val="00DF175E"/>
    <w:rsid w:val="00DF50B9"/>
    <w:rsid w:val="00DF6C1D"/>
    <w:rsid w:val="00E14F3D"/>
    <w:rsid w:val="00E21DA0"/>
    <w:rsid w:val="00E22E45"/>
    <w:rsid w:val="00E2595C"/>
    <w:rsid w:val="00E45708"/>
    <w:rsid w:val="00E45F69"/>
    <w:rsid w:val="00E532F5"/>
    <w:rsid w:val="00E60A64"/>
    <w:rsid w:val="00E744F2"/>
    <w:rsid w:val="00E76EF9"/>
    <w:rsid w:val="00E82C3E"/>
    <w:rsid w:val="00E94BB4"/>
    <w:rsid w:val="00E97AC9"/>
    <w:rsid w:val="00EA3D99"/>
    <w:rsid w:val="00EB349A"/>
    <w:rsid w:val="00EB6213"/>
    <w:rsid w:val="00EC11E4"/>
    <w:rsid w:val="00EC473C"/>
    <w:rsid w:val="00EE3A38"/>
    <w:rsid w:val="00EE4F35"/>
    <w:rsid w:val="00EF2160"/>
    <w:rsid w:val="00F056FA"/>
    <w:rsid w:val="00F06383"/>
    <w:rsid w:val="00F43F26"/>
    <w:rsid w:val="00F673C6"/>
    <w:rsid w:val="00F72CB7"/>
    <w:rsid w:val="00F941E1"/>
    <w:rsid w:val="00F96E8D"/>
    <w:rsid w:val="00FA4F9F"/>
    <w:rsid w:val="00FB1CC5"/>
    <w:rsid w:val="00FB38EA"/>
    <w:rsid w:val="00FB7E8A"/>
    <w:rsid w:val="00FC0321"/>
    <w:rsid w:val="00FC2DBE"/>
    <w:rsid w:val="00FC7AEC"/>
    <w:rsid w:val="00FD72D5"/>
    <w:rsid w:val="00FE1300"/>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B8406"/>
  <w15:chartTrackingRefBased/>
  <w15:docId w15:val="{CD602DF8-8416-B343-A1A9-D06B68C0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4793"/>
    <w:rPr>
      <w:sz w:val="16"/>
      <w:szCs w:val="16"/>
    </w:rPr>
  </w:style>
  <w:style w:type="paragraph" w:styleId="CommentText">
    <w:name w:val="annotation text"/>
    <w:basedOn w:val="Normal"/>
    <w:link w:val="CommentTextChar"/>
    <w:uiPriority w:val="99"/>
    <w:unhideWhenUsed/>
    <w:rsid w:val="000D4793"/>
    <w:rPr>
      <w:sz w:val="20"/>
      <w:szCs w:val="20"/>
    </w:rPr>
  </w:style>
  <w:style w:type="character" w:customStyle="1" w:styleId="CommentTextChar">
    <w:name w:val="Comment Text Char"/>
    <w:basedOn w:val="DefaultParagraphFont"/>
    <w:link w:val="CommentText"/>
    <w:uiPriority w:val="99"/>
    <w:rsid w:val="000D47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793"/>
    <w:rPr>
      <w:b/>
      <w:bCs/>
    </w:rPr>
  </w:style>
  <w:style w:type="character" w:customStyle="1" w:styleId="CommentSubjectChar">
    <w:name w:val="Comment Subject Char"/>
    <w:basedOn w:val="CommentTextChar"/>
    <w:link w:val="CommentSubject"/>
    <w:uiPriority w:val="99"/>
    <w:semiHidden/>
    <w:rsid w:val="000D47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793"/>
    <w:rPr>
      <w:sz w:val="18"/>
      <w:szCs w:val="18"/>
    </w:rPr>
  </w:style>
  <w:style w:type="character" w:customStyle="1" w:styleId="BalloonTextChar">
    <w:name w:val="Balloon Text Char"/>
    <w:basedOn w:val="DefaultParagraphFont"/>
    <w:link w:val="BalloonText"/>
    <w:uiPriority w:val="99"/>
    <w:semiHidden/>
    <w:rsid w:val="000D4793"/>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B437D6"/>
    <w:pPr>
      <w:tabs>
        <w:tab w:val="center" w:pos="4536"/>
        <w:tab w:val="right" w:pos="9072"/>
      </w:tabs>
    </w:pPr>
  </w:style>
  <w:style w:type="character" w:customStyle="1" w:styleId="FooterChar">
    <w:name w:val="Footer Char"/>
    <w:basedOn w:val="DefaultParagraphFont"/>
    <w:link w:val="Footer"/>
    <w:uiPriority w:val="99"/>
    <w:rsid w:val="00B437D6"/>
    <w:rPr>
      <w:rFonts w:ascii="Times New Roman" w:eastAsia="Times New Roman" w:hAnsi="Times New Roman" w:cs="Times New Roman"/>
    </w:rPr>
  </w:style>
  <w:style w:type="character" w:styleId="PageNumber">
    <w:name w:val="page number"/>
    <w:basedOn w:val="DefaultParagraphFont"/>
    <w:uiPriority w:val="99"/>
    <w:semiHidden/>
    <w:unhideWhenUsed/>
    <w:rsid w:val="00B4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3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D7827-6C88-D04F-BFF6-C5727A77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16911</Words>
  <Characters>97579</Characters>
  <Application>Microsoft Office Word</Application>
  <DocSecurity>0</DocSecurity>
  <Lines>2217</Lines>
  <Paragraphs>978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Tulsi Radhoe</dc:creator>
  <cp:keywords/>
  <dc:description/>
  <cp:lastModifiedBy>JoostAvR</cp:lastModifiedBy>
  <cp:revision>2</cp:revision>
  <dcterms:created xsi:type="dcterms:W3CDTF">2021-11-17T13:13:00Z</dcterms:created>
  <dcterms:modified xsi:type="dcterms:W3CDTF">2021-11-17T13:13:00Z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3a548ddc-986d-3ac3-8af5-28fafc83988e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