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D1F2" w14:textId="3621C5B8" w:rsidR="00A44D0C" w:rsidRPr="00865054" w:rsidRDefault="00412D2A" w:rsidP="00865054">
      <w:pPr>
        <w:spacing w:line="360" w:lineRule="auto"/>
        <w:ind w:leftChars="-342" w:left="-718" w:rightChars="-330" w:right="-693"/>
        <w:rPr>
          <w:b/>
          <w:bCs/>
          <w:iCs/>
          <w:sz w:val="32"/>
          <w:szCs w:val="32"/>
        </w:rPr>
      </w:pPr>
      <w:r w:rsidRPr="00815814">
        <w:rPr>
          <w:b/>
          <w:bCs/>
          <w:iCs/>
          <w:sz w:val="32"/>
          <w:szCs w:val="32"/>
        </w:rPr>
        <w:t>Supporting Information</w:t>
      </w:r>
    </w:p>
    <w:p w14:paraId="319314B1" w14:textId="4071A180" w:rsidR="00A44D0C" w:rsidRDefault="00A44D0C" w:rsidP="00DD7D07">
      <w:pPr>
        <w:spacing w:line="360" w:lineRule="auto"/>
        <w:ind w:leftChars="-342" w:left="-718" w:rightChars="-330" w:right="-69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Supplemental</w:t>
      </w:r>
      <w:r>
        <w:rPr>
          <w:b/>
          <w:sz w:val="22"/>
          <w:szCs w:val="22"/>
        </w:rPr>
        <w:t xml:space="preserve"> Figures</w:t>
      </w:r>
    </w:p>
    <w:p w14:paraId="7CBBA3CF" w14:textId="369CAEE2" w:rsidR="00A44D0C" w:rsidRPr="00815814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S1.</w:t>
      </w:r>
      <w:r w:rsidR="007262A0">
        <w:rPr>
          <w:sz w:val="22"/>
          <w:szCs w:val="22"/>
        </w:rPr>
        <w:t xml:space="preserve"> (A) S</w:t>
      </w:r>
      <w:r w:rsidR="007262A0" w:rsidRPr="007262A0">
        <w:rPr>
          <w:sz w:val="22"/>
          <w:szCs w:val="22"/>
        </w:rPr>
        <w:t>ilhouette widths of the subtypes</w:t>
      </w:r>
      <w:r w:rsidR="007262A0">
        <w:rPr>
          <w:sz w:val="22"/>
          <w:szCs w:val="22"/>
        </w:rPr>
        <w:t xml:space="preserve">. (B) </w:t>
      </w:r>
      <w:r w:rsidR="00C81126" w:rsidRPr="005123EA">
        <w:rPr>
          <w:sz w:val="22"/>
          <w:szCs w:val="22"/>
        </w:rPr>
        <w:t>The number of compounds in the top 10 MoA.</w:t>
      </w:r>
    </w:p>
    <w:p w14:paraId="5AE69DAB" w14:textId="661E87D7" w:rsidR="00A44D0C" w:rsidRPr="00DA65A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S2.</w:t>
      </w:r>
      <w:r w:rsidRPr="00815814">
        <w:rPr>
          <w:sz w:val="22"/>
          <w:szCs w:val="22"/>
        </w:rPr>
        <w:t xml:space="preserve"> </w:t>
      </w:r>
      <w:r w:rsidRPr="003D1AFA">
        <w:rPr>
          <w:b/>
          <w:sz w:val="22"/>
          <w:szCs w:val="22"/>
        </w:rPr>
        <w:t xml:space="preserve">Landscape of Somatic Mutation in G1 and </w:t>
      </w:r>
      <w:r w:rsidRPr="00DA65AC">
        <w:rPr>
          <w:b/>
          <w:sz w:val="22"/>
          <w:szCs w:val="22"/>
        </w:rPr>
        <w:t>G2 Cohorts.</w:t>
      </w:r>
      <w:r w:rsidRPr="00DA65AC">
        <w:rPr>
          <w:sz w:val="22"/>
          <w:szCs w:val="22"/>
        </w:rPr>
        <w:t xml:space="preserve"> (A</w:t>
      </w:r>
      <w:r w:rsidR="00581400" w:rsidRPr="00DA65AC">
        <w:rPr>
          <w:sz w:val="22"/>
          <w:szCs w:val="22"/>
        </w:rPr>
        <w:t xml:space="preserve"> </w:t>
      </w:r>
      <w:r w:rsidR="00581400" w:rsidRPr="00DA65AC">
        <w:rPr>
          <w:rFonts w:hint="eastAsia"/>
          <w:sz w:val="22"/>
          <w:szCs w:val="22"/>
        </w:rPr>
        <w:t>a</w:t>
      </w:r>
      <w:r w:rsidR="00581400" w:rsidRPr="00DA65AC">
        <w:rPr>
          <w:sz w:val="22"/>
          <w:szCs w:val="22"/>
        </w:rPr>
        <w:t>nd B</w:t>
      </w:r>
      <w:r w:rsidRPr="00DA65AC">
        <w:rPr>
          <w:sz w:val="22"/>
          <w:szCs w:val="22"/>
        </w:rPr>
        <w:t>) Waterfall plot shows the mutation distribution of the top 15 most frequently mutated genes. (</w:t>
      </w:r>
      <w:r w:rsidR="00581400" w:rsidRPr="00DA65AC">
        <w:rPr>
          <w:sz w:val="22"/>
          <w:szCs w:val="22"/>
        </w:rPr>
        <w:t>C</w:t>
      </w:r>
      <w:r w:rsidRPr="00DA65AC">
        <w:rPr>
          <w:sz w:val="22"/>
          <w:szCs w:val="22"/>
        </w:rPr>
        <w:t>) The lollipop plot illustrates the differential distribution of variants for TP53. (</w:t>
      </w:r>
      <w:r w:rsidR="00B8201D" w:rsidRPr="00DA65AC">
        <w:rPr>
          <w:sz w:val="22"/>
          <w:szCs w:val="22"/>
        </w:rPr>
        <w:t>D</w:t>
      </w:r>
      <w:r w:rsidRPr="00DA65AC">
        <w:rPr>
          <w:sz w:val="22"/>
          <w:szCs w:val="22"/>
        </w:rPr>
        <w:t>) Forest plot displays the top 12 most significantly differentially mutated genes between two cohorts. (</w:t>
      </w:r>
      <w:r w:rsidR="00B8201D" w:rsidRPr="00DA65AC">
        <w:rPr>
          <w:sz w:val="22"/>
          <w:szCs w:val="22"/>
        </w:rPr>
        <w:t>E and F</w:t>
      </w:r>
      <w:r w:rsidRPr="00DA65AC">
        <w:rPr>
          <w:sz w:val="22"/>
          <w:szCs w:val="22"/>
        </w:rPr>
        <w:t>) The heatmap illustrates the mutually co-occurring and exclusive mutations of the top 25 frequently mutated genes.</w:t>
      </w:r>
    </w:p>
    <w:p w14:paraId="33A53EF9" w14:textId="2A4C4752" w:rsidR="00A44D0C" w:rsidRPr="00DA65A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DA65AC">
        <w:rPr>
          <w:b/>
          <w:sz w:val="22"/>
          <w:szCs w:val="22"/>
        </w:rPr>
        <w:t>Figure S3.</w:t>
      </w:r>
      <w:r w:rsidRPr="00DA65AC">
        <w:rPr>
          <w:sz w:val="22"/>
          <w:szCs w:val="22"/>
        </w:rPr>
        <w:t xml:space="preserve"> Kaplan-Meier curves show the independent relevance between overall survival time and TP53 mutation in G1 and G2 subgroups.</w:t>
      </w:r>
      <w:r w:rsidR="00C43930">
        <w:rPr>
          <w:sz w:val="22"/>
          <w:szCs w:val="22"/>
        </w:rPr>
        <w:t xml:space="preserve"> </w:t>
      </w:r>
      <w:r w:rsidR="00C43930" w:rsidRPr="00DA65AC">
        <w:rPr>
          <w:sz w:val="22"/>
          <w:szCs w:val="22"/>
        </w:rPr>
        <w:t>(</w:t>
      </w:r>
      <w:r w:rsidR="00C43930">
        <w:rPr>
          <w:sz w:val="22"/>
          <w:szCs w:val="22"/>
        </w:rPr>
        <w:t>A</w:t>
      </w:r>
      <w:r w:rsidR="00C43930" w:rsidRPr="00DA65AC">
        <w:rPr>
          <w:sz w:val="22"/>
          <w:szCs w:val="22"/>
        </w:rPr>
        <w:t xml:space="preserve"> and </w:t>
      </w:r>
      <w:r w:rsidR="00C43930">
        <w:rPr>
          <w:sz w:val="22"/>
          <w:szCs w:val="22"/>
        </w:rPr>
        <w:t>B</w:t>
      </w:r>
      <w:r w:rsidR="00C43930" w:rsidRPr="00DA65AC">
        <w:rPr>
          <w:sz w:val="22"/>
          <w:szCs w:val="22"/>
        </w:rPr>
        <w:t>)</w:t>
      </w:r>
    </w:p>
    <w:p w14:paraId="4F844417" w14:textId="5C88EF26" w:rsidR="00A44D0C" w:rsidRPr="00DA65A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DA65AC">
        <w:rPr>
          <w:b/>
          <w:sz w:val="22"/>
          <w:szCs w:val="22"/>
        </w:rPr>
        <w:t>Figure S4.</w:t>
      </w:r>
      <w:r w:rsidRPr="00DA65AC">
        <w:rPr>
          <w:sz w:val="22"/>
          <w:szCs w:val="22"/>
        </w:rPr>
        <w:t xml:space="preserve"> </w:t>
      </w:r>
      <w:r w:rsidR="00B475E4" w:rsidRPr="00DA65AC">
        <w:rPr>
          <w:sz w:val="22"/>
          <w:szCs w:val="22"/>
        </w:rPr>
        <w:t>Immune cell score heat map, where different colors represent the expression trend in different samples in TCGA-SARC dataset.</w:t>
      </w:r>
    </w:p>
    <w:p w14:paraId="29044A2B" w14:textId="46071FC0" w:rsidR="00A44D0C" w:rsidRPr="00DA65AC" w:rsidRDefault="00B475E4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DA65AC">
        <w:rPr>
          <w:b/>
          <w:sz w:val="22"/>
          <w:szCs w:val="22"/>
        </w:rPr>
        <w:t>Figure S5.</w:t>
      </w:r>
      <w:r w:rsidRPr="00DA65AC">
        <w:rPr>
          <w:sz w:val="22"/>
          <w:szCs w:val="22"/>
        </w:rPr>
        <w:t xml:space="preserve"> </w:t>
      </w:r>
      <w:r w:rsidR="00D14EBE" w:rsidRPr="00DA65AC">
        <w:rPr>
          <w:sz w:val="22"/>
          <w:szCs w:val="22"/>
        </w:rPr>
        <w:t>ROC curves show the time-dependent predictive efficiency of the risk signature.</w:t>
      </w:r>
    </w:p>
    <w:p w14:paraId="11B7CC9A" w14:textId="0439F956" w:rsidR="00A44D0C" w:rsidRPr="00DA65A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DA65AC">
        <w:rPr>
          <w:b/>
          <w:sz w:val="22"/>
          <w:szCs w:val="22"/>
        </w:rPr>
        <w:t>Figure S</w:t>
      </w:r>
      <w:r w:rsidR="00B475E4" w:rsidRPr="00DA65AC">
        <w:rPr>
          <w:b/>
          <w:sz w:val="22"/>
          <w:szCs w:val="22"/>
        </w:rPr>
        <w:t>6</w:t>
      </w:r>
      <w:r w:rsidRPr="00DA65AC">
        <w:rPr>
          <w:b/>
          <w:sz w:val="22"/>
          <w:szCs w:val="22"/>
        </w:rPr>
        <w:t>.</w:t>
      </w:r>
      <w:r w:rsidRPr="00DA65AC">
        <w:rPr>
          <w:sz w:val="22"/>
          <w:szCs w:val="22"/>
        </w:rPr>
        <w:t xml:space="preserve"> Risk plot for the SARC patients in TARGET</w:t>
      </w:r>
      <w:r w:rsidR="00F766D0" w:rsidRPr="00DA65AC">
        <w:rPr>
          <w:sz w:val="22"/>
          <w:szCs w:val="22"/>
        </w:rPr>
        <w:t>,</w:t>
      </w:r>
      <w:r w:rsidRPr="00DA65AC">
        <w:rPr>
          <w:sz w:val="22"/>
          <w:szCs w:val="22"/>
        </w:rPr>
        <w:t xml:space="preserve"> GSE1679</w:t>
      </w:r>
      <w:r w:rsidR="00F766D0" w:rsidRPr="00DA65AC">
        <w:rPr>
          <w:sz w:val="22"/>
          <w:szCs w:val="22"/>
        </w:rPr>
        <w:t xml:space="preserve"> and GSE21050</w:t>
      </w:r>
      <w:r w:rsidRPr="00DA65AC">
        <w:rPr>
          <w:sz w:val="22"/>
          <w:szCs w:val="22"/>
        </w:rPr>
        <w:t xml:space="preserve"> datasets.</w:t>
      </w:r>
    </w:p>
    <w:p w14:paraId="7389D292" w14:textId="423C1533" w:rsidR="00A44D0C" w:rsidRPr="00DA65A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DA65AC">
        <w:rPr>
          <w:b/>
          <w:sz w:val="22"/>
          <w:szCs w:val="22"/>
        </w:rPr>
        <w:t>Figure S</w:t>
      </w:r>
      <w:r w:rsidR="00B475E4" w:rsidRPr="00DA65AC">
        <w:rPr>
          <w:b/>
          <w:sz w:val="22"/>
          <w:szCs w:val="22"/>
        </w:rPr>
        <w:t>7</w:t>
      </w:r>
      <w:r w:rsidRPr="00DA65AC">
        <w:rPr>
          <w:b/>
          <w:sz w:val="22"/>
          <w:szCs w:val="22"/>
        </w:rPr>
        <w:t>.</w:t>
      </w:r>
      <w:r w:rsidRPr="00DA65AC">
        <w:rPr>
          <w:sz w:val="22"/>
          <w:szCs w:val="22"/>
        </w:rPr>
        <w:t xml:space="preserve"> ROC curves show the predictive efficiency of the risk signature on </w:t>
      </w:r>
      <w:r w:rsidR="00B8201D" w:rsidRPr="00DA65AC">
        <w:rPr>
          <w:sz w:val="22"/>
          <w:szCs w:val="22"/>
        </w:rPr>
        <w:t>TCGA sarcoma samples</w:t>
      </w:r>
      <w:r w:rsidRPr="00DA65AC">
        <w:rPr>
          <w:sz w:val="22"/>
          <w:szCs w:val="22"/>
        </w:rPr>
        <w:t xml:space="preserve">. </w:t>
      </w:r>
    </w:p>
    <w:p w14:paraId="24A146A6" w14:textId="1F0FBF10" w:rsidR="00A44D0C" w:rsidRDefault="00D14EBE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</w:t>
      </w:r>
      <w:r w:rsidR="00B475E4">
        <w:rPr>
          <w:b/>
          <w:sz w:val="22"/>
          <w:szCs w:val="22"/>
        </w:rPr>
        <w:t>8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="009133A6" w:rsidRPr="009133A6">
        <w:rPr>
          <w:sz w:val="22"/>
          <w:szCs w:val="22"/>
        </w:rPr>
        <w:t xml:space="preserve">HE staining shows the </w:t>
      </w:r>
      <w:r w:rsidR="00CE219F" w:rsidRPr="00CE219F">
        <w:rPr>
          <w:sz w:val="22"/>
          <w:szCs w:val="22"/>
        </w:rPr>
        <w:t>neoadjuvant chemotherapy responses</w:t>
      </w:r>
      <w:r w:rsidR="009133A6" w:rsidRPr="009133A6">
        <w:rPr>
          <w:sz w:val="22"/>
          <w:szCs w:val="22"/>
        </w:rPr>
        <w:t xml:space="preserve"> in patients with different risk scores after chemotherapy</w:t>
      </w:r>
      <w:r w:rsidR="009133A6">
        <w:rPr>
          <w:sz w:val="22"/>
          <w:szCs w:val="22"/>
        </w:rPr>
        <w:t xml:space="preserve">. </w:t>
      </w:r>
      <w:r w:rsidR="009133A6" w:rsidRPr="009133A6">
        <w:rPr>
          <w:sz w:val="22"/>
          <w:szCs w:val="22"/>
        </w:rPr>
        <w:t>IHC shows the infiltration of cytotoxic CD8 cells</w:t>
      </w:r>
      <w:r w:rsidR="009133A6">
        <w:rPr>
          <w:sz w:val="22"/>
          <w:szCs w:val="22"/>
        </w:rPr>
        <w:t xml:space="preserve"> of samples </w:t>
      </w:r>
      <w:r w:rsidR="009133A6" w:rsidRPr="009133A6">
        <w:rPr>
          <w:sz w:val="22"/>
          <w:szCs w:val="22"/>
        </w:rPr>
        <w:t>with different risk scores</w:t>
      </w:r>
      <w:r w:rsidR="009133A6">
        <w:rPr>
          <w:sz w:val="22"/>
          <w:szCs w:val="22"/>
        </w:rPr>
        <w:t>.</w:t>
      </w:r>
      <w:r w:rsidR="00CE219F" w:rsidRPr="00CE219F">
        <w:t xml:space="preserve"> </w:t>
      </w:r>
      <w:r w:rsidR="00CE219F" w:rsidRPr="00CE219F">
        <w:rPr>
          <w:sz w:val="22"/>
          <w:szCs w:val="22"/>
        </w:rPr>
        <w:t>Scale bars: 100 μm.</w:t>
      </w:r>
    </w:p>
    <w:p w14:paraId="6B4E9B64" w14:textId="33AC7D68" w:rsidR="00A44D0C" w:rsidRDefault="00004016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</w:t>
      </w:r>
      <w:r w:rsidR="00B475E4">
        <w:rPr>
          <w:b/>
          <w:sz w:val="22"/>
          <w:szCs w:val="22"/>
        </w:rPr>
        <w:t>9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="00E75416" w:rsidRPr="00F85643">
        <w:rPr>
          <w:sz w:val="22"/>
          <w:szCs w:val="22"/>
        </w:rPr>
        <w:t>Correlation of the immune cell members and risk score.</w:t>
      </w:r>
    </w:p>
    <w:p w14:paraId="66EA6CB2" w14:textId="59488D57" w:rsidR="00A44D0C" w:rsidRDefault="00D45796" w:rsidP="00DD7D07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</w:t>
      </w:r>
      <w:r w:rsidR="00B475E4">
        <w:rPr>
          <w:b/>
          <w:sz w:val="22"/>
          <w:szCs w:val="22"/>
        </w:rPr>
        <w:t>10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Pr="00F85643">
        <w:rPr>
          <w:sz w:val="22"/>
          <w:szCs w:val="22"/>
        </w:rPr>
        <w:t xml:space="preserve">Correlation of the </w:t>
      </w:r>
      <w:r>
        <w:rPr>
          <w:sz w:val="22"/>
          <w:szCs w:val="22"/>
        </w:rPr>
        <w:t>CD8+ T cell infiltration</w:t>
      </w:r>
      <w:r w:rsidRPr="00F85643">
        <w:rPr>
          <w:sz w:val="22"/>
          <w:szCs w:val="22"/>
        </w:rPr>
        <w:t xml:space="preserve"> and risk score</w:t>
      </w:r>
      <w:r>
        <w:rPr>
          <w:sz w:val="22"/>
          <w:szCs w:val="22"/>
        </w:rPr>
        <w:t xml:space="preserve"> based on ImmuneCellAI and xCell</w:t>
      </w:r>
      <w:r w:rsidRPr="00F85643">
        <w:rPr>
          <w:sz w:val="22"/>
          <w:szCs w:val="22"/>
        </w:rPr>
        <w:t>.</w:t>
      </w:r>
    </w:p>
    <w:p w14:paraId="3DB8B144" w14:textId="62D762CB" w:rsidR="001A473C" w:rsidRDefault="001A473C" w:rsidP="00D45796">
      <w:pPr>
        <w:spacing w:line="360" w:lineRule="auto"/>
        <w:ind w:leftChars="-342" w:left="-718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Figure S</w:t>
      </w:r>
      <w:r>
        <w:rPr>
          <w:b/>
          <w:sz w:val="22"/>
          <w:szCs w:val="22"/>
        </w:rPr>
        <w:t>1</w:t>
      </w:r>
      <w:r w:rsidR="00B475E4">
        <w:rPr>
          <w:b/>
          <w:sz w:val="22"/>
          <w:szCs w:val="22"/>
        </w:rPr>
        <w:t>1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="00316973" w:rsidRPr="00316973">
        <w:rPr>
          <w:b/>
          <w:sz w:val="22"/>
          <w:szCs w:val="22"/>
        </w:rPr>
        <w:t>Association of retinoic acid risk score and sarcoma prognostic indicators</w:t>
      </w:r>
      <w:r w:rsidR="00316973">
        <w:rPr>
          <w:b/>
          <w:sz w:val="22"/>
          <w:szCs w:val="22"/>
        </w:rPr>
        <w:t xml:space="preserve"> separately.</w:t>
      </w:r>
      <w:r w:rsidR="00316973" w:rsidRPr="00316973">
        <w:rPr>
          <w:sz w:val="22"/>
          <w:szCs w:val="22"/>
        </w:rPr>
        <w:t xml:space="preserve"> (A-</w:t>
      </w:r>
      <w:r w:rsidR="00316973">
        <w:rPr>
          <w:sz w:val="22"/>
          <w:szCs w:val="22"/>
        </w:rPr>
        <w:t>C</w:t>
      </w:r>
      <w:r w:rsidR="00316973" w:rsidRPr="00316973">
        <w:rPr>
          <w:sz w:val="22"/>
          <w:szCs w:val="22"/>
        </w:rPr>
        <w:t xml:space="preserve">) Association of retinoic acid risk score and </w:t>
      </w:r>
      <w:r w:rsidR="00316973">
        <w:rPr>
          <w:sz w:val="22"/>
          <w:szCs w:val="22"/>
        </w:rPr>
        <w:t xml:space="preserve">bone </w:t>
      </w:r>
      <w:r w:rsidR="00316973" w:rsidRPr="00316973">
        <w:rPr>
          <w:sz w:val="22"/>
          <w:szCs w:val="22"/>
        </w:rPr>
        <w:t>sarcoma prognostic indicators</w:t>
      </w:r>
      <w:r w:rsidR="00316973">
        <w:rPr>
          <w:sz w:val="22"/>
          <w:szCs w:val="22"/>
        </w:rPr>
        <w:t xml:space="preserve">. </w:t>
      </w:r>
      <w:r w:rsidR="00316973" w:rsidRPr="00316973">
        <w:rPr>
          <w:sz w:val="22"/>
          <w:szCs w:val="22"/>
        </w:rPr>
        <w:t>(</w:t>
      </w:r>
      <w:r w:rsidR="00316973">
        <w:rPr>
          <w:sz w:val="22"/>
          <w:szCs w:val="22"/>
        </w:rPr>
        <w:t>D</w:t>
      </w:r>
      <w:r w:rsidR="00316973" w:rsidRPr="00316973">
        <w:rPr>
          <w:sz w:val="22"/>
          <w:szCs w:val="22"/>
        </w:rPr>
        <w:t>-</w:t>
      </w:r>
      <w:r w:rsidR="00316973">
        <w:rPr>
          <w:sz w:val="22"/>
          <w:szCs w:val="22"/>
        </w:rPr>
        <w:t>F</w:t>
      </w:r>
      <w:r w:rsidR="00316973" w:rsidRPr="00316973">
        <w:rPr>
          <w:sz w:val="22"/>
          <w:szCs w:val="22"/>
        </w:rPr>
        <w:t xml:space="preserve">) Association of retinoic acid risk score and </w:t>
      </w:r>
      <w:r w:rsidR="00316973">
        <w:rPr>
          <w:sz w:val="22"/>
          <w:szCs w:val="22"/>
        </w:rPr>
        <w:t xml:space="preserve">soft tissue </w:t>
      </w:r>
      <w:r w:rsidR="00316973" w:rsidRPr="00316973">
        <w:rPr>
          <w:sz w:val="22"/>
          <w:szCs w:val="22"/>
        </w:rPr>
        <w:t>sarcoma prognostic indicators</w:t>
      </w:r>
      <w:r w:rsidR="00316973">
        <w:rPr>
          <w:sz w:val="22"/>
          <w:szCs w:val="22"/>
        </w:rPr>
        <w:t>.</w:t>
      </w:r>
    </w:p>
    <w:p w14:paraId="7BF603D9" w14:textId="27FE9092" w:rsidR="00A44D0C" w:rsidRDefault="00A44D0C" w:rsidP="00D45796">
      <w:pPr>
        <w:spacing w:line="360" w:lineRule="auto"/>
        <w:ind w:leftChars="-342" w:left="-718" w:rightChars="-330" w:right="-693"/>
        <w:rPr>
          <w:sz w:val="22"/>
          <w:szCs w:val="22"/>
        </w:rPr>
      </w:pPr>
    </w:p>
    <w:p w14:paraId="7E537396" w14:textId="77777777" w:rsidR="005B0C19" w:rsidRDefault="005B0C19">
      <w:pPr>
        <w:widowControl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BFD0AE0" w14:textId="705B6C37" w:rsidR="00A44D0C" w:rsidRPr="005B0C19" w:rsidRDefault="00A44D0C" w:rsidP="00D45796">
      <w:pPr>
        <w:spacing w:line="360" w:lineRule="auto"/>
        <w:ind w:leftChars="-342" w:left="-718" w:rightChars="-330" w:right="-693"/>
        <w:rPr>
          <w:b/>
          <w:sz w:val="22"/>
          <w:szCs w:val="22"/>
        </w:rPr>
      </w:pPr>
      <w:r w:rsidRPr="005B0C19">
        <w:rPr>
          <w:rFonts w:hint="eastAsia"/>
          <w:b/>
          <w:sz w:val="22"/>
          <w:szCs w:val="22"/>
        </w:rPr>
        <w:lastRenderedPageBreak/>
        <w:t>S</w:t>
      </w:r>
      <w:r w:rsidRPr="005B0C19">
        <w:rPr>
          <w:b/>
          <w:sz w:val="22"/>
          <w:szCs w:val="22"/>
        </w:rPr>
        <w:t>upple</w:t>
      </w:r>
      <w:r w:rsidR="005B0C19" w:rsidRPr="005B0C19">
        <w:rPr>
          <w:b/>
          <w:sz w:val="22"/>
          <w:szCs w:val="22"/>
        </w:rPr>
        <w:t>mental Tables</w:t>
      </w:r>
    </w:p>
    <w:p w14:paraId="7AB42411" w14:textId="71B86D88" w:rsidR="002A5A78" w:rsidRPr="002A5A78" w:rsidRDefault="002A5A78" w:rsidP="00D45796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2A5A78">
        <w:rPr>
          <w:b/>
          <w:sz w:val="22"/>
          <w:szCs w:val="22"/>
        </w:rPr>
        <w:t xml:space="preserve">Table S1. </w:t>
      </w:r>
      <w:r w:rsidRPr="002A5A78">
        <w:rPr>
          <w:sz w:val="22"/>
          <w:szCs w:val="22"/>
        </w:rPr>
        <w:t>Evaluation of metrics performance among different numbers of subgroups.</w:t>
      </w:r>
    </w:p>
    <w:p w14:paraId="583CC8DF" w14:textId="73C57F5E" w:rsidR="00D45796" w:rsidRPr="00D45796" w:rsidRDefault="00D45796" w:rsidP="00D45796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2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Pr="00D45796">
        <w:rPr>
          <w:sz w:val="22"/>
          <w:szCs w:val="22"/>
        </w:rPr>
        <w:t>The distribution of clinical variables for G1 and G2 subgroups.</w:t>
      </w:r>
    </w:p>
    <w:p w14:paraId="292AA1EC" w14:textId="3F6D96CA" w:rsidR="00D14EBE" w:rsidRPr="00815814" w:rsidRDefault="00D14EBE" w:rsidP="00D14EBE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3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Differentially expressed genes between G1 and G2 groups.</w:t>
      </w:r>
    </w:p>
    <w:p w14:paraId="6392B519" w14:textId="24A06C33" w:rsidR="00D14EBE" w:rsidRPr="00815814" w:rsidRDefault="00D14EBE" w:rsidP="00D14EBE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4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GSEA enrichment results based on KEGG and hallmark gene sets.</w:t>
      </w:r>
    </w:p>
    <w:p w14:paraId="0E3A5C2C" w14:textId="50D5F15C" w:rsidR="00D14EBE" w:rsidRPr="00815814" w:rsidRDefault="00D14EBE" w:rsidP="00D14EBE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5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Connective Map screened 56 potential small molecules specific to different sub-groups.</w:t>
      </w:r>
    </w:p>
    <w:p w14:paraId="6FEEC086" w14:textId="38D364D1" w:rsidR="00D14EBE" w:rsidRDefault="00D14EBE" w:rsidP="00D14EBE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6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Immune cell components derived from CIBERSORT.</w:t>
      </w:r>
    </w:p>
    <w:p w14:paraId="5CEBCD40" w14:textId="66CE303E" w:rsidR="00954D69" w:rsidRPr="00815814" w:rsidRDefault="00954D69" w:rsidP="00954D69">
      <w:pPr>
        <w:spacing w:line="360" w:lineRule="auto"/>
        <w:ind w:leftChars="-330" w:left="-693" w:rightChars="-330" w:right="-693"/>
        <w:rPr>
          <w:sz w:val="22"/>
          <w:szCs w:val="22"/>
        </w:rPr>
      </w:pPr>
      <w:r w:rsidRPr="00815814">
        <w:rPr>
          <w:b/>
          <w:sz w:val="22"/>
          <w:szCs w:val="22"/>
        </w:rPr>
        <w:t>Table S</w:t>
      </w:r>
      <w:r w:rsidR="00647E51">
        <w:rPr>
          <w:b/>
          <w:sz w:val="22"/>
          <w:szCs w:val="22"/>
        </w:rPr>
        <w:t>7</w:t>
      </w:r>
      <w:r w:rsidRPr="00815814">
        <w:rPr>
          <w:b/>
          <w:sz w:val="22"/>
          <w:szCs w:val="22"/>
        </w:rPr>
        <w:t>.</w:t>
      </w:r>
      <w:r w:rsidRPr="00815814">
        <w:rPr>
          <w:sz w:val="22"/>
          <w:szCs w:val="22"/>
        </w:rPr>
        <w:t xml:space="preserve"> </w:t>
      </w:r>
      <w:r w:rsidRPr="00711082">
        <w:rPr>
          <w:sz w:val="22"/>
          <w:szCs w:val="22"/>
        </w:rPr>
        <w:t xml:space="preserve">Clinicopathological characteristics of </w:t>
      </w:r>
      <w:r w:rsidR="004610DE">
        <w:rPr>
          <w:rFonts w:hint="eastAsia"/>
          <w:sz w:val="22"/>
          <w:szCs w:val="22"/>
        </w:rPr>
        <w:t>71</w:t>
      </w:r>
      <w:r w:rsidRPr="007110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sarcoma </w:t>
      </w:r>
      <w:r w:rsidRPr="00711082">
        <w:rPr>
          <w:sz w:val="22"/>
          <w:szCs w:val="22"/>
        </w:rPr>
        <w:t>patients</w:t>
      </w:r>
      <w:r w:rsidRPr="00815814">
        <w:rPr>
          <w:sz w:val="22"/>
          <w:szCs w:val="22"/>
        </w:rPr>
        <w:t>.</w:t>
      </w:r>
    </w:p>
    <w:p w14:paraId="527B3D4E" w14:textId="77777777" w:rsidR="00954D69" w:rsidRPr="00954D69" w:rsidRDefault="00954D69" w:rsidP="00D14EBE">
      <w:pPr>
        <w:spacing w:line="360" w:lineRule="auto"/>
        <w:ind w:leftChars="-330" w:left="-693" w:rightChars="-330" w:right="-693"/>
        <w:rPr>
          <w:sz w:val="22"/>
          <w:szCs w:val="22"/>
        </w:rPr>
      </w:pPr>
    </w:p>
    <w:p w14:paraId="69FAB4FA" w14:textId="77777777" w:rsidR="00A42A5F" w:rsidRPr="00815814" w:rsidRDefault="00A42A5F"/>
    <w:sectPr w:rsidR="00A42A5F" w:rsidRPr="00815814" w:rsidSect="00544697">
      <w:headerReference w:type="default" r:id="rId6"/>
      <w:footerReference w:type="even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3567" w14:textId="77777777" w:rsidR="0063179D" w:rsidRDefault="0063179D" w:rsidP="00412D2A">
      <w:r>
        <w:separator/>
      </w:r>
    </w:p>
  </w:endnote>
  <w:endnote w:type="continuationSeparator" w:id="0">
    <w:p w14:paraId="55E76BB6" w14:textId="77777777" w:rsidR="0063179D" w:rsidRDefault="0063179D" w:rsidP="004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0FBC" w14:textId="77777777" w:rsidR="000360FB" w:rsidRDefault="009E0638" w:rsidP="005446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908486" w14:textId="77777777" w:rsidR="000360FB" w:rsidRDefault="006317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9937" w14:textId="77777777" w:rsidR="0063179D" w:rsidRDefault="0063179D" w:rsidP="00412D2A">
      <w:r>
        <w:separator/>
      </w:r>
    </w:p>
  </w:footnote>
  <w:footnote w:type="continuationSeparator" w:id="0">
    <w:p w14:paraId="600C942F" w14:textId="77777777" w:rsidR="0063179D" w:rsidRDefault="0063179D" w:rsidP="004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DF71" w14:textId="77777777" w:rsidR="000360FB" w:rsidRDefault="0063179D" w:rsidP="005446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F64"/>
    <w:rsid w:val="00004016"/>
    <w:rsid w:val="0016438F"/>
    <w:rsid w:val="001A473C"/>
    <w:rsid w:val="001F4CCE"/>
    <w:rsid w:val="00264FF3"/>
    <w:rsid w:val="002A5A78"/>
    <w:rsid w:val="002D0158"/>
    <w:rsid w:val="002F0128"/>
    <w:rsid w:val="00316973"/>
    <w:rsid w:val="00333D3F"/>
    <w:rsid w:val="00366986"/>
    <w:rsid w:val="003A3920"/>
    <w:rsid w:val="003D1AFA"/>
    <w:rsid w:val="00412D2A"/>
    <w:rsid w:val="004610DE"/>
    <w:rsid w:val="00465607"/>
    <w:rsid w:val="00492EA0"/>
    <w:rsid w:val="004C68E8"/>
    <w:rsid w:val="00507550"/>
    <w:rsid w:val="00581400"/>
    <w:rsid w:val="005A21C9"/>
    <w:rsid w:val="005B0C19"/>
    <w:rsid w:val="005D5A3D"/>
    <w:rsid w:val="006063C8"/>
    <w:rsid w:val="0063179D"/>
    <w:rsid w:val="00647E51"/>
    <w:rsid w:val="006F0E2D"/>
    <w:rsid w:val="007262A0"/>
    <w:rsid w:val="007F42A0"/>
    <w:rsid w:val="00815814"/>
    <w:rsid w:val="00865054"/>
    <w:rsid w:val="008F5B56"/>
    <w:rsid w:val="009133A6"/>
    <w:rsid w:val="00954D69"/>
    <w:rsid w:val="009E0638"/>
    <w:rsid w:val="00A27365"/>
    <w:rsid w:val="00A42A5F"/>
    <w:rsid w:val="00A44D0C"/>
    <w:rsid w:val="00A621F7"/>
    <w:rsid w:val="00AC6E10"/>
    <w:rsid w:val="00B475E4"/>
    <w:rsid w:val="00B8201D"/>
    <w:rsid w:val="00BC5844"/>
    <w:rsid w:val="00C43930"/>
    <w:rsid w:val="00C527E5"/>
    <w:rsid w:val="00C81126"/>
    <w:rsid w:val="00CE219F"/>
    <w:rsid w:val="00CE2A57"/>
    <w:rsid w:val="00D14EBE"/>
    <w:rsid w:val="00D255E1"/>
    <w:rsid w:val="00D45796"/>
    <w:rsid w:val="00DA02A5"/>
    <w:rsid w:val="00DA5AEB"/>
    <w:rsid w:val="00DA65AC"/>
    <w:rsid w:val="00DC34D0"/>
    <w:rsid w:val="00DD7D07"/>
    <w:rsid w:val="00E75416"/>
    <w:rsid w:val="00ED079D"/>
    <w:rsid w:val="00F766D0"/>
    <w:rsid w:val="00FB1C4B"/>
    <w:rsid w:val="00FC1C90"/>
    <w:rsid w:val="00FD0F64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60EBA"/>
  <w15:chartTrackingRefBased/>
  <w15:docId w15:val="{5A665B94-BA2B-4088-B5EB-F47245B1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Char"/>
    <w:basedOn w:val="a"/>
    <w:link w:val="a4"/>
    <w:unhideWhenUsed/>
    <w:rsid w:val="0041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aliases w:val=" Char 字符"/>
    <w:basedOn w:val="a0"/>
    <w:link w:val="a3"/>
    <w:rsid w:val="00412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D2A"/>
    <w:rPr>
      <w:sz w:val="18"/>
      <w:szCs w:val="18"/>
    </w:rPr>
  </w:style>
  <w:style w:type="character" w:styleId="a7">
    <w:name w:val="page number"/>
    <w:basedOn w:val="a0"/>
    <w:rsid w:val="00412D2A"/>
  </w:style>
  <w:style w:type="paragraph" w:styleId="a8">
    <w:name w:val="Title"/>
    <w:basedOn w:val="a"/>
    <w:next w:val="a"/>
    <w:link w:val="a9"/>
    <w:qFormat/>
    <w:rsid w:val="00A44D0C"/>
    <w:pPr>
      <w:spacing w:before="240" w:after="60"/>
      <w:ind w:leftChars="100" w:left="100" w:rightChars="100" w:right="100"/>
      <w:jc w:val="center"/>
      <w:outlineLvl w:val="0"/>
    </w:pPr>
    <w:rPr>
      <w:rFonts w:ascii="Arial" w:hAnsi="Arial"/>
      <w:b/>
      <w:bCs/>
      <w:sz w:val="30"/>
      <w:szCs w:val="32"/>
    </w:rPr>
  </w:style>
  <w:style w:type="character" w:customStyle="1" w:styleId="a9">
    <w:name w:val="标题 字符"/>
    <w:basedOn w:val="a0"/>
    <w:link w:val="a8"/>
    <w:rsid w:val="00A44D0C"/>
    <w:rPr>
      <w:rFonts w:ascii="Arial" w:eastAsia="宋体" w:hAnsi="Arial" w:cs="Times New Roman"/>
      <w:b/>
      <w:bCs/>
      <w:sz w:val="30"/>
      <w:szCs w:val="32"/>
    </w:rPr>
  </w:style>
  <w:style w:type="paragraph" w:styleId="aa">
    <w:name w:val="List Paragraph"/>
    <w:basedOn w:val="a"/>
    <w:uiPriority w:val="34"/>
    <w:qFormat/>
    <w:rsid w:val="00A44D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胡 锦心</cp:lastModifiedBy>
  <cp:revision>34</cp:revision>
  <dcterms:created xsi:type="dcterms:W3CDTF">2018-06-06T02:48:00Z</dcterms:created>
  <dcterms:modified xsi:type="dcterms:W3CDTF">2021-12-14T14:29:00Z</dcterms:modified>
</cp:coreProperties>
</file>