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rFonts w:eastAsia="宋体"/>
          <w:b w:val="0"/>
          <w:lang w:eastAsia="zh-CN"/>
        </w:rPr>
      </w:pPr>
      <w:r>
        <w:t>Supplementary Material</w:t>
      </w:r>
      <w:r>
        <w:rPr>
          <w:rFonts w:hint="eastAsia" w:eastAsia="宋体"/>
          <w:lang w:eastAsia="zh-CN"/>
        </w:rPr>
        <w:t>s</w:t>
      </w:r>
    </w:p>
    <w:p>
      <w:pPr>
        <w:rPr>
          <w:rFonts w:eastAsia="Calibri" w:cs="Times New Roman"/>
          <w:szCs w:val="24"/>
          <w:lang w:eastAsia="zh-CN"/>
        </w:rPr>
      </w:pPr>
      <w:r>
        <w:rPr>
          <w:rFonts w:eastAsia="Calibri" w:cs="Times New Roman"/>
          <w:szCs w:val="24"/>
          <w:lang w:eastAsia="zh-CN"/>
        </w:rPr>
        <w:t>Table 1.  RT-PCR primer sequences</w:t>
      </w:r>
    </w:p>
    <w:tbl>
      <w:tblPr>
        <w:tblStyle w:val="53"/>
        <w:tblW w:w="960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60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Name</w:t>
            </w:r>
          </w:p>
        </w:tc>
        <w:tc>
          <w:tcPr>
            <w:tcW w:w="60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Sequence (5′</w:t>
            </w:r>
            <w:r>
              <w:rPr>
                <w:rFonts w:eastAsia="Calibri" w:cs="Times New Roman"/>
                <w:szCs w:val="24"/>
                <w:lang w:eastAsia="zh-CN"/>
              </w:rPr>
              <w:t>–</w:t>
            </w:r>
            <w:r>
              <w:rPr>
                <w:rFonts w:eastAsia="宋体" w:cs="Times New Roman"/>
                <w:szCs w:val="24"/>
                <w:lang w:eastAsia="zh-CN"/>
              </w:rPr>
              <w:t>3′)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18sRNA</w:t>
            </w:r>
          </w:p>
        </w:tc>
        <w:tc>
          <w:tcPr>
            <w:tcW w:w="60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18sRNA-F  AGGCCATGATTAAGAGGGAC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720" w:firstLineChars="300"/>
              <w:jc w:val="both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18sRNA-R  TCTGATCGTCGTCGAACCTC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i/>
                <w:szCs w:val="24"/>
                <w:lang w:eastAsia="zh-CN"/>
              </w:rPr>
            </w:pPr>
            <w:r>
              <w:rPr>
                <w:rFonts w:eastAsia="Calibri" w:cs="Times New Roman"/>
                <w:i/>
                <w:szCs w:val="24"/>
                <w:lang w:eastAsia="zh-CN"/>
              </w:rPr>
              <w:t>pgc</w:t>
            </w:r>
            <w:r>
              <w:rPr>
                <w:rFonts w:eastAsia="宋体" w:cs="Times New Roman"/>
                <w:i/>
                <w:szCs w:val="24"/>
                <w:lang w:eastAsia="zh-CN"/>
              </w:rPr>
              <w:t>-1</w:t>
            </w:r>
            <w:r>
              <w:rPr>
                <w:rFonts w:eastAsia="Cambria" w:cs="Times New Roman"/>
                <w:i/>
                <w:szCs w:val="24"/>
                <w:lang w:eastAsia="zh-CN"/>
              </w:rPr>
              <w:t>α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pgc-1α-F  AGGGCGAAACAAAGGGAGA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pgc-1α-R  CGTCACAGGTGTATCGGTAGGT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i/>
                <w:szCs w:val="24"/>
                <w:lang w:eastAsia="zh-CN"/>
              </w:rPr>
            </w:pPr>
            <w:r>
              <w:rPr>
                <w:rFonts w:eastAsia="Calibri" w:cs="Times New Roman"/>
                <w:i/>
                <w:szCs w:val="24"/>
                <w:lang w:eastAsia="zh-CN"/>
              </w:rPr>
              <w:t>ppar</w:t>
            </w:r>
            <w:r>
              <w:rPr>
                <w:rFonts w:eastAsia="Cambria" w:cs="Times New Roman"/>
                <w:i/>
                <w:szCs w:val="24"/>
                <w:lang w:eastAsia="zh-CN"/>
              </w:rPr>
              <w:t>α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pparα-F  ACCTGGAAAGCCCGTTATCT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pparα-R  ACCACAGGACAAGTGACGGAT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i/>
                <w:szCs w:val="24"/>
                <w:lang w:eastAsia="zh-CN"/>
              </w:rPr>
              <w:t>PRDM16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PRDM16-F3  TCCTACACGCAGTTCTCCAAC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720" w:firstLineChars="300"/>
              <w:jc w:val="both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PRDM16-R3  GTAATGGTTCTTGCCCTCGC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UCP1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UCP1-F  GGGAGGAAGCAACACCAAGT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UCP1-R  CCGTGTAGCGAGGTTTGAGA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CREB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CREB-F  CTGGACCCTGAAGAGACGACT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CREB-R  CTGGAGGTTGGGATTGCTTA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szCs w:val="24"/>
                <w:lang w:eastAsia="zh-CN"/>
              </w:rPr>
              <w:t>SLN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SLN-Fn  ACGCACAATGTTGACATACTCC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ind w:firstLine="720" w:firstLineChars="300"/>
              <w:jc w:val="both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SLN-Rn  AACCCTGAGGCTTGTCTAATGT</w:t>
            </w:r>
          </w:p>
        </w:tc>
      </w:tr>
    </w:tbl>
    <w:p>
      <w:pPr>
        <w:spacing w:before="240"/>
        <w:jc w:val="center"/>
      </w:pPr>
      <w:r>
        <w:drawing>
          <wp:inline distT="0" distB="0" distL="114300" distR="114300">
            <wp:extent cx="4239895" cy="2435225"/>
            <wp:effectExtent l="0" t="0" r="8255" b="317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before="240"/>
        <w:jc w:val="center"/>
      </w:pPr>
      <w:r>
        <w:rPr>
          <w:rFonts w:eastAsia="宋体" w:cs="Times New Roman"/>
          <w:szCs w:val="21"/>
        </w:rPr>
        <w:t>Figure</w:t>
      </w:r>
      <w:r>
        <w:rPr>
          <w:rFonts w:eastAsia="宋体" w:cs="Times New Roman"/>
          <w:szCs w:val="21"/>
          <w:lang w:eastAsia="zh-CN"/>
        </w:rPr>
        <w:t xml:space="preserve"> </w:t>
      </w:r>
      <w:r>
        <w:rPr>
          <w:rFonts w:hint="eastAsia" w:eastAsia="宋体" w:cs="Times New Roman"/>
          <w:szCs w:val="21"/>
          <w:lang w:eastAsia="zh-CN"/>
        </w:rPr>
        <w:t>S</w:t>
      </w:r>
      <w:r>
        <w:rPr>
          <w:rFonts w:eastAsia="宋体" w:cs="Times New Roman"/>
          <w:szCs w:val="21"/>
          <w:lang w:eastAsia="zh-CN"/>
        </w:rPr>
        <w:t xml:space="preserve">1  </w:t>
      </w:r>
      <w:r>
        <w:rPr>
          <w:rFonts w:hint="eastAsia" w:eastAsia="宋体"/>
          <w:lang w:eastAsia="zh-CN"/>
        </w:rPr>
        <w:t>C</w:t>
      </w:r>
      <w:r>
        <w:rPr>
          <w:rFonts w:hint="eastAsia"/>
        </w:rPr>
        <w:t>omparisons of nonshivering thermogenesis of plateau pikas from regions with different altitudes.</w:t>
      </w:r>
    </w:p>
    <w:p>
      <w:pPr>
        <w:spacing w:before="240"/>
        <w:jc w:val="center"/>
        <w:rPr>
          <w:color w:val="FFFFFF" w:themeColor="background1"/>
          <w14:textFill>
            <w14:noFill/>
          </w14:textFill>
        </w:rPr>
      </w:pPr>
      <w:bookmarkStart w:id="0" w:name="_GoBack"/>
      <w:r>
        <w:drawing>
          <wp:inline distT="0" distB="0" distL="0" distR="0">
            <wp:extent cx="4572000" cy="274320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>
      <w:pPr>
        <w:spacing w:before="240"/>
        <w:jc w:val="center"/>
        <w:rPr>
          <w:rFonts w:hint="eastAsia" w:eastAsia="宋体"/>
          <w:lang w:val="en-US" w:eastAsia="zh-CN"/>
        </w:rPr>
      </w:pPr>
      <w:r>
        <w:t xml:space="preserve">Figure S2 Comparison of resting metabolic rate of </w:t>
      </w:r>
      <w:r>
        <w:rPr>
          <w:rFonts w:hint="eastAsia"/>
        </w:rPr>
        <w:t>plateau pikas</w:t>
      </w:r>
      <w:r>
        <w:t xml:space="preserve"> at different altitudes at ambient temperature of 15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spacing w:before="240"/>
        <w:jc w:val="center"/>
        <w:rPr>
          <w:color w:val="FFFFFF" w:themeColor="background1"/>
          <w14:textFill>
            <w14:noFill/>
          </w14:textFill>
        </w:rPr>
      </w:pPr>
    </w:p>
    <w:p>
      <w:pPr>
        <w:spacing w:before="240"/>
        <w:jc w:val="center"/>
      </w:pPr>
    </w:p>
    <w:sectPr>
      <w:headerReference r:id="rId5" w:type="first"/>
      <w:footerReference r:id="rId6" w:type="default"/>
      <w:headerReference r:id="rId4" w:type="even"/>
      <w:footerReference r:id="rId7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210F"/>
    <w:rsid w:val="001549D3"/>
    <w:rsid w:val="00160065"/>
    <w:rsid w:val="00177D84"/>
    <w:rsid w:val="0021529E"/>
    <w:rsid w:val="00267D18"/>
    <w:rsid w:val="00274347"/>
    <w:rsid w:val="0028290F"/>
    <w:rsid w:val="002868E2"/>
    <w:rsid w:val="002869C3"/>
    <w:rsid w:val="002936E4"/>
    <w:rsid w:val="002B4A57"/>
    <w:rsid w:val="002C74CA"/>
    <w:rsid w:val="0031042D"/>
    <w:rsid w:val="003123F4"/>
    <w:rsid w:val="003544FB"/>
    <w:rsid w:val="003D2F2D"/>
    <w:rsid w:val="003D3311"/>
    <w:rsid w:val="00401590"/>
    <w:rsid w:val="00410E2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7A88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055E"/>
    <w:rsid w:val="00AA4D24"/>
    <w:rsid w:val="00AB6715"/>
    <w:rsid w:val="00B1671E"/>
    <w:rsid w:val="00B25EB8"/>
    <w:rsid w:val="00B37F4D"/>
    <w:rsid w:val="00BE600F"/>
    <w:rsid w:val="00C36113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227C0CE8"/>
    <w:rsid w:val="22B872C7"/>
    <w:rsid w:val="29BD108B"/>
    <w:rsid w:val="3BCA494C"/>
    <w:rsid w:val="486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table" w:customStyle="1" w:styleId="53">
    <w:name w:val="网格型1"/>
    <w:basedOn w:val="20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experment%20data\2020&#19977;&#28023;&#25300;&#25968;&#25454;\2021NST&#23548;&#20986;&#25968;&#25454;&#32467;&#26524;&#19982;&#20998;&#26512;\&#22403;&#22334;&#23665;NST&#20998;&#2651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009132420091"/>
          <c:y val="0.0253881278538813"/>
          <c:w val="0.774018264840183"/>
          <c:h val="0.8239634703196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[垃圾山NST分析.xlsx]Sheet11!$B$1</c:f>
              <c:strCache>
                <c:ptCount val="1"/>
                <c:pt idx="0">
                  <c:v>NST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0.03896103896103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a</a:t>
                    </a:r>
                    <a:endParaRPr lang="en-US" altLang="zh-CN" sz="12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022727272727272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a</a:t>
                    </a:r>
                    <a:endParaRPr lang="en-US" sz="12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b</a:t>
                    </a:r>
                    <a:endParaRPr lang="en-US" altLang="zh-CN" sz="12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[垃圾山NST分析.xlsx]Sheet11!$C$2:$C$4</c:f>
                <c:numCache>
                  <c:formatCode>General</c:formatCode>
                  <c:ptCount val="3"/>
                  <c:pt idx="0">
                    <c:v>0.29</c:v>
                  </c:pt>
                  <c:pt idx="1">
                    <c:v>0.31</c:v>
                  </c:pt>
                  <c:pt idx="2">
                    <c:v>0.08</c:v>
                  </c:pt>
                </c:numCache>
              </c:numRef>
            </c:plus>
            <c:minus>
              <c:numRef>
                <c:f>[垃圾山NST分析.xlsx]Sheet11!$C$2:$C$4</c:f>
                <c:numCache>
                  <c:formatCode>General</c:formatCode>
                  <c:ptCount val="3"/>
                  <c:pt idx="0">
                    <c:v>0.29</c:v>
                  </c:pt>
                  <c:pt idx="1">
                    <c:v>0.31</c:v>
                  </c:pt>
                  <c:pt idx="2">
                    <c:v>0.08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[垃圾山NST分析.xlsx]Sheet11!$A$2:$A$4</c:f>
              <c:strCache>
                <c:ptCount val="3"/>
                <c:pt idx="0">
                  <c:v>high-altitude</c:v>
                </c:pt>
                <c:pt idx="1">
                  <c:v>medium-altitude</c:v>
                </c:pt>
                <c:pt idx="2">
                  <c:v>low-altitude</c:v>
                </c:pt>
              </c:strCache>
            </c:strRef>
          </c:cat>
          <c:val>
            <c:numRef>
              <c:f>[垃圾山NST分析.xlsx]Sheet11!$B$2:$B$4</c:f>
              <c:numCache>
                <c:formatCode>General</c:formatCode>
                <c:ptCount val="3"/>
                <c:pt idx="0">
                  <c:v>5.5</c:v>
                </c:pt>
                <c:pt idx="1">
                  <c:v>5.1</c:v>
                </c:pt>
                <c:pt idx="2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712500"/>
        <c:axId val="763220616"/>
      </c:barChart>
      <c:catAx>
        <c:axId val="2927125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763220616"/>
        <c:crosses val="autoZero"/>
        <c:auto val="1"/>
        <c:lblAlgn val="ctr"/>
        <c:lblOffset val="100"/>
        <c:noMultiLvlLbl val="0"/>
      </c:catAx>
      <c:valAx>
        <c:axId val="763220616"/>
        <c:scaling>
          <c:orientation val="minMax"/>
          <c:max val="8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400">
                    <a:solidFill>
                      <a:schemeClr val="tx1"/>
                    </a:solidFill>
                    <a:latin typeface="Times New Roman" panose="02020603050405020304" charset="0"/>
                    <a:cs typeface="Times New Roman" panose="02020603050405020304" charset="0"/>
                  </a:rPr>
                  <a:t>nonshivering thermogenesis (mlO</a:t>
                </a:r>
                <a:r>
                  <a:rPr lang="en-US" altLang="zh-CN" sz="1400" baseline="-25000">
                    <a:solidFill>
                      <a:schemeClr val="tx1"/>
                    </a:solidFill>
                    <a:latin typeface="Times New Roman" panose="02020603050405020304" charset="0"/>
                    <a:cs typeface="Times New Roman" panose="02020603050405020304" charset="0"/>
                  </a:rPr>
                  <a:t>2</a:t>
                </a:r>
                <a:r>
                  <a:rPr lang="en-US" altLang="zh-CN" sz="1400">
                    <a:solidFill>
                      <a:schemeClr val="tx1"/>
                    </a:solidFill>
                    <a:latin typeface="Times New Roman" panose="02020603050405020304" charset="0"/>
                    <a:cs typeface="Times New Roman" panose="02020603050405020304" charset="0"/>
                  </a:rPr>
                  <a:t>/g</a:t>
                </a:r>
                <a:r>
                  <a:rPr lang="en-US" altLang="zh-CN" sz="1400" b="1" baseline="30000">
                    <a:solidFill>
                      <a:schemeClr val="tx1"/>
                    </a:solidFill>
                    <a:latin typeface="Times New Roman" panose="02020603050405020304" charset="0"/>
                    <a:cs typeface="Times New Roman" panose="02020603050405020304" charset="0"/>
                  </a:rPr>
                  <a:t>.</a:t>
                </a:r>
                <a:r>
                  <a:rPr lang="en-US" altLang="zh-CN" sz="1400">
                    <a:solidFill>
                      <a:schemeClr val="tx1"/>
                    </a:solidFill>
                    <a:latin typeface="Times New Roman" panose="02020603050405020304" charset="0"/>
                    <a:cs typeface="Times New Roman" panose="02020603050405020304" charset="0"/>
                  </a:rPr>
                  <a:t>h)</a:t>
                </a:r>
                <a:r>
                  <a:rPr lang="en-US" altLang="zh-CN"/>
                  <a:t> 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381944444444445"/>
              <c:y val="0.051415227452637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solidFill>
            <a:schemeClr val="bg1"/>
          </a:solidFill>
          <a:ln w="12700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29271250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Resting metabolic rate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a</a:t>
                    </a:r>
                    <a:endParaRPr lang="en-US" altLang="zh-CN" sz="12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275693350831146"/>
                      <c:h val="0.081712962962963"/>
                    </c:manualLayout>
                  </c15:layout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a</a:t>
                    </a:r>
                    <a:endParaRPr lang="en-US" altLang="zh-CN" sz="12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b</a:t>
                    </a:r>
                    <a:endParaRPr lang="en-US" altLang="zh-CN" sz="1200" b="1">
                      <a:latin typeface="Times New Roman" panose="02020603050405020304" charset="0"/>
                      <a:cs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Sheet2!$C$2:$C$4</c:f>
                <c:numCache>
                  <c:formatCode>General</c:formatCode>
                  <c:ptCount val="3"/>
                  <c:pt idx="0">
                    <c:v>0.03</c:v>
                  </c:pt>
                  <c:pt idx="1">
                    <c:v>0.05</c:v>
                  </c:pt>
                  <c:pt idx="2">
                    <c:v>0.06</c:v>
                  </c:pt>
                </c:numCache>
              </c:numRef>
            </c:plus>
            <c:minus>
              <c:numRef>
                <c:f>Sheet2!$C$2:$C$4</c:f>
                <c:numCache>
                  <c:formatCode>General</c:formatCode>
                  <c:ptCount val="3"/>
                  <c:pt idx="0">
                    <c:v>0.03</c:v>
                  </c:pt>
                  <c:pt idx="1">
                    <c:v>0.05</c:v>
                  </c:pt>
                  <c:pt idx="2">
                    <c:v>0.06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Sheet2!$A$2:$A$4</c:f>
              <c:strCache>
                <c:ptCount val="3"/>
                <c:pt idx="0">
                  <c:v>High altitude</c:v>
                </c:pt>
                <c:pt idx="1">
                  <c:v>Middle altitude</c:v>
                </c:pt>
                <c:pt idx="2">
                  <c:v>Low altitude</c:v>
                </c:pt>
              </c:strCache>
            </c:strRef>
          </c:cat>
          <c:val>
            <c:numRef>
              <c:f>Sheet2!$B$2:$B$4</c:f>
              <c:numCache>
                <c:formatCode>General</c:formatCode>
                <c:ptCount val="3"/>
                <c:pt idx="0">
                  <c:v>2.61</c:v>
                </c:pt>
                <c:pt idx="1">
                  <c:v>2.6</c:v>
                </c:pt>
                <c:pt idx="2">
                  <c:v>2.05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0583343"/>
        <c:axId val="1770583759"/>
      </c:barChart>
      <c:catAx>
        <c:axId val="177058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1770583759"/>
        <c:crosses val="autoZero"/>
        <c:auto val="1"/>
        <c:lblAlgn val="ctr"/>
        <c:lblOffset val="100"/>
        <c:noMultiLvlLbl val="0"/>
      </c:catAx>
      <c:valAx>
        <c:axId val="1770583759"/>
        <c:scaling>
          <c:orientation val="minMax"/>
          <c:max val="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400">
                    <a:solidFill>
                      <a:schemeClr val="tx1"/>
                    </a:solidFill>
                    <a:uFillTx/>
                    <a:latin typeface="Times New Roman" panose="02020603050405020304" charset="0"/>
                    <a:cs typeface="Times New Roman" panose="02020603050405020304" charset="0"/>
                  </a:rPr>
                  <a:t>Resting metabolic rate</a:t>
                </a:r>
                <a:r>
                  <a:rPr lang="en-US" altLang="zh-CN" sz="1400" baseline="0">
                    <a:solidFill>
                      <a:schemeClr val="tx1"/>
                    </a:solidFill>
                    <a:uFillTx/>
                    <a:latin typeface="Times New Roman" panose="02020603050405020304" charset="0"/>
                    <a:cs typeface="Times New Roman" panose="02020603050405020304" charset="0"/>
                  </a:rPr>
                  <a:t> (ml/g</a:t>
                </a:r>
                <a:r>
                  <a:rPr lang="en-US" altLang="zh-CN" sz="1400" b="1" baseline="30000">
                    <a:solidFill>
                      <a:schemeClr val="tx1"/>
                    </a:solidFill>
                    <a:uFillTx/>
                    <a:latin typeface="Times New Roman" panose="02020603050405020304" charset="0"/>
                    <a:cs typeface="Times New Roman" panose="02020603050405020304" charset="0"/>
                  </a:rPr>
                  <a:t>.</a:t>
                </a:r>
                <a:r>
                  <a:rPr lang="en-US" altLang="zh-CN" sz="1400" baseline="0">
                    <a:solidFill>
                      <a:schemeClr val="tx1"/>
                    </a:solidFill>
                    <a:uFillTx/>
                    <a:latin typeface="Times New Roman" panose="02020603050405020304" charset="0"/>
                    <a:cs typeface="Times New Roman" panose="02020603050405020304" charset="0"/>
                  </a:rPr>
                  <a:t>h)</a:t>
                </a:r>
                <a:endParaRPr lang="en-US" altLang="zh-CN" sz="1400" baseline="0">
                  <a:solidFill>
                    <a:schemeClr val="tx1"/>
                  </a:solidFill>
                  <a:uFillTx/>
                  <a:latin typeface="Times New Roman" panose="02020603050405020304" charset="0"/>
                  <a:cs typeface="Times New Roman" panose="02020603050405020304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177058334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BCE10-03D7-40D1-9834-C4B8B139A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2</Pages>
  <Words>120</Words>
  <Characters>685</Characters>
  <Lines>5</Lines>
  <Paragraphs>1</Paragraphs>
  <TotalTime>632</TotalTime>
  <ScaleCrop>false</ScaleCrop>
  <LinksUpToDate>false</LinksUpToDate>
  <CharactersWithSpaces>804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  </cp:lastModifiedBy>
  <cp:lastPrinted>2013-10-03T12:51:00Z</cp:lastPrinted>
  <dcterms:modified xsi:type="dcterms:W3CDTF">2021-12-25T02:17:18Z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269B705CD5BD41C48C008B95413736F5</vt:lpwstr>
  </property>
</Properties>
</file>