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AC" w:rsidRDefault="00242AAC" w:rsidP="00242AAC">
      <w:pPr>
        <w:pStyle w:val="a7"/>
        <w:keepNext/>
        <w:tabs>
          <w:tab w:val="left" w:pos="1140"/>
        </w:tabs>
      </w:pPr>
      <w:bookmarkStart w:id="0" w:name="_Ref69759363"/>
      <w:r>
        <w:t xml:space="preserve">Table </w:t>
      </w:r>
      <w:bookmarkEnd w:id="0"/>
      <w:r w:rsidR="00B321D6">
        <w:rPr>
          <w:noProof/>
        </w:rPr>
        <w:t>1</w:t>
      </w:r>
      <w:r>
        <w:t xml:space="preserve">. </w:t>
      </w:r>
      <w:r w:rsidRPr="001C5BE7">
        <w:t xml:space="preserve">Bonferroni </w:t>
      </w:r>
      <w:r w:rsidRPr="001C5BE7">
        <w:rPr>
          <w:i/>
        </w:rPr>
        <w:t>post-hoc</w:t>
      </w:r>
      <w:r w:rsidRPr="001C5BE7">
        <w:t xml:space="preserve"> analysis of SSVEP amplitude induced by the reversal sinusoidal gratings of vertical, 45º, horizontal, and 135º orientations at the spatial frequency of 3 cpd</w:t>
      </w:r>
      <w: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42AAC" w:rsidTr="00216436"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rFonts w:hint="eastAsia"/>
                <w:b/>
              </w:rPr>
              <w:t>O</w:t>
            </w:r>
            <w:r w:rsidRPr="00FA2B86">
              <w:rPr>
                <w:b/>
              </w:rPr>
              <w:t>rientation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jc w:val="center"/>
              <w:rPr>
                <w:b/>
              </w:rPr>
            </w:pPr>
            <w:r w:rsidRPr="00FA2B86">
              <w:rPr>
                <w:rFonts w:hint="eastAsia"/>
                <w:b/>
              </w:rPr>
              <w:t>4</w:t>
            </w:r>
            <w:r w:rsidRPr="00FA2B86">
              <w:rPr>
                <w:b/>
              </w:rPr>
              <w:t>5º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jc w:val="center"/>
              <w:rPr>
                <w:b/>
              </w:rPr>
            </w:pPr>
            <w:r w:rsidRPr="00FA2B86">
              <w:rPr>
                <w:b/>
              </w:rPr>
              <w:t>Horizontal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jc w:val="center"/>
              <w:rPr>
                <w:b/>
              </w:rPr>
            </w:pPr>
            <w:r w:rsidRPr="00FA2B86">
              <w:rPr>
                <w:rFonts w:hint="eastAsia"/>
                <w:b/>
              </w:rPr>
              <w:t>1</w:t>
            </w:r>
            <w:r w:rsidRPr="00FA2B86">
              <w:rPr>
                <w:b/>
              </w:rPr>
              <w:t>35º</w:t>
            </w:r>
          </w:p>
        </w:tc>
      </w:tr>
      <w:tr w:rsidR="00242AAC" w:rsidTr="00216436">
        <w:tc>
          <w:tcPr>
            <w:tcW w:w="2074" w:type="dxa"/>
            <w:tcBorders>
              <w:top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b/>
              </w:rPr>
              <w:t>Vertical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0.959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0.303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1.000</w:t>
            </w:r>
          </w:p>
        </w:tc>
      </w:tr>
      <w:tr w:rsidR="00242AAC" w:rsidTr="00216436">
        <w:tc>
          <w:tcPr>
            <w:tcW w:w="2074" w:type="dxa"/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rFonts w:hint="eastAsia"/>
                <w:b/>
              </w:rPr>
              <w:t>4</w:t>
            </w:r>
            <w:r w:rsidRPr="00FA2B86">
              <w:rPr>
                <w:b/>
              </w:rPr>
              <w:t>5º</w:t>
            </w:r>
          </w:p>
        </w:tc>
        <w:tc>
          <w:tcPr>
            <w:tcW w:w="2074" w:type="dxa"/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2074" w:type="dxa"/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0.083</w:t>
            </w:r>
          </w:p>
        </w:tc>
        <w:tc>
          <w:tcPr>
            <w:tcW w:w="2074" w:type="dxa"/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1.000</w:t>
            </w:r>
          </w:p>
        </w:tc>
      </w:tr>
      <w:tr w:rsidR="00242AAC" w:rsidTr="00216436"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b/>
              </w:rPr>
              <w:t>Horizontal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</w:t>
            </w:r>
            <w:r>
              <w:t xml:space="preserve"> </w:t>
            </w:r>
            <w:r w:rsidRPr="009E7A7B">
              <w:t>0.</w:t>
            </w:r>
            <w:r>
              <w:t>215</w:t>
            </w:r>
          </w:p>
        </w:tc>
      </w:tr>
    </w:tbl>
    <w:p w:rsidR="00242AAC" w:rsidRDefault="00242AAC" w:rsidP="00242AAC">
      <w:pPr>
        <w:pStyle w:val="a7"/>
        <w:keepNext/>
        <w:tabs>
          <w:tab w:val="left" w:pos="1140"/>
        </w:tabs>
      </w:pPr>
      <w:bookmarkStart w:id="1" w:name="_Ref69759365"/>
      <w:r>
        <w:t xml:space="preserve">Table </w:t>
      </w:r>
      <w:bookmarkEnd w:id="1"/>
      <w:r w:rsidR="00B321D6">
        <w:rPr>
          <w:noProof/>
        </w:rPr>
        <w:t>2</w:t>
      </w:r>
      <w:r>
        <w:t xml:space="preserve">. </w:t>
      </w:r>
      <w:r w:rsidRPr="001C5BE7">
        <w:t xml:space="preserve">Bonferroni </w:t>
      </w:r>
      <w:r w:rsidRPr="001C5BE7">
        <w:rPr>
          <w:i/>
        </w:rPr>
        <w:t>post-hoc</w:t>
      </w:r>
      <w:r w:rsidRPr="001C5BE7">
        <w:t xml:space="preserve"> analysis of SSVEP amplitude induced by the reversal sinusoidal gratings of vertical, 45º, horizontal, and 135º orientations at the spatial frequency of 3</w:t>
      </w:r>
      <w:r>
        <w:t>0.0</w:t>
      </w:r>
      <w:r w:rsidRPr="001C5BE7">
        <w:t xml:space="preserve"> cpd</w:t>
      </w:r>
      <w:r>
        <w:t>.</w:t>
      </w:r>
      <w:r w:rsidRPr="001C5BE7">
        <w:rPr>
          <w:i/>
          <w:iCs/>
        </w:rPr>
        <w:t xml:space="preserve"> </w:t>
      </w:r>
      <w:r w:rsidRPr="004D1B45">
        <w:rPr>
          <w:i/>
          <w:iCs/>
        </w:rPr>
        <w:t xml:space="preserve">*P </w:t>
      </w:r>
      <w:r w:rsidRPr="006F4FAD">
        <w:rPr>
          <w:iCs/>
        </w:rPr>
        <w:t>&lt; 0.05.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42AAC" w:rsidTr="00216436"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rFonts w:hint="eastAsia"/>
                <w:b/>
              </w:rPr>
              <w:t>O</w:t>
            </w:r>
            <w:r w:rsidRPr="00FA2B86">
              <w:rPr>
                <w:b/>
              </w:rPr>
              <w:t>rientation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jc w:val="center"/>
              <w:rPr>
                <w:b/>
              </w:rPr>
            </w:pPr>
            <w:r w:rsidRPr="00FA2B86">
              <w:rPr>
                <w:rFonts w:hint="eastAsia"/>
                <w:b/>
              </w:rPr>
              <w:t>4</w:t>
            </w:r>
            <w:r w:rsidRPr="00FA2B86">
              <w:rPr>
                <w:b/>
              </w:rPr>
              <w:t>5º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jc w:val="center"/>
              <w:rPr>
                <w:b/>
              </w:rPr>
            </w:pPr>
            <w:r w:rsidRPr="00FA2B86">
              <w:rPr>
                <w:b/>
              </w:rPr>
              <w:t>Horizontal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jc w:val="center"/>
              <w:rPr>
                <w:b/>
              </w:rPr>
            </w:pPr>
            <w:r w:rsidRPr="00FA2B86">
              <w:rPr>
                <w:rFonts w:hint="eastAsia"/>
                <w:b/>
              </w:rPr>
              <w:t>1</w:t>
            </w:r>
            <w:r w:rsidRPr="00FA2B86">
              <w:rPr>
                <w:b/>
              </w:rPr>
              <w:t>35º</w:t>
            </w:r>
          </w:p>
        </w:tc>
      </w:tr>
      <w:tr w:rsidR="00242AAC" w:rsidTr="00216436">
        <w:tc>
          <w:tcPr>
            <w:tcW w:w="2074" w:type="dxa"/>
            <w:tcBorders>
              <w:top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b/>
              </w:rPr>
              <w:t>Vertical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0.403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1.000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0.042*</w:t>
            </w:r>
          </w:p>
        </w:tc>
      </w:tr>
      <w:tr w:rsidR="00242AAC" w:rsidTr="00216436">
        <w:tc>
          <w:tcPr>
            <w:tcW w:w="2074" w:type="dxa"/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rFonts w:hint="eastAsia"/>
                <w:b/>
              </w:rPr>
              <w:t>4</w:t>
            </w:r>
            <w:r w:rsidRPr="00FA2B86">
              <w:rPr>
                <w:b/>
              </w:rPr>
              <w:t>5º</w:t>
            </w:r>
          </w:p>
        </w:tc>
        <w:tc>
          <w:tcPr>
            <w:tcW w:w="2074" w:type="dxa"/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2074" w:type="dxa"/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0.886</w:t>
            </w:r>
          </w:p>
        </w:tc>
        <w:tc>
          <w:tcPr>
            <w:tcW w:w="2074" w:type="dxa"/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 </w:t>
            </w:r>
            <w:r>
              <w:t>0.387</w:t>
            </w:r>
          </w:p>
        </w:tc>
      </w:tr>
      <w:tr w:rsidR="00242AAC" w:rsidTr="00216436"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FA2B86" w:rsidRDefault="00242AAC" w:rsidP="00216436">
            <w:pPr>
              <w:spacing w:line="240" w:lineRule="auto"/>
              <w:rPr>
                <w:b/>
              </w:rPr>
            </w:pPr>
            <w:r w:rsidRPr="00FA2B86">
              <w:rPr>
                <w:b/>
              </w:rPr>
              <w:t>Horizontal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242AAC" w:rsidRPr="009E7A7B" w:rsidRDefault="00242AAC" w:rsidP="00216436">
            <w:pPr>
              <w:spacing w:line="240" w:lineRule="auto"/>
              <w:jc w:val="center"/>
            </w:pPr>
            <w:r w:rsidRPr="009E7A7B">
              <w:rPr>
                <w:rFonts w:hint="eastAsia"/>
                <w:i/>
              </w:rPr>
              <w:t>P</w:t>
            </w:r>
            <w:r w:rsidRPr="009E7A7B">
              <w:t xml:space="preserve"> =</w:t>
            </w:r>
            <w:r>
              <w:t xml:space="preserve"> </w:t>
            </w:r>
            <w:r w:rsidRPr="009E7A7B">
              <w:t>0.</w:t>
            </w:r>
            <w:r>
              <w:t>050</w:t>
            </w:r>
          </w:p>
        </w:tc>
      </w:tr>
    </w:tbl>
    <w:p w:rsidR="00602615" w:rsidRDefault="00602615" w:rsidP="00602615">
      <w:pPr>
        <w:pStyle w:val="a7"/>
        <w:keepNext/>
      </w:pPr>
      <w:bookmarkStart w:id="2" w:name="_Ref69912513"/>
      <w:r>
        <w:t xml:space="preserve">Table </w:t>
      </w:r>
      <w:bookmarkEnd w:id="2"/>
      <w:r w:rsidR="00003FBB">
        <w:rPr>
          <w:noProof/>
        </w:rPr>
        <w:t>3</w:t>
      </w:r>
      <w:r>
        <w:t>.</w:t>
      </w:r>
      <w:r w:rsidRPr="000973E2">
        <w:t xml:space="preserve"> </w:t>
      </w:r>
      <w:r>
        <w:t xml:space="preserve">Bonferroni </w:t>
      </w:r>
      <w:r w:rsidRPr="004D1B45">
        <w:rPr>
          <w:i/>
        </w:rPr>
        <w:t>post-hoc</w:t>
      </w:r>
      <w:r>
        <w:t xml:space="preserve"> analysis of SSVEP amplitude among three types of visual stimuli </w:t>
      </w:r>
      <w:r w:rsidRPr="000973E2">
        <w:t>at the spatial frequency of 3.0 cpd</w:t>
      </w:r>
      <w:r>
        <w:t>.</w:t>
      </w:r>
      <w:r w:rsidRPr="004D1B45">
        <w:rPr>
          <w:rFonts w:ascii="HelveticaNeueLTStd-LtIt" w:eastAsia="仿宋" w:hAnsi="HelveticaNeueLTStd-LtIt"/>
          <w:i/>
          <w:iCs/>
          <w:color w:val="242021"/>
          <w:sz w:val="14"/>
          <w:szCs w:val="14"/>
        </w:rPr>
        <w:t xml:space="preserve"> </w:t>
      </w:r>
      <w:r w:rsidRPr="004D1B45">
        <w:rPr>
          <w:i/>
          <w:iCs/>
        </w:rPr>
        <w:t>***P</w:t>
      </w:r>
      <w:r w:rsidRPr="001C5BE7">
        <w:rPr>
          <w:iCs/>
        </w:rPr>
        <w:t xml:space="preserve"> &lt; 0.001;</w:t>
      </w:r>
      <w:r w:rsidRPr="004D1B45">
        <w:rPr>
          <w:i/>
          <w:iCs/>
        </w:rPr>
        <w:t xml:space="preserve"> **P </w:t>
      </w:r>
      <w:r w:rsidRPr="001C5BE7">
        <w:rPr>
          <w:iCs/>
        </w:rPr>
        <w:t>&lt; 0.01;</w:t>
      </w:r>
      <w:r w:rsidRPr="004D1B45">
        <w:rPr>
          <w:i/>
          <w:iCs/>
        </w:rPr>
        <w:t xml:space="preserve"> *P </w:t>
      </w:r>
      <w:r w:rsidRPr="001C5BE7">
        <w:rPr>
          <w:iCs/>
        </w:rPr>
        <w:t>&lt; 0.05.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89"/>
        <w:gridCol w:w="2927"/>
      </w:tblGrid>
      <w:tr w:rsidR="00602615" w:rsidTr="00216436"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T</w:t>
            </w:r>
            <w:r w:rsidRPr="000973E2">
              <w:rPr>
                <w:b/>
              </w:rPr>
              <w:t>ype</w:t>
            </w:r>
          </w:p>
        </w:tc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762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rFonts w:hint="eastAsia"/>
                <w:b/>
              </w:rPr>
              <w:t>C</w:t>
            </w:r>
            <w:r w:rsidRPr="000973E2">
              <w:rPr>
                <w:b/>
              </w:rPr>
              <w:t>oncentric-rings</w:t>
            </w:r>
          </w:p>
        </w:tc>
      </w:tr>
      <w:tr w:rsidR="00602615" w:rsidTr="00216436">
        <w:tc>
          <w:tcPr>
            <w:tcW w:w="1619" w:type="pct"/>
            <w:tcBorders>
              <w:top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G</w:t>
            </w:r>
            <w:r w:rsidRPr="000973E2">
              <w:rPr>
                <w:b/>
              </w:rPr>
              <w:t>ratings</w:t>
            </w:r>
          </w:p>
        </w:tc>
        <w:tc>
          <w:tcPr>
            <w:tcW w:w="1619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0.010*</w:t>
            </w:r>
          </w:p>
        </w:tc>
        <w:tc>
          <w:tcPr>
            <w:tcW w:w="1762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0.732</w:t>
            </w:r>
          </w:p>
        </w:tc>
      </w:tr>
      <w:tr w:rsidR="00602615" w:rsidTr="00216436">
        <w:tc>
          <w:tcPr>
            <w:tcW w:w="1619" w:type="pct"/>
            <w:tcBorders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619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1762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0.006**</w:t>
            </w:r>
          </w:p>
        </w:tc>
      </w:tr>
    </w:tbl>
    <w:p w:rsidR="00602615" w:rsidRDefault="00602615" w:rsidP="00602615">
      <w:pPr>
        <w:pStyle w:val="a7"/>
        <w:keepNext/>
      </w:pPr>
      <w:bookmarkStart w:id="3" w:name="_Ref69912515"/>
      <w:r>
        <w:t xml:space="preserve">Table </w:t>
      </w:r>
      <w:bookmarkEnd w:id="3"/>
      <w:r w:rsidR="00003FBB">
        <w:rPr>
          <w:noProof/>
        </w:rPr>
        <w:t>4</w:t>
      </w:r>
      <w:r>
        <w:t>.</w:t>
      </w:r>
      <w:r w:rsidRPr="000973E2">
        <w:t xml:space="preserve"> </w:t>
      </w:r>
      <w:r>
        <w:t xml:space="preserve">Bonferroni </w:t>
      </w:r>
      <w:r w:rsidRPr="004D1B45">
        <w:rPr>
          <w:i/>
        </w:rPr>
        <w:t>post-hoc</w:t>
      </w:r>
      <w:r>
        <w:t xml:space="preserve"> analysis of SSVEP amplitude among three types of visual stimuli </w:t>
      </w:r>
      <w:r w:rsidRPr="000973E2">
        <w:t xml:space="preserve">at the spatial frequency of </w:t>
      </w:r>
      <w:r>
        <w:t>7.5 cpd.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89"/>
        <w:gridCol w:w="2927"/>
      </w:tblGrid>
      <w:tr w:rsidR="00602615" w:rsidTr="00216436"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T</w:t>
            </w:r>
            <w:r w:rsidRPr="000973E2">
              <w:rPr>
                <w:b/>
              </w:rPr>
              <w:t>ype</w:t>
            </w:r>
          </w:p>
        </w:tc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762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rFonts w:hint="eastAsia"/>
                <w:b/>
              </w:rPr>
              <w:t>C</w:t>
            </w:r>
            <w:r w:rsidRPr="000973E2">
              <w:rPr>
                <w:b/>
              </w:rPr>
              <w:t>oncentric-rings</w:t>
            </w:r>
          </w:p>
        </w:tc>
      </w:tr>
      <w:tr w:rsidR="00602615" w:rsidTr="00216436">
        <w:tc>
          <w:tcPr>
            <w:tcW w:w="1619" w:type="pct"/>
            <w:tcBorders>
              <w:top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G</w:t>
            </w:r>
            <w:r w:rsidRPr="000973E2">
              <w:rPr>
                <w:b/>
              </w:rPr>
              <w:t>ratings</w:t>
            </w:r>
          </w:p>
        </w:tc>
        <w:tc>
          <w:tcPr>
            <w:tcW w:w="1619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1762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0.100</w:t>
            </w:r>
          </w:p>
        </w:tc>
      </w:tr>
      <w:tr w:rsidR="00602615" w:rsidTr="00216436">
        <w:tc>
          <w:tcPr>
            <w:tcW w:w="1619" w:type="pct"/>
            <w:tcBorders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619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1762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0.138</w:t>
            </w:r>
          </w:p>
        </w:tc>
      </w:tr>
    </w:tbl>
    <w:p w:rsidR="00602615" w:rsidRDefault="00602615" w:rsidP="00602615">
      <w:pPr>
        <w:pStyle w:val="a7"/>
        <w:keepNext/>
      </w:pPr>
      <w:bookmarkStart w:id="4" w:name="_Ref69912517"/>
      <w:r>
        <w:t xml:space="preserve">Table </w:t>
      </w:r>
      <w:bookmarkEnd w:id="4"/>
      <w:r w:rsidR="00003FBB">
        <w:rPr>
          <w:noProof/>
        </w:rPr>
        <w:t>5</w:t>
      </w:r>
      <w:r>
        <w:t>.</w:t>
      </w:r>
      <w:r w:rsidRPr="000973E2">
        <w:t xml:space="preserve"> </w:t>
      </w:r>
      <w:r>
        <w:t xml:space="preserve">Bonferroni </w:t>
      </w:r>
      <w:r w:rsidRPr="004D1B45">
        <w:rPr>
          <w:i/>
        </w:rPr>
        <w:t>post-hoc</w:t>
      </w:r>
      <w:r>
        <w:t xml:space="preserve"> analysis of SSVEP amplitude among three types of visual stimuli </w:t>
      </w:r>
      <w:r w:rsidRPr="000973E2">
        <w:t xml:space="preserve">at the spatial frequency of </w:t>
      </w:r>
      <w:r>
        <w:t>19</w:t>
      </w:r>
      <w:r w:rsidRPr="000973E2">
        <w:t>.0 cpd</w:t>
      </w:r>
      <w:r>
        <w:t>.</w:t>
      </w:r>
      <w:r w:rsidRPr="004D1B45">
        <w:rPr>
          <w:rFonts w:ascii="HelveticaNeueLTStd-LtIt" w:eastAsia="仿宋" w:hAnsi="HelveticaNeueLTStd-LtIt"/>
          <w:i/>
          <w:iCs/>
          <w:color w:val="242021"/>
          <w:sz w:val="14"/>
          <w:szCs w:val="14"/>
        </w:rPr>
        <w:t xml:space="preserve"> </w:t>
      </w:r>
      <w:r w:rsidRPr="004D1B45">
        <w:rPr>
          <w:i/>
          <w:iCs/>
        </w:rPr>
        <w:t>***P</w:t>
      </w:r>
      <w:r w:rsidRPr="001C5BE7">
        <w:rPr>
          <w:iCs/>
        </w:rPr>
        <w:t xml:space="preserve"> &lt; 0.001;</w:t>
      </w:r>
      <w:r w:rsidRPr="004D1B45">
        <w:rPr>
          <w:i/>
          <w:iCs/>
        </w:rPr>
        <w:t xml:space="preserve"> **P </w:t>
      </w:r>
      <w:r w:rsidRPr="001C5BE7">
        <w:rPr>
          <w:iCs/>
        </w:rPr>
        <w:t>&lt; 0.01;</w:t>
      </w:r>
      <w:r w:rsidRPr="004D1B45">
        <w:rPr>
          <w:i/>
          <w:iCs/>
        </w:rPr>
        <w:t xml:space="preserve"> *P </w:t>
      </w:r>
      <w:r w:rsidRPr="001C5BE7">
        <w:rPr>
          <w:iCs/>
        </w:rPr>
        <w:t>&lt; 0.05.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89"/>
        <w:gridCol w:w="2927"/>
      </w:tblGrid>
      <w:tr w:rsidR="00602615" w:rsidTr="00216436"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T</w:t>
            </w:r>
            <w:r w:rsidRPr="000973E2">
              <w:rPr>
                <w:b/>
              </w:rPr>
              <w:t>ype</w:t>
            </w:r>
          </w:p>
        </w:tc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762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rFonts w:hint="eastAsia"/>
                <w:b/>
              </w:rPr>
              <w:t>C</w:t>
            </w:r>
            <w:r w:rsidRPr="000973E2">
              <w:rPr>
                <w:b/>
              </w:rPr>
              <w:t>oncentric-rings</w:t>
            </w:r>
          </w:p>
        </w:tc>
      </w:tr>
      <w:tr w:rsidR="00602615" w:rsidTr="00216436">
        <w:tc>
          <w:tcPr>
            <w:tcW w:w="1619" w:type="pct"/>
            <w:tcBorders>
              <w:top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G</w:t>
            </w:r>
            <w:r w:rsidRPr="000973E2">
              <w:rPr>
                <w:b/>
              </w:rPr>
              <w:t>ratings</w:t>
            </w:r>
          </w:p>
        </w:tc>
        <w:tc>
          <w:tcPr>
            <w:tcW w:w="1619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0.147</w:t>
            </w:r>
          </w:p>
        </w:tc>
        <w:tc>
          <w:tcPr>
            <w:tcW w:w="1762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0.003**</w:t>
            </w:r>
          </w:p>
        </w:tc>
      </w:tr>
      <w:tr w:rsidR="00602615" w:rsidTr="00216436">
        <w:tc>
          <w:tcPr>
            <w:tcW w:w="1619" w:type="pct"/>
            <w:tcBorders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619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1762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0.021*</w:t>
            </w:r>
          </w:p>
        </w:tc>
      </w:tr>
    </w:tbl>
    <w:p w:rsidR="00602615" w:rsidRDefault="00602615" w:rsidP="00602615">
      <w:pPr>
        <w:pStyle w:val="a7"/>
        <w:keepNext/>
      </w:pPr>
      <w:bookmarkStart w:id="5" w:name="_Ref69912519"/>
      <w:r>
        <w:t xml:space="preserve">Table </w:t>
      </w:r>
      <w:bookmarkEnd w:id="5"/>
      <w:r w:rsidR="00003FBB">
        <w:rPr>
          <w:noProof/>
        </w:rPr>
        <w:t>6</w:t>
      </w:r>
      <w:r>
        <w:t>.</w:t>
      </w:r>
      <w:r w:rsidRPr="000973E2">
        <w:t xml:space="preserve"> </w:t>
      </w:r>
      <w:r>
        <w:t xml:space="preserve">Bonferroni </w:t>
      </w:r>
      <w:r w:rsidRPr="004D1B45">
        <w:rPr>
          <w:i/>
        </w:rPr>
        <w:t>post-hoc</w:t>
      </w:r>
      <w:r>
        <w:t xml:space="preserve"> analysis of SSVEP amplitude among three types of visual stimuli </w:t>
      </w:r>
      <w:r w:rsidRPr="000973E2">
        <w:t>at the spatial frequency of 3</w:t>
      </w:r>
      <w:r>
        <w:t>0</w:t>
      </w:r>
      <w:r w:rsidRPr="000973E2">
        <w:t>.0 cpd</w:t>
      </w:r>
      <w:r>
        <w:t>.</w:t>
      </w:r>
      <w:r w:rsidRPr="004D1B45">
        <w:rPr>
          <w:rFonts w:ascii="HelveticaNeueLTStd-LtIt" w:eastAsia="仿宋" w:hAnsi="HelveticaNeueLTStd-LtIt"/>
          <w:i/>
          <w:iCs/>
          <w:color w:val="242021"/>
          <w:sz w:val="14"/>
          <w:szCs w:val="14"/>
        </w:rPr>
        <w:t xml:space="preserve"> </w:t>
      </w:r>
      <w:r w:rsidRPr="004D1B45">
        <w:rPr>
          <w:i/>
          <w:iCs/>
        </w:rPr>
        <w:t>***P</w:t>
      </w:r>
      <w:r w:rsidRPr="001C5BE7">
        <w:rPr>
          <w:iCs/>
        </w:rPr>
        <w:t xml:space="preserve"> &lt; 0.001;</w:t>
      </w:r>
      <w:r w:rsidRPr="004D1B45">
        <w:rPr>
          <w:i/>
          <w:iCs/>
        </w:rPr>
        <w:t xml:space="preserve"> **P </w:t>
      </w:r>
      <w:r w:rsidRPr="001C5BE7">
        <w:rPr>
          <w:iCs/>
        </w:rPr>
        <w:t>&lt; 0.01;</w:t>
      </w:r>
      <w:r w:rsidRPr="004D1B45">
        <w:rPr>
          <w:i/>
          <w:iCs/>
        </w:rPr>
        <w:t xml:space="preserve"> *P </w:t>
      </w:r>
      <w:r w:rsidRPr="001C5BE7">
        <w:rPr>
          <w:iCs/>
        </w:rPr>
        <w:t>&lt; 0.05.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89"/>
        <w:gridCol w:w="2927"/>
      </w:tblGrid>
      <w:tr w:rsidR="00602615" w:rsidTr="00216436"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T</w:t>
            </w:r>
            <w:r w:rsidRPr="000973E2">
              <w:rPr>
                <w:b/>
              </w:rPr>
              <w:t>ype</w:t>
            </w:r>
          </w:p>
        </w:tc>
        <w:tc>
          <w:tcPr>
            <w:tcW w:w="1619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762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0973E2">
              <w:rPr>
                <w:rFonts w:hint="eastAsia"/>
                <w:b/>
              </w:rPr>
              <w:t>C</w:t>
            </w:r>
            <w:r w:rsidRPr="000973E2">
              <w:rPr>
                <w:b/>
              </w:rPr>
              <w:t>oncentric-rings</w:t>
            </w:r>
          </w:p>
        </w:tc>
      </w:tr>
      <w:tr w:rsidR="00602615" w:rsidTr="00216436">
        <w:tc>
          <w:tcPr>
            <w:tcW w:w="1619" w:type="pct"/>
            <w:tcBorders>
              <w:top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rFonts w:hint="eastAsia"/>
                <w:b/>
              </w:rPr>
              <w:t>G</w:t>
            </w:r>
            <w:r w:rsidRPr="000973E2">
              <w:rPr>
                <w:b/>
              </w:rPr>
              <w:t>ratings</w:t>
            </w:r>
          </w:p>
        </w:tc>
        <w:tc>
          <w:tcPr>
            <w:tcW w:w="1619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0.099</w:t>
            </w:r>
          </w:p>
        </w:tc>
        <w:tc>
          <w:tcPr>
            <w:tcW w:w="1762" w:type="pct"/>
            <w:tcBorders>
              <w:top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0.011*</w:t>
            </w:r>
          </w:p>
        </w:tc>
      </w:tr>
      <w:tr w:rsidR="00602615" w:rsidTr="00216436">
        <w:tc>
          <w:tcPr>
            <w:tcW w:w="1619" w:type="pct"/>
            <w:tcBorders>
              <w:bottom w:val="single" w:sz="4" w:space="0" w:color="000000"/>
            </w:tcBorders>
          </w:tcPr>
          <w:p w:rsidR="00602615" w:rsidRPr="000973E2" w:rsidRDefault="00602615" w:rsidP="00216436">
            <w:pPr>
              <w:spacing w:line="240" w:lineRule="auto"/>
              <w:rPr>
                <w:b/>
              </w:rPr>
            </w:pPr>
            <w:r w:rsidRPr="000973E2">
              <w:rPr>
                <w:b/>
              </w:rPr>
              <w:t>Checkerboards</w:t>
            </w:r>
          </w:p>
        </w:tc>
        <w:tc>
          <w:tcPr>
            <w:tcW w:w="1619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1762" w:type="pct"/>
            <w:tcBorders>
              <w:bottom w:val="single" w:sz="4" w:space="0" w:color="000000"/>
            </w:tcBorders>
          </w:tcPr>
          <w:p w:rsidR="0060261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>
              <w:t xml:space="preserve"> = 0.182</w:t>
            </w:r>
          </w:p>
        </w:tc>
      </w:tr>
    </w:tbl>
    <w:p w:rsidR="00602615" w:rsidRDefault="00602615" w:rsidP="00602615">
      <w:pPr>
        <w:pStyle w:val="a7"/>
        <w:keepNext/>
      </w:pPr>
      <w:bookmarkStart w:id="6" w:name="_Ref70083505"/>
      <w:r>
        <w:t xml:space="preserve">Table </w:t>
      </w:r>
      <w:r>
        <w:rPr>
          <w:noProof/>
        </w:rPr>
        <w:t>7</w:t>
      </w:r>
      <w:bookmarkEnd w:id="6"/>
      <w:r>
        <w:t>.</w:t>
      </w:r>
      <w:r w:rsidRPr="000973E2">
        <w:t xml:space="preserve"> </w:t>
      </w:r>
      <w:r>
        <w:t xml:space="preserve">Bonferroni </w:t>
      </w:r>
      <w:r w:rsidRPr="004D1B45">
        <w:rPr>
          <w:i/>
        </w:rPr>
        <w:t>post-hoc</w:t>
      </w:r>
      <w:r>
        <w:t xml:space="preserve"> analysis of visual acuity obtained by the subjective FrACT test and the objective SSVEPs of seven various visual stimuli. </w:t>
      </w:r>
      <w:r w:rsidRPr="004D1B45">
        <w:rPr>
          <w:i/>
          <w:iCs/>
        </w:rPr>
        <w:t xml:space="preserve">*P </w:t>
      </w:r>
      <w:r w:rsidRPr="001C5BE7">
        <w:rPr>
          <w:iCs/>
        </w:rPr>
        <w:t>&lt; 0.05.</w:t>
      </w:r>
      <w:r w:rsidRPr="0096489F">
        <w:t xml:space="preserve"> </w:t>
      </w:r>
      <w:r>
        <w:t xml:space="preserve">G_V, G_45, G_H, and G_135 represent the </w:t>
      </w:r>
      <w:r w:rsidRPr="004B592A">
        <w:t>reversal sinusoidal gratings of vertical, 45º, ho</w:t>
      </w:r>
      <w:r>
        <w:t xml:space="preserve">rizontal, and 135º orientations. C_V and C_45 represent the </w:t>
      </w:r>
      <w:r w:rsidRPr="004B592A">
        <w:t xml:space="preserve">reversal checkerboards of </w:t>
      </w:r>
      <w:r w:rsidRPr="004B592A">
        <w:lastRenderedPageBreak/>
        <w:t>vertical and 45º orientation</w:t>
      </w:r>
      <w:r>
        <w:t xml:space="preserve">. C_R </w:t>
      </w:r>
      <w:r w:rsidRPr="004B592A">
        <w:t>represent</w:t>
      </w:r>
      <w:r>
        <w:t>s</w:t>
      </w:r>
      <w:r w:rsidRPr="004B592A">
        <w:t xml:space="preserve"> </w:t>
      </w:r>
      <w:r>
        <w:t xml:space="preserve">the </w:t>
      </w:r>
      <w:r w:rsidRPr="004B592A">
        <w:t>oscillating expansion-contraction concentric-rings</w:t>
      </w:r>
      <w:r>
        <w:t>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1045"/>
        <w:gridCol w:w="1045"/>
        <w:gridCol w:w="1045"/>
        <w:gridCol w:w="1046"/>
        <w:gridCol w:w="1046"/>
        <w:gridCol w:w="1046"/>
        <w:gridCol w:w="1152"/>
      </w:tblGrid>
      <w:tr w:rsidR="00602615" w:rsidRPr="00F31C1D" w:rsidTr="00216436">
        <w:tc>
          <w:tcPr>
            <w:tcW w:w="50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b/>
              </w:rPr>
              <w:t>Test</w:t>
            </w:r>
          </w:p>
        </w:tc>
        <w:tc>
          <w:tcPr>
            <w:tcW w:w="63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b/>
              </w:rPr>
              <w:t>G_V</w:t>
            </w:r>
          </w:p>
        </w:tc>
        <w:tc>
          <w:tcPr>
            <w:tcW w:w="63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b/>
              </w:rPr>
              <w:t>G_45</w:t>
            </w:r>
          </w:p>
        </w:tc>
        <w:tc>
          <w:tcPr>
            <w:tcW w:w="63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b/>
              </w:rPr>
              <w:t>G_H</w:t>
            </w:r>
          </w:p>
        </w:tc>
        <w:tc>
          <w:tcPr>
            <w:tcW w:w="63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b/>
              </w:rPr>
              <w:t>G_135</w:t>
            </w:r>
          </w:p>
        </w:tc>
        <w:tc>
          <w:tcPr>
            <w:tcW w:w="63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rFonts w:hint="eastAsia"/>
                <w:b/>
              </w:rPr>
              <w:t>C</w:t>
            </w:r>
            <w:r w:rsidRPr="00F31C1D">
              <w:rPr>
                <w:b/>
              </w:rPr>
              <w:t>_</w:t>
            </w:r>
            <w:r>
              <w:rPr>
                <w:b/>
              </w:rPr>
              <w:t>V</w:t>
            </w:r>
          </w:p>
        </w:tc>
        <w:tc>
          <w:tcPr>
            <w:tcW w:w="633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rFonts w:hint="eastAsia"/>
                <w:b/>
              </w:rPr>
              <w:t>C</w:t>
            </w:r>
            <w:r w:rsidRPr="00F31C1D">
              <w:rPr>
                <w:b/>
              </w:rPr>
              <w:t>_45</w:t>
            </w:r>
          </w:p>
        </w:tc>
        <w:tc>
          <w:tcPr>
            <w:tcW w:w="697" w:type="pct"/>
            <w:tcBorders>
              <w:top w:val="single" w:sz="4" w:space="0" w:color="000000"/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jc w:val="center"/>
              <w:rPr>
                <w:b/>
              </w:rPr>
            </w:pPr>
            <w:r w:rsidRPr="00F31C1D">
              <w:rPr>
                <w:rFonts w:hint="eastAsia"/>
                <w:b/>
              </w:rPr>
              <w:t>C</w:t>
            </w:r>
            <w:r w:rsidRPr="00F31C1D">
              <w:rPr>
                <w:b/>
              </w:rPr>
              <w:t>_R</w:t>
            </w:r>
          </w:p>
        </w:tc>
      </w:tr>
      <w:tr w:rsidR="00602615" w:rsidRPr="00680EF5" w:rsidTr="00216436">
        <w:tc>
          <w:tcPr>
            <w:tcW w:w="503" w:type="pct"/>
            <w:tcBorders>
              <w:top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rFonts w:hint="eastAsia"/>
                <w:b/>
              </w:rPr>
              <w:t>F</w:t>
            </w:r>
            <w:r w:rsidRPr="00F31C1D">
              <w:rPr>
                <w:b/>
              </w:rPr>
              <w:t>rACT</w:t>
            </w:r>
          </w:p>
        </w:tc>
        <w:tc>
          <w:tcPr>
            <w:tcW w:w="633" w:type="pct"/>
            <w:tcBorders>
              <w:top w:val="single" w:sz="4" w:space="0" w:color="000000"/>
            </w:tcBorders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0.</w:t>
            </w:r>
            <w:r w:rsidR="00E176BB">
              <w:t>812</w:t>
            </w:r>
          </w:p>
        </w:tc>
        <w:tc>
          <w:tcPr>
            <w:tcW w:w="633" w:type="pct"/>
            <w:tcBorders>
              <w:top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  <w:tcBorders>
              <w:top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  <w:tcBorders>
              <w:top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  <w:tcBorders>
              <w:top w:val="single" w:sz="4" w:space="0" w:color="000000"/>
            </w:tcBorders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0.600</w:t>
            </w:r>
          </w:p>
        </w:tc>
        <w:tc>
          <w:tcPr>
            <w:tcW w:w="633" w:type="pct"/>
            <w:tcBorders>
              <w:top w:val="single" w:sz="4" w:space="0" w:color="000000"/>
            </w:tcBorders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0.</w:t>
            </w:r>
            <w:r w:rsidR="00E176BB">
              <w:t>331</w:t>
            </w:r>
          </w:p>
        </w:tc>
        <w:tc>
          <w:tcPr>
            <w:tcW w:w="697" w:type="pct"/>
            <w:tcBorders>
              <w:top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</w:tr>
      <w:tr w:rsidR="00602615" w:rsidRPr="00680EF5" w:rsidTr="00216436">
        <w:tc>
          <w:tcPr>
            <w:tcW w:w="503" w:type="pct"/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b/>
              </w:rPr>
              <w:t>G_V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1.000</w:t>
            </w:r>
          </w:p>
        </w:tc>
        <w:tc>
          <w:tcPr>
            <w:tcW w:w="697" w:type="pct"/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0.214</w:t>
            </w:r>
          </w:p>
        </w:tc>
      </w:tr>
      <w:tr w:rsidR="00602615" w:rsidRPr="00680EF5" w:rsidTr="00216436">
        <w:tc>
          <w:tcPr>
            <w:tcW w:w="503" w:type="pct"/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b/>
              </w:rPr>
              <w:t>G_45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0.</w:t>
            </w:r>
            <w:r w:rsidR="00E176BB">
              <w:t>979</w:t>
            </w:r>
          </w:p>
        </w:tc>
        <w:tc>
          <w:tcPr>
            <w:tcW w:w="697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</w:tr>
      <w:tr w:rsidR="00602615" w:rsidRPr="00680EF5" w:rsidTr="00216436">
        <w:tc>
          <w:tcPr>
            <w:tcW w:w="503" w:type="pct"/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b/>
              </w:rPr>
              <w:t>G_H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0.530</w:t>
            </w:r>
          </w:p>
        </w:tc>
        <w:tc>
          <w:tcPr>
            <w:tcW w:w="697" w:type="pct"/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1.000</w:t>
            </w:r>
          </w:p>
        </w:tc>
      </w:tr>
      <w:tr w:rsidR="00602615" w:rsidRPr="00680EF5" w:rsidTr="00216436">
        <w:tc>
          <w:tcPr>
            <w:tcW w:w="503" w:type="pct"/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b/>
              </w:rPr>
              <w:t>G_135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1.000</w:t>
            </w:r>
          </w:p>
        </w:tc>
        <w:tc>
          <w:tcPr>
            <w:tcW w:w="697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>= 1.000</w:t>
            </w:r>
          </w:p>
        </w:tc>
      </w:tr>
      <w:tr w:rsidR="00602615" w:rsidRPr="00680EF5" w:rsidTr="00216436">
        <w:tc>
          <w:tcPr>
            <w:tcW w:w="503" w:type="pct"/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rFonts w:hint="eastAsia"/>
                <w:b/>
              </w:rPr>
              <w:t>C</w:t>
            </w:r>
            <w:r w:rsidRPr="00F31C1D">
              <w:rPr>
                <w:b/>
              </w:rPr>
              <w:t>_</w:t>
            </w:r>
            <w:r>
              <w:rPr>
                <w:b/>
              </w:rPr>
              <w:t>V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1.000</w:t>
            </w:r>
          </w:p>
        </w:tc>
        <w:tc>
          <w:tcPr>
            <w:tcW w:w="697" w:type="pct"/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0.583</w:t>
            </w:r>
          </w:p>
        </w:tc>
      </w:tr>
      <w:tr w:rsidR="00602615" w:rsidRPr="00680EF5" w:rsidTr="00216436">
        <w:tc>
          <w:tcPr>
            <w:tcW w:w="503" w:type="pct"/>
            <w:tcBorders>
              <w:bottom w:val="single" w:sz="4" w:space="0" w:color="000000"/>
            </w:tcBorders>
          </w:tcPr>
          <w:p w:rsidR="00602615" w:rsidRPr="00F31C1D" w:rsidRDefault="00602615" w:rsidP="00216436">
            <w:pPr>
              <w:spacing w:line="240" w:lineRule="auto"/>
              <w:rPr>
                <w:b/>
              </w:rPr>
            </w:pPr>
            <w:r w:rsidRPr="00F31C1D">
              <w:rPr>
                <w:rFonts w:hint="eastAsia"/>
                <w:b/>
              </w:rPr>
              <w:t>C</w:t>
            </w:r>
            <w:r w:rsidRPr="00F31C1D">
              <w:rPr>
                <w:b/>
              </w:rPr>
              <w:t>_45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33" w:type="pct"/>
            <w:tcBorders>
              <w:bottom w:val="single" w:sz="4" w:space="0" w:color="000000"/>
            </w:tcBorders>
          </w:tcPr>
          <w:p w:rsidR="00602615" w:rsidRPr="00680EF5" w:rsidRDefault="00602615" w:rsidP="00216436">
            <w:pPr>
              <w:spacing w:line="240" w:lineRule="auto"/>
              <w:jc w:val="center"/>
            </w:pPr>
            <w:r w:rsidRPr="009E7A7B">
              <w:rPr>
                <w:rFonts w:ascii="仿宋" w:hAnsi="仿宋" w:hint="eastAsia"/>
              </w:rPr>
              <w:t>―</w:t>
            </w:r>
          </w:p>
        </w:tc>
        <w:tc>
          <w:tcPr>
            <w:tcW w:w="697" w:type="pct"/>
            <w:tcBorders>
              <w:bottom w:val="single" w:sz="4" w:space="0" w:color="000000"/>
            </w:tcBorders>
          </w:tcPr>
          <w:p w:rsidR="00602615" w:rsidRPr="00680EF5" w:rsidRDefault="00602615" w:rsidP="00E176BB">
            <w:pPr>
              <w:spacing w:line="240" w:lineRule="auto"/>
              <w:jc w:val="center"/>
            </w:pPr>
            <w:r w:rsidRPr="000973E2">
              <w:rPr>
                <w:rFonts w:hint="eastAsia"/>
                <w:i/>
              </w:rPr>
              <w:t>P</w:t>
            </w:r>
            <w:r w:rsidRPr="000973E2">
              <w:rPr>
                <w:i/>
              </w:rPr>
              <w:t xml:space="preserve"> </w:t>
            </w:r>
            <w:r>
              <w:t xml:space="preserve">= </w:t>
            </w:r>
            <w:r w:rsidR="00E176BB">
              <w:t>0.093</w:t>
            </w:r>
            <w:bookmarkStart w:id="7" w:name="_GoBack"/>
            <w:bookmarkEnd w:id="7"/>
          </w:p>
        </w:tc>
      </w:tr>
    </w:tbl>
    <w:p w:rsidR="003F2F26" w:rsidRDefault="003F2F26"/>
    <w:sectPr w:rsidR="003F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DC" w:rsidRDefault="00DB6CDC" w:rsidP="00463C8B">
      <w:pPr>
        <w:spacing w:line="240" w:lineRule="auto"/>
      </w:pPr>
      <w:r>
        <w:separator/>
      </w:r>
    </w:p>
  </w:endnote>
  <w:endnote w:type="continuationSeparator" w:id="0">
    <w:p w:rsidR="00DB6CDC" w:rsidRDefault="00DB6CDC" w:rsidP="00463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LTStd-Lt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DC" w:rsidRDefault="00DB6CDC" w:rsidP="00463C8B">
      <w:pPr>
        <w:spacing w:line="240" w:lineRule="auto"/>
      </w:pPr>
      <w:r>
        <w:separator/>
      </w:r>
    </w:p>
  </w:footnote>
  <w:footnote w:type="continuationSeparator" w:id="0">
    <w:p w:rsidR="00DB6CDC" w:rsidRDefault="00DB6CDC" w:rsidP="00463C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a3MDWwMLY0NbdU0lEKTi0uzszPAykwrQUA1CsmJiwAAAA="/>
  </w:docVars>
  <w:rsids>
    <w:rsidRoot w:val="00476E43"/>
    <w:rsid w:val="00003FBB"/>
    <w:rsid w:val="00061CE7"/>
    <w:rsid w:val="000C085E"/>
    <w:rsid w:val="00166F6B"/>
    <w:rsid w:val="00193511"/>
    <w:rsid w:val="001D30B6"/>
    <w:rsid w:val="00242AAC"/>
    <w:rsid w:val="002A2D7C"/>
    <w:rsid w:val="003F2F26"/>
    <w:rsid w:val="003F5EAB"/>
    <w:rsid w:val="00410062"/>
    <w:rsid w:val="00463C8B"/>
    <w:rsid w:val="00476E43"/>
    <w:rsid w:val="00602615"/>
    <w:rsid w:val="00716F26"/>
    <w:rsid w:val="008300D1"/>
    <w:rsid w:val="00875322"/>
    <w:rsid w:val="0088560F"/>
    <w:rsid w:val="00B321D6"/>
    <w:rsid w:val="00B7307B"/>
    <w:rsid w:val="00C06F8E"/>
    <w:rsid w:val="00C1504C"/>
    <w:rsid w:val="00CC21AA"/>
    <w:rsid w:val="00CD4E3E"/>
    <w:rsid w:val="00DB6CDC"/>
    <w:rsid w:val="00E176BB"/>
    <w:rsid w:val="00E83FD3"/>
    <w:rsid w:val="00E93F39"/>
    <w:rsid w:val="00EA31F5"/>
    <w:rsid w:val="00EA70CE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AC91F2"/>
  <w14:defaultImageDpi w14:val="330"/>
  <w15:chartTrackingRefBased/>
  <w15:docId w15:val="{60CC185D-2ED3-40EB-A2F1-26A38770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8B"/>
    <w:pPr>
      <w:widowControl w:val="0"/>
      <w:spacing w:line="360" w:lineRule="auto"/>
      <w:jc w:val="both"/>
    </w:pPr>
    <w:rPr>
      <w:rFonts w:ascii="Times New Roman" w:eastAsia="仿宋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C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C8B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463C8B"/>
    <w:rPr>
      <w:rFonts w:eastAsia="Times New Roman"/>
      <w:sz w:val="18"/>
      <w:szCs w:val="18"/>
    </w:rPr>
  </w:style>
  <w:style w:type="table" w:styleId="a8">
    <w:name w:val="Table Grid"/>
    <w:basedOn w:val="a1"/>
    <w:uiPriority w:val="39"/>
    <w:rsid w:val="004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红炉一点雪 hlydx</dc:creator>
  <cp:keywords/>
  <dc:description/>
  <cp:lastModifiedBy>红炉一点雪 hlydx</cp:lastModifiedBy>
  <cp:revision>9</cp:revision>
  <dcterms:created xsi:type="dcterms:W3CDTF">2021-11-22T06:55:00Z</dcterms:created>
  <dcterms:modified xsi:type="dcterms:W3CDTF">2021-12-01T06:56:00Z</dcterms:modified>
</cp:coreProperties>
</file>